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EAF20" w14:textId="39E05C93" w:rsidR="004900F2" w:rsidRDefault="004900F2" w:rsidP="00655BE7">
      <w:pPr>
        <w:pStyle w:val="Sansinterligne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3AAF42AE" wp14:editId="709DECE4">
            <wp:extent cx="1130400" cy="1008000"/>
            <wp:effectExtent l="0" t="0" r="0" b="1905"/>
            <wp:docPr id="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400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9AF3D9" w14:textId="77777777" w:rsidR="004900F2" w:rsidRPr="00854164" w:rsidRDefault="004900F2" w:rsidP="004900F2">
      <w:pPr>
        <w:pStyle w:val="Titre"/>
        <w:rPr>
          <w:b w:val="0"/>
        </w:rPr>
      </w:pPr>
      <w:r w:rsidRPr="00854164">
        <w:t>Guide méthodologique</w:t>
      </w:r>
    </w:p>
    <w:p w14:paraId="6F4C44FF" w14:textId="2355D12A" w:rsidR="004900F2" w:rsidRPr="0042508A" w:rsidRDefault="00304511" w:rsidP="0042508A">
      <w:pPr>
        <w:pStyle w:val="Titre"/>
        <w:rPr>
          <w:b w:val="0"/>
        </w:rPr>
      </w:pPr>
      <w:r>
        <w:t>V</w:t>
      </w:r>
      <w:r w:rsidRPr="00304511">
        <w:t xml:space="preserve">alorisation des </w:t>
      </w:r>
      <w:r w:rsidR="002F4439">
        <w:t>biens</w:t>
      </w:r>
      <w:r w:rsidRPr="00304511">
        <w:t xml:space="preserve"> immobiliers</w:t>
      </w:r>
    </w:p>
    <w:p w14:paraId="10A2A552" w14:textId="77777777" w:rsidR="004900F2" w:rsidRDefault="004900F2" w:rsidP="00773585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35580A3" w14:textId="2D000C2F" w:rsidR="007D717D" w:rsidRDefault="007D717D">
      <w:pPr>
        <w:rPr>
          <w:rFonts w:ascii="Arial" w:eastAsiaTheme="majorEastAsia" w:hAnsi="Arial" w:cs="Arial"/>
          <w:bCs/>
          <w:sz w:val="32"/>
          <w:szCs w:val="32"/>
        </w:rPr>
      </w:pPr>
    </w:p>
    <w:p w14:paraId="5629DD23" w14:textId="7196A173" w:rsidR="0042508A" w:rsidRPr="0042508A" w:rsidRDefault="0042508A" w:rsidP="0042508A">
      <w:pPr>
        <w:pStyle w:val="Titre1"/>
      </w:pPr>
      <w:r w:rsidRPr="0042508A">
        <w:t>Description générale de l’état</w:t>
      </w:r>
    </w:p>
    <w:p w14:paraId="3ABCB11D" w14:textId="7DC613C8" w:rsidR="0042508A" w:rsidRPr="00AD11FA" w:rsidRDefault="00B72694" w:rsidP="00E66D49">
      <w:pPr>
        <w:jc w:val="both"/>
      </w:pPr>
      <w:r w:rsidRPr="00AD11FA">
        <w:t>Cet état a vocation à collecter des informations sur la valorisation des biens immobiliers.</w:t>
      </w:r>
    </w:p>
    <w:p w14:paraId="6ECFF35C" w14:textId="667E5B99" w:rsidR="00B72694" w:rsidRPr="00AD11FA" w:rsidRDefault="00B72694" w:rsidP="00E66D49">
      <w:pPr>
        <w:jc w:val="both"/>
      </w:pPr>
      <w:r w:rsidRPr="00AD11FA">
        <w:t xml:space="preserve">Il y a deux cas de figure à considérer ici : </w:t>
      </w:r>
    </w:p>
    <w:p w14:paraId="2FA95D7C" w14:textId="4FEFBB1F" w:rsidR="00B72694" w:rsidRPr="00AD11FA" w:rsidRDefault="00E27AA2" w:rsidP="00E66D49">
      <w:pPr>
        <w:pStyle w:val="Paragraphedeliste"/>
        <w:numPr>
          <w:ilvl w:val="0"/>
          <w:numId w:val="4"/>
        </w:numPr>
        <w:jc w:val="both"/>
      </w:pPr>
      <w:r>
        <w:t>L</w:t>
      </w:r>
      <w:r w:rsidR="00B72694" w:rsidRPr="00AD11FA">
        <w:t>es biens détenus directement par le remettant ;</w:t>
      </w:r>
    </w:p>
    <w:p w14:paraId="6905A4F7" w14:textId="25DE90EC" w:rsidR="00AD11FA" w:rsidRDefault="00E27AA2" w:rsidP="00E66D49">
      <w:pPr>
        <w:pStyle w:val="Paragraphedeliste"/>
        <w:numPr>
          <w:ilvl w:val="0"/>
          <w:numId w:val="4"/>
        </w:numPr>
        <w:jc w:val="both"/>
        <w:rPr>
          <w:rFonts w:cstheme="minorHAnsi"/>
        </w:rPr>
      </w:pPr>
      <w:r>
        <w:t>L</w:t>
      </w:r>
      <w:r w:rsidR="00B72694" w:rsidRPr="00AD11FA">
        <w:t xml:space="preserve">es biens détenus indirectement (par </w:t>
      </w:r>
      <w:r w:rsidR="00E66D49">
        <w:t>mise en transparence</w:t>
      </w:r>
      <w:r w:rsidR="00B72694" w:rsidRPr="00AD11FA">
        <w:t>) par le remettant</w:t>
      </w:r>
      <w:r w:rsidR="00A05B2F" w:rsidRPr="00AD11FA">
        <w:t xml:space="preserve"> via des sociétés immobilières/foncières non cotées à une bourse OCDE</w:t>
      </w:r>
      <w:r w:rsidR="00AD11FA">
        <w:rPr>
          <w:rFonts w:cstheme="minorHAnsi"/>
        </w:rPr>
        <w:t xml:space="preserve">, sauf pour les cas </w:t>
      </w:r>
      <w:r w:rsidR="00E66D49">
        <w:rPr>
          <w:rFonts w:cstheme="minorHAnsi"/>
        </w:rPr>
        <w:t>suivants, pour lesquels aucune mise en transparence</w:t>
      </w:r>
      <w:r w:rsidR="00AD11FA">
        <w:rPr>
          <w:rFonts w:cstheme="minorHAnsi"/>
        </w:rPr>
        <w:t xml:space="preserve"> n’est </w:t>
      </w:r>
      <w:r w:rsidR="002B05A1">
        <w:rPr>
          <w:rFonts w:cstheme="minorHAnsi"/>
        </w:rPr>
        <w:t>exigée</w:t>
      </w:r>
      <w:r w:rsidR="00AD11FA">
        <w:rPr>
          <w:rFonts w:cstheme="minorHAnsi"/>
        </w:rPr>
        <w:t> :</w:t>
      </w:r>
    </w:p>
    <w:p w14:paraId="7982033D" w14:textId="284E3D33" w:rsidR="00AD11FA" w:rsidRDefault="00AD11FA" w:rsidP="00E66D49">
      <w:pPr>
        <w:pStyle w:val="Paragraphedeliste"/>
        <w:numPr>
          <w:ilvl w:val="1"/>
          <w:numId w:val="4"/>
        </w:numPr>
        <w:jc w:val="both"/>
        <w:rPr>
          <w:rFonts w:cstheme="minorHAnsi"/>
        </w:rPr>
      </w:pPr>
      <w:r w:rsidRPr="00AD11FA">
        <w:rPr>
          <w:rFonts w:cstheme="minorHAnsi"/>
        </w:rPr>
        <w:t>Fonds d’Investissement Alternatifs (FIA) mentionnés au 1° de l’article L.214-24 du code monétaire et financier</w:t>
      </w:r>
      <w:r>
        <w:rPr>
          <w:rFonts w:cstheme="minorHAnsi"/>
        </w:rPr>
        <w:t> ;</w:t>
      </w:r>
    </w:p>
    <w:p w14:paraId="522E954A" w14:textId="609FD618" w:rsidR="00AD11FA" w:rsidRDefault="00E27AA2" w:rsidP="00E66D49">
      <w:pPr>
        <w:pStyle w:val="Paragraphedeliste"/>
        <w:numPr>
          <w:ilvl w:val="1"/>
          <w:numId w:val="4"/>
        </w:numPr>
        <w:jc w:val="both"/>
        <w:rPr>
          <w:rFonts w:cstheme="minorHAnsi"/>
        </w:rPr>
      </w:pPr>
      <w:r>
        <w:rPr>
          <w:rFonts w:cstheme="minorHAnsi"/>
        </w:rPr>
        <w:t>T</w:t>
      </w:r>
      <w:r w:rsidR="00AD11FA" w:rsidRPr="00AD11FA">
        <w:rPr>
          <w:rFonts w:cstheme="minorHAnsi"/>
        </w:rPr>
        <w:t xml:space="preserve">out organisme dont la société de gestion ou </w:t>
      </w:r>
      <w:r w:rsidR="00E66D49">
        <w:rPr>
          <w:rFonts w:cstheme="minorHAnsi"/>
        </w:rPr>
        <w:t>le gestionnaire d’actifs</w:t>
      </w:r>
      <w:r w:rsidR="00AD11FA" w:rsidRPr="00AD11FA">
        <w:rPr>
          <w:rFonts w:cstheme="minorHAnsi"/>
        </w:rPr>
        <w:t xml:space="preserve"> communique une valeur liquidative à l'Autorité des Marchés Financiers ou à une autorité étrangère équivalente</w:t>
      </w:r>
      <w:r w:rsidR="00AD11FA">
        <w:rPr>
          <w:rFonts w:cstheme="minorHAnsi"/>
        </w:rPr>
        <w:t> ;</w:t>
      </w:r>
    </w:p>
    <w:p w14:paraId="3091A29B" w14:textId="766E0700" w:rsidR="00B81340" w:rsidRPr="00AD11FA" w:rsidRDefault="00E27AA2" w:rsidP="00C11C1F">
      <w:pPr>
        <w:pStyle w:val="Paragraphedeliste"/>
        <w:numPr>
          <w:ilvl w:val="1"/>
          <w:numId w:val="4"/>
        </w:numPr>
        <w:jc w:val="both"/>
        <w:rPr>
          <w:rFonts w:cstheme="minorHAnsi"/>
        </w:rPr>
      </w:pPr>
      <w:r>
        <w:rPr>
          <w:rFonts w:cstheme="minorHAnsi"/>
        </w:rPr>
        <w:t>B</w:t>
      </w:r>
      <w:r w:rsidR="00AD11FA">
        <w:rPr>
          <w:rFonts w:cstheme="minorHAnsi"/>
        </w:rPr>
        <w:t xml:space="preserve">iens détenus indirectement </w:t>
      </w:r>
      <w:r w:rsidR="00AD11FA" w:rsidRPr="00E66D49">
        <w:rPr>
          <w:i/>
        </w:rPr>
        <w:t>via</w:t>
      </w:r>
      <w:r w:rsidR="00AD11FA" w:rsidRPr="00AD11FA">
        <w:t xml:space="preserve"> </w:t>
      </w:r>
      <w:r w:rsidR="00AD11FA">
        <w:t xml:space="preserve">au moins deux </w:t>
      </w:r>
      <w:r w:rsidR="00AD11FA" w:rsidRPr="00AD11FA">
        <w:t>sociétés immobilières/foncières</w:t>
      </w:r>
      <w:r w:rsidR="00AD11FA">
        <w:t xml:space="preserve"> successives</w:t>
      </w:r>
      <w:r w:rsidR="00681414">
        <w:t xml:space="preserve"> et dont le remettant détient indirectement moins de 50% du bien</w:t>
      </w:r>
      <w:r w:rsidR="00AD11FA">
        <w:t>.</w:t>
      </w:r>
    </w:p>
    <w:p w14:paraId="38CAF378" w14:textId="68CA8A88" w:rsidR="00664BF9" w:rsidRDefault="00664BF9" w:rsidP="00E66D49">
      <w:pPr>
        <w:jc w:val="both"/>
      </w:pPr>
      <w:r w:rsidRPr="00AD11FA">
        <w:t>Dans le premier cas, chaque bien est déclaré sur une</w:t>
      </w:r>
      <w:r>
        <w:t xml:space="preserve"> seule ligne.</w:t>
      </w:r>
    </w:p>
    <w:p w14:paraId="3D316D5B" w14:textId="40E2110A" w:rsidR="00664BF9" w:rsidRDefault="00664BF9" w:rsidP="00B72694">
      <w:r>
        <w:t xml:space="preserve">Dans le second cas, </w:t>
      </w:r>
      <w:r w:rsidR="00075268">
        <w:t xml:space="preserve">il faut : </w:t>
      </w:r>
    </w:p>
    <w:p w14:paraId="4D5DE5EC" w14:textId="701AE5BE" w:rsidR="00A41C43" w:rsidRDefault="00A05B2F" w:rsidP="00E66D49">
      <w:pPr>
        <w:pStyle w:val="Paragraphedeliste"/>
        <w:numPr>
          <w:ilvl w:val="0"/>
          <w:numId w:val="4"/>
        </w:numPr>
        <w:jc w:val="both"/>
      </w:pPr>
      <w:proofErr w:type="gramStart"/>
      <w:r>
        <w:t>u</w:t>
      </w:r>
      <w:r w:rsidR="00075268">
        <w:t>ne</w:t>
      </w:r>
      <w:proofErr w:type="gramEnd"/>
      <w:r w:rsidR="00075268">
        <w:t xml:space="preserve"> ligne par </w:t>
      </w:r>
      <w:r w:rsidRPr="00A05B2F">
        <w:t>société immobilière/foncière non cotées à une bourse OCDE</w:t>
      </w:r>
      <w:r w:rsidR="00AD11FA">
        <w:t xml:space="preserve"> </w:t>
      </w:r>
      <w:r>
        <w:t>;</w:t>
      </w:r>
    </w:p>
    <w:p w14:paraId="49FFA216" w14:textId="58FB4AE4" w:rsidR="000F4A34" w:rsidRDefault="00A05B2F" w:rsidP="00E66D49">
      <w:pPr>
        <w:pStyle w:val="Paragraphedeliste"/>
        <w:numPr>
          <w:ilvl w:val="0"/>
          <w:numId w:val="4"/>
        </w:numPr>
        <w:jc w:val="both"/>
      </w:pPr>
      <w:proofErr w:type="gramStart"/>
      <w:r>
        <w:t>une</w:t>
      </w:r>
      <w:proofErr w:type="gramEnd"/>
      <w:r>
        <w:t xml:space="preserve"> ligne par bien immobilier détenu </w:t>
      </w:r>
      <w:r w:rsidRPr="00A05B2F">
        <w:t xml:space="preserve"> </w:t>
      </w:r>
      <w:r w:rsidR="003C512F">
        <w:t>par</w:t>
      </w:r>
      <w:r w:rsidR="003C512F" w:rsidRPr="00A05B2F">
        <w:t xml:space="preserve"> </w:t>
      </w:r>
      <w:r>
        <w:t>la</w:t>
      </w:r>
      <w:r w:rsidRPr="00A05B2F">
        <w:t xml:space="preserve"> socié</w:t>
      </w:r>
      <w:r>
        <w:t>té immobilière/foncière non cotée</w:t>
      </w:r>
      <w:r w:rsidRPr="00A05B2F">
        <w:t xml:space="preserve"> à une bourse OCDE</w:t>
      </w:r>
      <w:r>
        <w:t>.</w:t>
      </w:r>
    </w:p>
    <w:p w14:paraId="082AE160" w14:textId="20C399C0" w:rsidR="00A05B2F" w:rsidRPr="0042508A" w:rsidRDefault="00A05B2F" w:rsidP="000F4A34"/>
    <w:p w14:paraId="6CD7ED2B" w14:textId="6D1B94D7" w:rsidR="007D717D" w:rsidRPr="00304511" w:rsidRDefault="007D717D" w:rsidP="0042508A">
      <w:pPr>
        <w:pStyle w:val="Titre1"/>
        <w:rPr>
          <w:rFonts w:eastAsiaTheme="majorEastAsia"/>
        </w:rPr>
      </w:pPr>
      <w:r w:rsidRPr="0042508A">
        <w:rPr>
          <w:rFonts w:eastAsiaTheme="majorEastAsia"/>
        </w:rPr>
        <w:t>Utilisation de l’état</w:t>
      </w:r>
    </w:p>
    <w:p w14:paraId="2CBC09B4" w14:textId="3545C949" w:rsidR="00610A41" w:rsidRPr="00B67CFE" w:rsidRDefault="00610A41" w:rsidP="00610A4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63"/>
        <w:gridCol w:w="1126"/>
        <w:gridCol w:w="6373"/>
      </w:tblGrid>
      <w:tr w:rsidR="0042508A" w:rsidRPr="00B67CFE" w14:paraId="1EB02D1B" w14:textId="77777777" w:rsidTr="0042508A">
        <w:trPr>
          <w:cantSplit/>
          <w:trHeight w:val="285"/>
        </w:trPr>
        <w:tc>
          <w:tcPr>
            <w:tcW w:w="1563" w:type="dxa"/>
            <w:noWrap/>
            <w:hideMark/>
          </w:tcPr>
          <w:p w14:paraId="44CD069F" w14:textId="58A7FE97" w:rsidR="0042508A" w:rsidRPr="00B67CFE" w:rsidRDefault="0042508A" w:rsidP="0042508A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A2FE3">
              <w:rPr>
                <w:b/>
                <w:sz w:val="18"/>
                <w:szCs w:val="18"/>
              </w:rPr>
              <w:t>INTITULE</w:t>
            </w:r>
          </w:p>
        </w:tc>
        <w:tc>
          <w:tcPr>
            <w:tcW w:w="1126" w:type="dxa"/>
          </w:tcPr>
          <w:p w14:paraId="0883DF80" w14:textId="3FDEDA2C" w:rsidR="0042508A" w:rsidRPr="00B67CFE" w:rsidRDefault="0042508A" w:rsidP="004250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EA2FE3">
              <w:rPr>
                <w:b/>
                <w:sz w:val="18"/>
                <w:szCs w:val="18"/>
              </w:rPr>
              <w:t>NUMERO DE COLONNE</w:t>
            </w:r>
          </w:p>
        </w:tc>
        <w:tc>
          <w:tcPr>
            <w:tcW w:w="6373" w:type="dxa"/>
          </w:tcPr>
          <w:p w14:paraId="4621EDE4" w14:textId="6364925D" w:rsidR="0042508A" w:rsidRPr="00B67CFE" w:rsidRDefault="0042508A" w:rsidP="004250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EA2FE3">
              <w:rPr>
                <w:b/>
                <w:sz w:val="18"/>
                <w:szCs w:val="18"/>
              </w:rPr>
              <w:t>DEFINITION</w:t>
            </w:r>
          </w:p>
        </w:tc>
      </w:tr>
      <w:tr w:rsidR="009C7421" w:rsidRPr="00B67CFE" w14:paraId="2D07AB4C" w14:textId="77777777" w:rsidTr="0042508A">
        <w:trPr>
          <w:cantSplit/>
        </w:trPr>
        <w:tc>
          <w:tcPr>
            <w:tcW w:w="1563" w:type="dxa"/>
          </w:tcPr>
          <w:p w14:paraId="2203BD55" w14:textId="3175CEBE" w:rsidR="009C7421" w:rsidRPr="00940C55" w:rsidRDefault="003605CA" w:rsidP="009C742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Identifiant de la ligne</w:t>
            </w:r>
          </w:p>
        </w:tc>
        <w:tc>
          <w:tcPr>
            <w:tcW w:w="1126" w:type="dxa"/>
            <w:noWrap/>
          </w:tcPr>
          <w:p w14:paraId="04831CCE" w14:textId="0A46E2F0" w:rsidR="009C7421" w:rsidRPr="00940C55" w:rsidRDefault="003605CA" w:rsidP="009C742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C0010</w:t>
            </w:r>
          </w:p>
        </w:tc>
        <w:tc>
          <w:tcPr>
            <w:tcW w:w="6373" w:type="dxa"/>
          </w:tcPr>
          <w:p w14:paraId="4E7EF1ED" w14:textId="77777777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Ce champ doit être systématiquement renseigné. </w:t>
            </w:r>
          </w:p>
          <w:p w14:paraId="725DC1D3" w14:textId="77777777" w:rsidR="00D051BC" w:rsidRDefault="00D051BC" w:rsidP="009C7421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  <w:p w14:paraId="34F4C3C8" w14:textId="7DEC6EA6" w:rsidR="009C7421" w:rsidRPr="00B67CFE" w:rsidRDefault="003605CA" w:rsidP="009C7421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  <w:r w:rsidRPr="003605CA">
              <w:rPr>
                <w:sz w:val="20"/>
                <w:szCs w:val="20"/>
                <w:lang w:val="fr-FR"/>
              </w:rPr>
              <w:t>Identifiant de la ligne (nombre entier) à rapporter dans la remise. Le remettant doit identifier chaque ligne de manière unique.</w:t>
            </w:r>
          </w:p>
        </w:tc>
      </w:tr>
      <w:tr w:rsidR="00940C55" w:rsidRPr="00B67CFE" w14:paraId="6AD56955" w14:textId="77777777" w:rsidTr="0042508A">
        <w:trPr>
          <w:cantSplit/>
        </w:trPr>
        <w:tc>
          <w:tcPr>
            <w:tcW w:w="1563" w:type="dxa"/>
          </w:tcPr>
          <w:p w14:paraId="1A433BB5" w14:textId="4F5C1F41" w:rsidR="00940C55" w:rsidRPr="00940C55" w:rsidRDefault="003605CA" w:rsidP="00940C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3605CA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lastRenderedPageBreak/>
              <w:t>Identifiant du bien</w:t>
            </w:r>
          </w:p>
        </w:tc>
        <w:tc>
          <w:tcPr>
            <w:tcW w:w="1126" w:type="dxa"/>
            <w:noWrap/>
          </w:tcPr>
          <w:p w14:paraId="205651F8" w14:textId="1B372BC2" w:rsidR="00940C55" w:rsidRPr="00940C55" w:rsidRDefault="003605CA" w:rsidP="00940C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C0020</w:t>
            </w:r>
          </w:p>
        </w:tc>
        <w:tc>
          <w:tcPr>
            <w:tcW w:w="6373" w:type="dxa"/>
          </w:tcPr>
          <w:p w14:paraId="532B7F38" w14:textId="05A963D9" w:rsidR="00D051BC" w:rsidRDefault="00D051BC" w:rsidP="00940C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Ce champ doit êt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re systématiquement renseigné. </w:t>
            </w:r>
          </w:p>
          <w:p w14:paraId="6DE4CF2A" w14:textId="77777777" w:rsidR="00D051BC" w:rsidRDefault="00D051BC" w:rsidP="00940C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63FCC4FC" w14:textId="0F954E2D" w:rsidR="00940C55" w:rsidRDefault="003605CA" w:rsidP="00940C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3605CA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Identifiant unique du bien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immobilier.</w:t>
            </w:r>
          </w:p>
          <w:p w14:paraId="0FA38796" w14:textId="77777777" w:rsidR="00D051BC" w:rsidRDefault="00D051BC" w:rsidP="00940C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6F3BF93C" w14:textId="6F0CE751" w:rsidR="00D051BC" w:rsidRPr="00940C55" w:rsidRDefault="00D051BC" w:rsidP="00940C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E8578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Pour la ligne de total par des sociétés immobilières/foncières non cotées à une bourse OCDE, mettre ici « Total ».</w:t>
            </w:r>
          </w:p>
        </w:tc>
      </w:tr>
      <w:tr w:rsidR="00F55B59" w:rsidRPr="00B67CFE" w14:paraId="37AEB565" w14:textId="77777777" w:rsidTr="0042508A">
        <w:trPr>
          <w:cantSplit/>
        </w:trPr>
        <w:tc>
          <w:tcPr>
            <w:tcW w:w="1563" w:type="dxa"/>
          </w:tcPr>
          <w:p w14:paraId="1836C982" w14:textId="5A501011" w:rsidR="00F55B59" w:rsidRPr="00F55B59" w:rsidRDefault="00D051BC" w:rsidP="00F55B5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Code SII de l’actif correspondant</w:t>
            </w:r>
          </w:p>
        </w:tc>
        <w:tc>
          <w:tcPr>
            <w:tcW w:w="1126" w:type="dxa"/>
            <w:noWrap/>
          </w:tcPr>
          <w:p w14:paraId="08DD3BCC" w14:textId="20E9819A" w:rsidR="00F55B59" w:rsidRPr="00F55B59" w:rsidRDefault="00D051BC" w:rsidP="00F55B5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C0030</w:t>
            </w:r>
          </w:p>
        </w:tc>
        <w:tc>
          <w:tcPr>
            <w:tcW w:w="6373" w:type="dxa"/>
          </w:tcPr>
          <w:p w14:paraId="330AB2F1" w14:textId="11E1AEAC" w:rsid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Ce champ doit être systématiquement renseigné. </w:t>
            </w:r>
          </w:p>
          <w:p w14:paraId="19F6A912" w14:textId="77777777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3C7F951A" w14:textId="2B507217" w:rsid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Pour les biens détenus directement</w:t>
            </w:r>
            <w:r w:rsidR="000F4A34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et les parts de sociétés </w:t>
            </w:r>
            <w:r w:rsidR="000F4A34" w:rsidRPr="000F4A34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immobilières/foncières non cotées à une bourse OCDE</w:t>
            </w: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, il faut saisir ici le même code que celui exploité pour identifier ce bien dans l’état S.06.02.</w:t>
            </w:r>
          </w:p>
          <w:p w14:paraId="4DA94515" w14:textId="77777777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2A4BC419" w14:textId="08F82651" w:rsidR="00F55B59" w:rsidRPr="00F55B59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Pour les biens détenus indirectement via des sociétés immobilières/foncières non cotées à une bourse OCDE, il faut fournir ici le code exploité pour identifier cette société immobilière/foncière dans l’état S.06.02.</w:t>
            </w:r>
          </w:p>
        </w:tc>
      </w:tr>
      <w:tr w:rsidR="00D051BC" w:rsidRPr="00B67CFE" w14:paraId="45C1AB6D" w14:textId="77777777" w:rsidTr="0042508A">
        <w:trPr>
          <w:cantSplit/>
        </w:trPr>
        <w:tc>
          <w:tcPr>
            <w:tcW w:w="1563" w:type="dxa"/>
          </w:tcPr>
          <w:p w14:paraId="5B3DE8EE" w14:textId="1CB2AAE0" w:rsidR="00D051BC" w:rsidRPr="00D051BC" w:rsidRDefault="00D051BC" w:rsidP="00F55B5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Type de code SII de l’actif correspondant</w:t>
            </w:r>
          </w:p>
        </w:tc>
        <w:tc>
          <w:tcPr>
            <w:tcW w:w="1126" w:type="dxa"/>
            <w:noWrap/>
          </w:tcPr>
          <w:p w14:paraId="711DCB8C" w14:textId="5A71D185" w:rsidR="00D051BC" w:rsidRPr="00D051BC" w:rsidRDefault="00D051BC" w:rsidP="00F55B5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C0040</w:t>
            </w:r>
          </w:p>
        </w:tc>
        <w:tc>
          <w:tcPr>
            <w:tcW w:w="6373" w:type="dxa"/>
          </w:tcPr>
          <w:p w14:paraId="46038084" w14:textId="5B39C548" w:rsid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Ce champ doit être systématiquement renseigné. </w:t>
            </w:r>
          </w:p>
          <w:p w14:paraId="52523572" w14:textId="77777777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6919DA84" w14:textId="07198609" w:rsid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Il faut préciser ic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i le type </w:t>
            </w:r>
            <w:r w:rsid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du code saisi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en C003</w:t>
            </w: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0. Choisir impérativement l'une </w:t>
            </w:r>
            <w:r w:rsidR="00106A4B"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des options </w:t>
            </w:r>
            <w:r w:rsid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suivantes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 :</w:t>
            </w:r>
          </w:p>
          <w:p w14:paraId="3FCBA3E9" w14:textId="77777777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1 - code ISIN de l'ISO 6166</w:t>
            </w:r>
          </w:p>
          <w:p w14:paraId="1C5BA646" w14:textId="32E2B7EF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2 - code CUSIP (</w:t>
            </w:r>
            <w:proofErr w:type="spellStart"/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Committee</w:t>
            </w:r>
            <w:proofErr w:type="spellEnd"/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on Uniform Securities Identification </w:t>
            </w:r>
            <w:proofErr w:type="spellStart"/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Procedures</w:t>
            </w:r>
            <w:proofErr w:type="spellEnd"/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): numéro attribué par le CUSIP Service Bureau pour les</w:t>
            </w:r>
            <w:r w:rsidR="00334BE2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entreprises américaines et canadiennes</w:t>
            </w:r>
          </w:p>
          <w:p w14:paraId="03069B3C" w14:textId="672416E0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3 - SEDOL (Stock Exchange Daily Official List pour la bourse de</w:t>
            </w:r>
            <w:r w:rsidR="000B5620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Londres)</w:t>
            </w:r>
          </w:p>
          <w:p w14:paraId="2F7E0212" w14:textId="3EB722BE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4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- WKN (</w:t>
            </w:r>
            <w:proofErr w:type="spellStart"/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Wertpapier</w:t>
            </w:r>
            <w:proofErr w:type="spellEnd"/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Kenn-</w:t>
            </w:r>
            <w:proofErr w:type="spellStart"/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Nummer</w:t>
            </w:r>
            <w:proofErr w:type="spellEnd"/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, le numéro d'identification alphanumérique allemand)</w:t>
            </w:r>
          </w:p>
          <w:p w14:paraId="10224C01" w14:textId="77777777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5 - Bloomberg </w:t>
            </w:r>
            <w:proofErr w:type="spellStart"/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Ticke</w:t>
            </w:r>
            <w:bookmarkStart w:id="0" w:name="_GoBack"/>
            <w:bookmarkEnd w:id="0"/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r</w:t>
            </w:r>
            <w:proofErr w:type="spellEnd"/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(code à lettres Bloomberg d'identification des titres d'une société)</w:t>
            </w:r>
          </w:p>
          <w:p w14:paraId="0ECA7638" w14:textId="77777777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6 - BBGID (Bloomberg Global ID)</w:t>
            </w:r>
          </w:p>
          <w:p w14:paraId="0825EA22" w14:textId="77777777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7 - Reuters RIC (Reuters Instrument Code)</w:t>
            </w:r>
          </w:p>
          <w:p w14:paraId="3193DF23" w14:textId="77777777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8 - FIGI (Financial Instrument Global Identifier)</w:t>
            </w:r>
          </w:p>
          <w:p w14:paraId="10E411D1" w14:textId="77777777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9 - Autre code attribué par un membre de l'Association des agences nationales de codification</w:t>
            </w:r>
          </w:p>
          <w:p w14:paraId="1F16B8F1" w14:textId="188C3913" w:rsidR="00D051BC" w:rsidRPr="00D051BC" w:rsidRDefault="00D051B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99 - Code attribué par l'entreprise</w:t>
            </w:r>
          </w:p>
        </w:tc>
      </w:tr>
      <w:tr w:rsidR="00106A4B" w:rsidRPr="00B67CFE" w14:paraId="445E7E47" w14:textId="77777777" w:rsidTr="0042508A">
        <w:trPr>
          <w:cantSplit/>
        </w:trPr>
        <w:tc>
          <w:tcPr>
            <w:tcW w:w="1563" w:type="dxa"/>
          </w:tcPr>
          <w:p w14:paraId="245FB225" w14:textId="35D330CA" w:rsidR="00106A4B" w:rsidRPr="00D051BC" w:rsidRDefault="00106A4B" w:rsidP="00F55B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Nature du </w:t>
            </w:r>
            <w:proofErr w:type="spellStart"/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bien</w:t>
            </w:r>
            <w:proofErr w:type="spellEnd"/>
          </w:p>
        </w:tc>
        <w:tc>
          <w:tcPr>
            <w:tcW w:w="1126" w:type="dxa"/>
            <w:noWrap/>
          </w:tcPr>
          <w:p w14:paraId="0641EA92" w14:textId="28BD389C" w:rsidR="00106A4B" w:rsidRDefault="00106A4B" w:rsidP="00F55B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C0050</w:t>
            </w:r>
          </w:p>
        </w:tc>
        <w:tc>
          <w:tcPr>
            <w:tcW w:w="6373" w:type="dxa"/>
          </w:tcPr>
          <w:p w14:paraId="295C50D3" w14:textId="5F8C9DAE" w:rsidR="00106A4B" w:rsidRDefault="00E66D49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Compte-tenu du </w:t>
            </w:r>
            <w:r w:rsidR="00BD7655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par.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3 de l’annexe V de la </w:t>
            </w:r>
            <w:hyperlink r:id="rId7" w:history="1">
              <w:r w:rsidRPr="00E66D49">
                <w:rPr>
                  <w:rStyle w:val="Lienhypertexte"/>
                  <w:rFonts w:ascii="Times New Roman" w:hAnsi="Times New Roman" w:cs="Times New Roman"/>
                  <w:sz w:val="20"/>
                  <w:szCs w:val="20"/>
                  <w:lang w:val="fr-FR"/>
                </w:rPr>
                <w:t>recommandation ESRB/2019/3</w:t>
              </w:r>
            </w:hyperlink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, c</w:t>
            </w:r>
            <w:r w:rsidR="00106A4B" w:rsidRPr="00D051B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hoisir impérativement l'une des options </w:t>
            </w:r>
            <w:r w:rsid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suivantes :</w:t>
            </w:r>
          </w:p>
          <w:p w14:paraId="3ADF2E9F" w14:textId="5BE80CD4" w:rsidR="00106A4B" w:rsidRPr="00106A4B" w:rsidRDefault="00106A4B" w:rsidP="00106A4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1. Immobilier </w:t>
            </w:r>
            <w:r w:rsidR="00E66D49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résidentiel</w:t>
            </w: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;</w:t>
            </w:r>
          </w:p>
          <w:p w14:paraId="1F0C4D6D" w14:textId="63788FE5" w:rsidR="00106A4B" w:rsidRPr="00106A4B" w:rsidRDefault="00106A4B" w:rsidP="00106A4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2. Immobilier commercial (hôtels, restaurant, centre commercial, ...) ;</w:t>
            </w:r>
          </w:p>
          <w:p w14:paraId="360302E6" w14:textId="77777777" w:rsidR="00106A4B" w:rsidRPr="00106A4B" w:rsidRDefault="00106A4B" w:rsidP="00106A4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3. Immobilier de bureau ;</w:t>
            </w:r>
          </w:p>
          <w:p w14:paraId="2C930327" w14:textId="46E2604F" w:rsidR="00106A4B" w:rsidRPr="00106A4B" w:rsidRDefault="00106A4B" w:rsidP="00106A4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4. Immobilier industriel (usine,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centre logistique, …) ;</w:t>
            </w:r>
          </w:p>
          <w:p w14:paraId="1EECC197" w14:textId="77777777" w:rsidR="00106A4B" w:rsidRPr="00106A4B" w:rsidRDefault="00106A4B" w:rsidP="00106A4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5. Terrain ;</w:t>
            </w:r>
          </w:p>
          <w:p w14:paraId="7BCB9033" w14:textId="03AEA933" w:rsidR="00106A4B" w:rsidRPr="00106A4B" w:rsidRDefault="00106A4B" w:rsidP="00106A4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6. Immobilier pour usage propre</w:t>
            </w:r>
            <w:r w:rsidR="00E66D49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 ;</w:t>
            </w:r>
          </w:p>
          <w:p w14:paraId="4539D6DB" w14:textId="7E35EDFF" w:rsidR="00106A4B" w:rsidRDefault="00106A4B" w:rsidP="00106A4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7. Autre</w:t>
            </w:r>
            <w:r w:rsidR="002B05A1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.</w:t>
            </w:r>
          </w:p>
          <w:p w14:paraId="07E65A4D" w14:textId="77777777" w:rsidR="00106A4B" w:rsidRDefault="00106A4B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19014B92" w14:textId="5C60279D" w:rsidR="002B05A1" w:rsidRDefault="002B05A1" w:rsidP="00106A4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2B05A1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Il convient de considérer les biens à usage mixte comme des biens différents (compte tenu, par exemple, </w:t>
            </w:r>
            <w:r w:rsidRPr="002B05A1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de la superficie consacrée à chaque usage), chaque fois qu’il est possible d’opérer une telle ventilation; sinon, le bien peut être classé en fonction de son usage principal.</w:t>
            </w:r>
          </w:p>
          <w:p w14:paraId="6FDCA5B9" w14:textId="77777777" w:rsidR="002B05A1" w:rsidRDefault="002B05A1" w:rsidP="00106A4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29D0A534" w14:textId="3F6ECED3" w:rsidR="00106A4B" w:rsidRPr="00106A4B" w:rsidRDefault="00106A4B" w:rsidP="00106A4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Ce champ ne doit pas être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renseigné pour </w:t>
            </w: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la ligne de total par des sociétés immobilières/foncières non cotées à une bourse OCDE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.</w:t>
            </w:r>
          </w:p>
        </w:tc>
      </w:tr>
      <w:tr w:rsidR="00106A4B" w:rsidRPr="00B67CFE" w14:paraId="78C8626D" w14:textId="77777777" w:rsidTr="0042508A">
        <w:trPr>
          <w:cantSplit/>
        </w:trPr>
        <w:tc>
          <w:tcPr>
            <w:tcW w:w="1563" w:type="dxa"/>
          </w:tcPr>
          <w:p w14:paraId="136BD1E5" w14:textId="7768DFED" w:rsidR="00106A4B" w:rsidRPr="00106A4B" w:rsidRDefault="00106A4B" w:rsidP="00F55B5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Date d'acquisition</w:t>
            </w:r>
          </w:p>
        </w:tc>
        <w:tc>
          <w:tcPr>
            <w:tcW w:w="1126" w:type="dxa"/>
            <w:noWrap/>
          </w:tcPr>
          <w:p w14:paraId="2A5FEB4D" w14:textId="0252479D" w:rsidR="00106A4B" w:rsidRPr="00106A4B" w:rsidRDefault="00106A4B" w:rsidP="00F55B5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C0060</w:t>
            </w:r>
          </w:p>
        </w:tc>
        <w:tc>
          <w:tcPr>
            <w:tcW w:w="6373" w:type="dxa"/>
          </w:tcPr>
          <w:p w14:paraId="452E62C8" w14:textId="77777777" w:rsidR="00106A4B" w:rsidRDefault="00106A4B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Date d’acquisition du bien.</w:t>
            </w:r>
          </w:p>
          <w:p w14:paraId="0342EE71" w14:textId="77777777" w:rsidR="00386C43" w:rsidRDefault="00386C43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7904EF99" w14:textId="0AC80BEC" w:rsidR="00386C43" w:rsidRDefault="00386C43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Pour la </w:t>
            </w:r>
            <w:r w:rsidRPr="00386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ligne de total par des sociétés immobilières/foncières non cotées 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une bourse OCDE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mettre ici la date d’investissement dans la société immobilière/foncière.</w:t>
            </w:r>
          </w:p>
          <w:p w14:paraId="4687D30A" w14:textId="77777777" w:rsidR="00386C43" w:rsidRDefault="00386C43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3CD2A9C9" w14:textId="0554ADBE" w:rsidR="00386C43" w:rsidRPr="00106A4B" w:rsidRDefault="00386C43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En cas de plusieurs acquisitions partielles successives, juste préciser la première.</w:t>
            </w:r>
          </w:p>
        </w:tc>
      </w:tr>
      <w:tr w:rsidR="00106A4B" w:rsidRPr="00B67CFE" w14:paraId="719E524D" w14:textId="77777777" w:rsidTr="0042508A">
        <w:trPr>
          <w:cantSplit/>
        </w:trPr>
        <w:tc>
          <w:tcPr>
            <w:tcW w:w="1563" w:type="dxa"/>
          </w:tcPr>
          <w:p w14:paraId="646C5C95" w14:textId="644C65D0" w:rsidR="00106A4B" w:rsidRPr="00106A4B" w:rsidRDefault="00386C43" w:rsidP="0082330A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lastRenderedPageBreak/>
              <w:t xml:space="preserve">Valeur </w:t>
            </w:r>
            <w:r w:rsidR="0082330A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d’achat</w:t>
            </w:r>
          </w:p>
        </w:tc>
        <w:tc>
          <w:tcPr>
            <w:tcW w:w="1126" w:type="dxa"/>
            <w:noWrap/>
          </w:tcPr>
          <w:p w14:paraId="2C28A6B6" w14:textId="21C7F914" w:rsidR="00106A4B" w:rsidRPr="00106A4B" w:rsidRDefault="00386C43" w:rsidP="00F55B5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C0070</w:t>
            </w:r>
          </w:p>
        </w:tc>
        <w:tc>
          <w:tcPr>
            <w:tcW w:w="6373" w:type="dxa"/>
          </w:tcPr>
          <w:p w14:paraId="2FFD48E4" w14:textId="666A86F9" w:rsidR="008E6B11" w:rsidRDefault="008E6B11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8E6B11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Valeur </w:t>
            </w:r>
            <w:r w:rsidR="00C5446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nette comptable </w:t>
            </w:r>
            <w:r w:rsidRPr="008E6B11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du bien </w:t>
            </w:r>
            <w:r w:rsidR="00C5446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comptabilisée à l’achat</w:t>
            </w:r>
            <w:r w:rsidRPr="008E6B11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en </w:t>
            </w:r>
            <w:r w:rsidRPr="008E6B11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euros)</w:t>
            </w:r>
            <w:r w:rsidR="009E359D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.</w:t>
            </w:r>
          </w:p>
          <w:p w14:paraId="6A41C935" w14:textId="78D0E0F3" w:rsidR="009E359D" w:rsidRDefault="009E359D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0052BD4C" w14:textId="377E0AD1" w:rsidR="009E359D" w:rsidRDefault="009E359D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Pour les bien détenu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partiellement, préciser uniquement la valeur de la part détenue.</w:t>
            </w:r>
          </w:p>
          <w:p w14:paraId="4A56BDB4" w14:textId="7CB88F2F" w:rsidR="009E359D" w:rsidRDefault="009E359D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4F59F463" w14:textId="0E36D3F1" w:rsidR="009E359D" w:rsidRDefault="009E359D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En cas d’acquisition partielle à plusieurs échéances distinctes, indiqu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er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une valeur moyenne pondéré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par la part du bien acquise à cette échéance et en appliquant si besoin le principe du 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« Premier Entré, Premier Sorti 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en cas de vente intermédiaire.</w:t>
            </w:r>
          </w:p>
          <w:p w14:paraId="7EDF5782" w14:textId="034536E5" w:rsidR="009E359D" w:rsidRDefault="009E359D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2E9051C9" w14:textId="3615740C" w:rsidR="0067340B" w:rsidRPr="00106A4B" w:rsidRDefault="0067340B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Pour la </w:t>
            </w:r>
            <w:r w:rsidRPr="00386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ligne de total par des sociétés immobilières/foncières non cotées 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une bourse OCDE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mettre ici </w:t>
            </w:r>
            <w:r w:rsid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valeur d’acquisition </w:t>
            </w:r>
            <w:r w:rsid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de cette société au moment de l’achat.</w:t>
            </w:r>
          </w:p>
        </w:tc>
      </w:tr>
      <w:tr w:rsidR="00106A4B" w:rsidRPr="00B67CFE" w14:paraId="26D8F70E" w14:textId="77777777" w:rsidTr="0042508A">
        <w:trPr>
          <w:cantSplit/>
        </w:trPr>
        <w:tc>
          <w:tcPr>
            <w:tcW w:w="1563" w:type="dxa"/>
          </w:tcPr>
          <w:p w14:paraId="66C183DB" w14:textId="073EE450" w:rsidR="00106A4B" w:rsidRPr="00106A4B" w:rsidRDefault="0082330A" w:rsidP="00F55B5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Part du bien détenu</w:t>
            </w:r>
          </w:p>
        </w:tc>
        <w:tc>
          <w:tcPr>
            <w:tcW w:w="1126" w:type="dxa"/>
            <w:noWrap/>
          </w:tcPr>
          <w:p w14:paraId="28EC5DC0" w14:textId="25109537" w:rsidR="00106A4B" w:rsidRPr="00106A4B" w:rsidRDefault="007577A5" w:rsidP="00F55B5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C0080</w:t>
            </w:r>
          </w:p>
        </w:tc>
        <w:tc>
          <w:tcPr>
            <w:tcW w:w="6373" w:type="dxa"/>
          </w:tcPr>
          <w:p w14:paraId="3AB04165" w14:textId="710B0138" w:rsidR="00106A4B" w:rsidRDefault="00D17F3C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Part</w:t>
            </w:r>
            <w:r w:rsidR="007577A5" w:rsidRPr="007577A5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du bien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(en base 1) </w:t>
            </w:r>
            <w:r w:rsidR="007577A5" w:rsidRPr="007577A5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détenu par le remettant</w:t>
            </w:r>
            <w:r w:rsidR="007577A5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.</w:t>
            </w:r>
          </w:p>
          <w:p w14:paraId="4E6A2FB5" w14:textId="77777777" w:rsidR="007577A5" w:rsidRDefault="007577A5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0ED54587" w14:textId="487D17DB" w:rsidR="007577A5" w:rsidRPr="00106A4B" w:rsidRDefault="00BD2C54" w:rsidP="00D051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Pour la </w:t>
            </w:r>
            <w:r w:rsidRPr="00386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ligne de total par des sociétés immobilières/foncières non cotées 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une bourse OCDE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mettre ici le taux de détention de la société en question.</w:t>
            </w:r>
          </w:p>
        </w:tc>
      </w:tr>
      <w:tr w:rsidR="00D17F3C" w:rsidRPr="00B67CFE" w14:paraId="6C4764DF" w14:textId="77777777" w:rsidTr="004365F6">
        <w:trPr>
          <w:cantSplit/>
        </w:trPr>
        <w:tc>
          <w:tcPr>
            <w:tcW w:w="1563" w:type="dxa"/>
          </w:tcPr>
          <w:p w14:paraId="226758F7" w14:textId="04E6E235" w:rsidR="00D17F3C" w:rsidRPr="00106A4B" w:rsidRDefault="00D17F3C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Valorisation nette comptable</w:t>
            </w:r>
          </w:p>
        </w:tc>
        <w:tc>
          <w:tcPr>
            <w:tcW w:w="1126" w:type="dxa"/>
            <w:noWrap/>
            <w:vAlign w:val="center"/>
          </w:tcPr>
          <w:p w14:paraId="71CCCA67" w14:textId="49F17DBF" w:rsidR="00D17F3C" w:rsidRPr="00106A4B" w:rsidRDefault="00D17F3C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C0090</w:t>
            </w:r>
          </w:p>
        </w:tc>
        <w:tc>
          <w:tcPr>
            <w:tcW w:w="6373" w:type="dxa"/>
          </w:tcPr>
          <w:p w14:paraId="507BC7FD" w14:textId="05D80AD7" w:rsidR="00D17F3C" w:rsidRDefault="00D17F3C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Valorisation du bien dans le bilan comptable (</w:t>
            </w:r>
            <w:r w:rsidR="001E3B95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en </w:t>
            </w: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euros)</w:t>
            </w:r>
            <w:r w:rsidR="00A4736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(valeur brute – amortissements cumulés et dépréciations cumulées)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.</w:t>
            </w:r>
          </w:p>
          <w:p w14:paraId="10DA969B" w14:textId="77777777" w:rsidR="00D17F3C" w:rsidRDefault="00D17F3C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587DC6FB" w14:textId="02091B3B" w:rsidR="00D17F3C" w:rsidRPr="00106A4B" w:rsidRDefault="00D17F3C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Pour la </w:t>
            </w:r>
            <w:r w:rsidRPr="00386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ligne de total par des sociétés immobilières/foncières non cotées 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une bourse OCDE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mettre ici la valorisation comptable de cette société dans le bilan comptable.</w:t>
            </w:r>
          </w:p>
        </w:tc>
      </w:tr>
      <w:tr w:rsidR="00D17F3C" w:rsidRPr="00B67CFE" w14:paraId="00A7AA9D" w14:textId="77777777" w:rsidTr="004365F6">
        <w:trPr>
          <w:cantSplit/>
        </w:trPr>
        <w:tc>
          <w:tcPr>
            <w:tcW w:w="1563" w:type="dxa"/>
            <w:vAlign w:val="center"/>
          </w:tcPr>
          <w:p w14:paraId="6B39E19A" w14:textId="3D09384E" w:rsidR="00D17F3C" w:rsidRPr="00106A4B" w:rsidRDefault="00D17F3C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Valeur de réalisation</w:t>
            </w:r>
          </w:p>
        </w:tc>
        <w:tc>
          <w:tcPr>
            <w:tcW w:w="1126" w:type="dxa"/>
            <w:noWrap/>
            <w:vAlign w:val="center"/>
          </w:tcPr>
          <w:p w14:paraId="2690CDB4" w14:textId="09CCFCC7" w:rsidR="00D17F3C" w:rsidRPr="00106A4B" w:rsidRDefault="00D17F3C" w:rsidP="00A4736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C01</w:t>
            </w:r>
            <w:r w:rsidR="00A4736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73" w:type="dxa"/>
          </w:tcPr>
          <w:p w14:paraId="0A168F02" w14:textId="10F093D8" w:rsidR="00A53FCD" w:rsidRDefault="00A53FCD" w:rsidP="00A53F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Valeur </w:t>
            </w:r>
            <w:r w:rsidRPr="00A53FCD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de réalisation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du bien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,</w:t>
            </w: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calculée conformément à l’article R. 343-11 du code des assurances </w:t>
            </w:r>
            <w:r w:rsidRPr="00A53FCD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(</w:t>
            </w:r>
            <w:r w:rsidR="001E3B95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en </w:t>
            </w:r>
            <w:r w:rsidRPr="00A53FCD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euros)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.</w:t>
            </w:r>
          </w:p>
          <w:p w14:paraId="1E78F321" w14:textId="77777777" w:rsidR="00A53FCD" w:rsidRDefault="00A53FCD" w:rsidP="00A53F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1C303681" w14:textId="50068600" w:rsidR="00B81340" w:rsidRPr="00106A4B" w:rsidRDefault="00A53FCD" w:rsidP="00A53FC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Pour la </w:t>
            </w:r>
            <w:r w:rsidRPr="00386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ligne de total par des sociétés immobilières/foncières non cotées 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une bourse OCDE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mettre ici la v</w:t>
            </w: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aleur </w:t>
            </w:r>
            <w:r w:rsidRPr="00A53FCD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de réalisation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de cette société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,</w:t>
            </w:r>
            <w:r w:rsidR="003C512F"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calculée conformément à l’article R. 343-11 du code des assurances</w:t>
            </w:r>
            <w:r w:rsidRPr="00A53FCD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(</w:t>
            </w:r>
            <w:r w:rsidR="001E3B95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en </w:t>
            </w:r>
            <w:r w:rsidRPr="00A53FCD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euros)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.</w:t>
            </w:r>
          </w:p>
        </w:tc>
      </w:tr>
      <w:tr w:rsidR="00D17F3C" w:rsidRPr="00B67CFE" w14:paraId="03EAECF4" w14:textId="77777777" w:rsidTr="004365F6">
        <w:trPr>
          <w:cantSplit/>
        </w:trPr>
        <w:tc>
          <w:tcPr>
            <w:tcW w:w="1563" w:type="dxa"/>
            <w:vAlign w:val="center"/>
          </w:tcPr>
          <w:p w14:paraId="0DD154D1" w14:textId="25C1D8F6" w:rsidR="00D17F3C" w:rsidRPr="00106A4B" w:rsidRDefault="00D17F3C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Valorisation SII</w:t>
            </w:r>
          </w:p>
        </w:tc>
        <w:tc>
          <w:tcPr>
            <w:tcW w:w="1126" w:type="dxa"/>
            <w:noWrap/>
            <w:vAlign w:val="center"/>
          </w:tcPr>
          <w:p w14:paraId="32AF8894" w14:textId="50842412" w:rsidR="00D17F3C" w:rsidRPr="00106A4B" w:rsidRDefault="00D17F3C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C01</w:t>
            </w:r>
            <w:r w:rsidR="00A4736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73" w:type="dxa"/>
          </w:tcPr>
          <w:p w14:paraId="6E656395" w14:textId="6B27EBE6" w:rsidR="009A603A" w:rsidRDefault="009A603A" w:rsidP="009A60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Valorisation du bien dans le bilan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SII</w:t>
            </w: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(</w:t>
            </w:r>
            <w:r w:rsidR="001E3B95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en </w:t>
            </w: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euros)</w:t>
            </w:r>
            <w:r w:rsidR="00A4736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, complétée en application d</w:t>
            </w:r>
            <w:r w:rsidR="000B5620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es principes de valorisation én</w:t>
            </w:r>
            <w:r w:rsidR="00A4736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oncés d</w:t>
            </w:r>
            <w:r w:rsidR="000B5620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a</w:t>
            </w:r>
            <w:r w:rsidR="00A47367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ns la directive 2009/138/CE, le règlement délégué (UE) 2015/35 et les normes techniques et orientations solvabilités II.</w:t>
            </w:r>
          </w:p>
          <w:p w14:paraId="13176784" w14:textId="6241EADF" w:rsidR="00D17F3C" w:rsidRPr="00106A4B" w:rsidRDefault="009A603A" w:rsidP="00AD11F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Pour la </w:t>
            </w:r>
            <w:r w:rsidRPr="00386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ligne de total par des sociétés immobilières/foncières non cotées 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une bourse OCDE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mettre ici la valorisation de cette société dans le bilan SII.</w:t>
            </w:r>
          </w:p>
        </w:tc>
      </w:tr>
      <w:tr w:rsidR="00D17F3C" w:rsidRPr="00B67CFE" w14:paraId="728C7924" w14:textId="77777777" w:rsidTr="004365F6">
        <w:trPr>
          <w:cantSplit/>
        </w:trPr>
        <w:tc>
          <w:tcPr>
            <w:tcW w:w="1563" w:type="dxa"/>
            <w:vAlign w:val="center"/>
          </w:tcPr>
          <w:p w14:paraId="099AEB0C" w14:textId="18AD19EE" w:rsidR="00D17F3C" w:rsidRPr="00106A4B" w:rsidRDefault="00D17F3C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Surface utile</w:t>
            </w:r>
          </w:p>
        </w:tc>
        <w:tc>
          <w:tcPr>
            <w:tcW w:w="1126" w:type="dxa"/>
            <w:noWrap/>
            <w:vAlign w:val="center"/>
          </w:tcPr>
          <w:p w14:paraId="1737E044" w14:textId="15DC60A1" w:rsidR="00D17F3C" w:rsidRPr="00106A4B" w:rsidRDefault="00D17F3C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C01</w:t>
            </w:r>
            <w:r w:rsidR="00A4736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73" w:type="dxa"/>
          </w:tcPr>
          <w:p w14:paraId="41CC844C" w14:textId="26662443" w:rsidR="00D17F3C" w:rsidRDefault="009A603A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9A603A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Surface utile du bien (Loi Carrez pour l'immobilier résidentiel)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.</w:t>
            </w:r>
          </w:p>
          <w:p w14:paraId="3789E8D2" w14:textId="40B588E5" w:rsidR="009A603A" w:rsidRDefault="009A603A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55A33DF3" w14:textId="0213867C" w:rsidR="009A603A" w:rsidRPr="00106A4B" w:rsidRDefault="009A603A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Pour la </w:t>
            </w:r>
            <w:r w:rsidRPr="00386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ligne de total par des sociétés immobilières/foncières non cotées 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une bourse OCDE, ce champ n’est pas attendu.</w:t>
            </w:r>
          </w:p>
        </w:tc>
      </w:tr>
      <w:tr w:rsidR="00D17F3C" w:rsidRPr="00B67CFE" w14:paraId="216B1732" w14:textId="77777777" w:rsidTr="004365F6">
        <w:trPr>
          <w:cantSplit/>
        </w:trPr>
        <w:tc>
          <w:tcPr>
            <w:tcW w:w="1563" w:type="dxa"/>
            <w:vAlign w:val="center"/>
          </w:tcPr>
          <w:p w14:paraId="53C606CB" w14:textId="3C045FF7" w:rsidR="00D17F3C" w:rsidRPr="00106A4B" w:rsidRDefault="00D17F3C" w:rsidP="008B373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Code INSEE</w:t>
            </w:r>
          </w:p>
        </w:tc>
        <w:tc>
          <w:tcPr>
            <w:tcW w:w="1126" w:type="dxa"/>
            <w:noWrap/>
            <w:vAlign w:val="center"/>
          </w:tcPr>
          <w:p w14:paraId="6EFF8F4E" w14:textId="4273BE61" w:rsidR="00D17F3C" w:rsidRPr="00106A4B" w:rsidRDefault="00D17F3C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C01</w:t>
            </w:r>
            <w:r w:rsidR="00A47367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73" w:type="dxa"/>
          </w:tcPr>
          <w:p w14:paraId="6E5C07FF" w14:textId="636615D4" w:rsidR="009A603A" w:rsidRPr="009A603A" w:rsidRDefault="009A603A" w:rsidP="009A60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9A603A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Code INSEE de la ville</w:t>
            </w:r>
            <w:r w:rsidR="008B373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dans lequel est situé le bien, uniquement si le bien est localisé en France.</w:t>
            </w:r>
          </w:p>
          <w:p w14:paraId="7446B503" w14:textId="77777777" w:rsidR="009A603A" w:rsidRDefault="009A603A" w:rsidP="009A60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5D29A350" w14:textId="1F64EB52" w:rsidR="009A603A" w:rsidRPr="00106A4B" w:rsidRDefault="009A603A" w:rsidP="009A60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Pour la </w:t>
            </w:r>
            <w:r w:rsidRPr="00386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ligne de total par des sociétés immobilières/foncières non cotées 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une bourse OCDE, ce champ n’est pas attendu.</w:t>
            </w:r>
          </w:p>
        </w:tc>
      </w:tr>
      <w:tr w:rsidR="009A603A" w:rsidRPr="00B67CFE" w14:paraId="27CA8A44" w14:textId="77777777" w:rsidTr="004365F6">
        <w:trPr>
          <w:cantSplit/>
        </w:trPr>
        <w:tc>
          <w:tcPr>
            <w:tcW w:w="1563" w:type="dxa"/>
            <w:vAlign w:val="center"/>
          </w:tcPr>
          <w:p w14:paraId="44BC2D51" w14:textId="188EDEC1" w:rsidR="009A603A" w:rsidRPr="00D17F3C" w:rsidRDefault="009A603A" w:rsidP="008B37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Code ISO</w:t>
            </w:r>
          </w:p>
        </w:tc>
        <w:tc>
          <w:tcPr>
            <w:tcW w:w="1126" w:type="dxa"/>
            <w:noWrap/>
            <w:vAlign w:val="center"/>
          </w:tcPr>
          <w:p w14:paraId="02234CAE" w14:textId="6D5B6A6C" w:rsidR="009A603A" w:rsidRDefault="009A603A" w:rsidP="00D17F3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C01</w:t>
            </w:r>
            <w:r w:rsidR="00A47367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73" w:type="dxa"/>
          </w:tcPr>
          <w:p w14:paraId="2DF1810F" w14:textId="77777777" w:rsidR="009A603A" w:rsidRDefault="008B373B" w:rsidP="008B37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Code ISO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du pays ou est localisé le bien.</w:t>
            </w:r>
          </w:p>
          <w:p w14:paraId="609B3440" w14:textId="77777777" w:rsidR="008B373B" w:rsidRDefault="008B373B" w:rsidP="008B37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1F4150EE" w14:textId="3D305B02" w:rsidR="008B373B" w:rsidRPr="008B373B" w:rsidRDefault="008B373B" w:rsidP="008B37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Pour la </w:t>
            </w:r>
            <w:r w:rsidRPr="00386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ligne de total par des sociétés immobilières/foncières non cotées 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une bourse OCDE, ce champ n’est pas attendu.</w:t>
            </w:r>
          </w:p>
        </w:tc>
      </w:tr>
      <w:tr w:rsidR="009A603A" w:rsidRPr="00B67CFE" w14:paraId="1E1DD22F" w14:textId="77777777" w:rsidTr="004365F6">
        <w:trPr>
          <w:cantSplit/>
        </w:trPr>
        <w:tc>
          <w:tcPr>
            <w:tcW w:w="1563" w:type="dxa"/>
            <w:vAlign w:val="center"/>
          </w:tcPr>
          <w:p w14:paraId="6997BC97" w14:textId="7D164589" w:rsidR="009A603A" w:rsidRPr="00106A4B" w:rsidRDefault="009A603A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Date de construction du bien</w:t>
            </w:r>
          </w:p>
        </w:tc>
        <w:tc>
          <w:tcPr>
            <w:tcW w:w="1126" w:type="dxa"/>
            <w:noWrap/>
            <w:vAlign w:val="center"/>
          </w:tcPr>
          <w:p w14:paraId="7D2AED6E" w14:textId="71E22CE4" w:rsidR="009A603A" w:rsidRPr="00106A4B" w:rsidRDefault="009A603A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C01</w:t>
            </w:r>
            <w:r w:rsidR="00A47367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73" w:type="dxa"/>
          </w:tcPr>
          <w:p w14:paraId="0EF9A0CD" w14:textId="1FC8E51C" w:rsidR="008B373B" w:rsidRPr="00106A4B" w:rsidRDefault="008B373B" w:rsidP="008B37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8B373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Date de </w:t>
            </w:r>
            <w:r w:rsidR="00C5446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déclaration d’achèvement des travaux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, uniquement pour les bien de type autre que « 5. Terrain ».</w:t>
            </w:r>
          </w:p>
          <w:p w14:paraId="1FB082E7" w14:textId="69FAAD69" w:rsidR="009A603A" w:rsidRDefault="009A603A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72E38979" w14:textId="2F8B1C04" w:rsidR="008B373B" w:rsidRPr="00106A4B" w:rsidRDefault="008B373B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Pour la </w:t>
            </w:r>
            <w:r w:rsidRPr="00386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ligne de total par des sociétés immobilières/foncières non cotées 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une bourse OCDE, ce champ n’est pas attendu.</w:t>
            </w:r>
          </w:p>
        </w:tc>
      </w:tr>
      <w:tr w:rsidR="009A603A" w:rsidRPr="00B67CFE" w14:paraId="4FBC73BD" w14:textId="77777777" w:rsidTr="004365F6">
        <w:trPr>
          <w:cantSplit/>
        </w:trPr>
        <w:tc>
          <w:tcPr>
            <w:tcW w:w="1563" w:type="dxa"/>
            <w:vAlign w:val="center"/>
          </w:tcPr>
          <w:p w14:paraId="6CF0C571" w14:textId="12673F2D" w:rsidR="009A603A" w:rsidRPr="00D17F3C" w:rsidRDefault="009A603A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Date de la dernière évaluation quinquennale</w:t>
            </w:r>
          </w:p>
        </w:tc>
        <w:tc>
          <w:tcPr>
            <w:tcW w:w="1126" w:type="dxa"/>
            <w:noWrap/>
            <w:vAlign w:val="center"/>
          </w:tcPr>
          <w:p w14:paraId="6BD36C8B" w14:textId="0CE12BFB" w:rsidR="009A603A" w:rsidRPr="00D17F3C" w:rsidRDefault="009A603A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C01</w:t>
            </w:r>
            <w:r w:rsidR="00A41C43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73" w:type="dxa"/>
          </w:tcPr>
          <w:p w14:paraId="28F8114D" w14:textId="086E2522" w:rsidR="008B373B" w:rsidRPr="00D17F3C" w:rsidRDefault="008B373B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8B373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Date de la dernière évaluation qui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n</w:t>
            </w:r>
            <w:r w:rsidRPr="008B373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quennale</w:t>
            </w:r>
            <w:r w:rsidR="003C512F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.</w:t>
            </w:r>
          </w:p>
        </w:tc>
      </w:tr>
      <w:tr w:rsidR="009A603A" w:rsidRPr="00B67CFE" w14:paraId="3F9AA830" w14:textId="77777777" w:rsidTr="004365F6">
        <w:trPr>
          <w:cantSplit/>
        </w:trPr>
        <w:tc>
          <w:tcPr>
            <w:tcW w:w="1563" w:type="dxa"/>
            <w:vAlign w:val="center"/>
          </w:tcPr>
          <w:p w14:paraId="5334244D" w14:textId="1DEF5BA5" w:rsidR="009A603A" w:rsidRPr="00D17F3C" w:rsidRDefault="009A603A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D17F3C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lastRenderedPageBreak/>
              <w:t>Secteur NACE du locataire</w:t>
            </w:r>
          </w:p>
        </w:tc>
        <w:tc>
          <w:tcPr>
            <w:tcW w:w="1126" w:type="dxa"/>
            <w:noWrap/>
            <w:vAlign w:val="center"/>
          </w:tcPr>
          <w:p w14:paraId="12617C9C" w14:textId="435C81D9" w:rsidR="009A603A" w:rsidRPr="00106A4B" w:rsidRDefault="009A603A" w:rsidP="00D17F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C01</w:t>
            </w:r>
            <w:r w:rsidR="00A41C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73" w:type="dxa"/>
          </w:tcPr>
          <w:p w14:paraId="6EC7D967" w14:textId="2F210713" w:rsidR="00A41C43" w:rsidRDefault="008B373B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8B373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Code NACE</w:t>
            </w:r>
            <w:r w:rsidR="000B5620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du locataire,</w:t>
            </w:r>
            <w:r w:rsidRPr="008B373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lorsque </w:t>
            </w:r>
            <w:r w:rsidR="00A41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la nature du bien immobilier correspond à l’une des trois modalités suivantes : </w:t>
            </w:r>
          </w:p>
          <w:p w14:paraId="377C6268" w14:textId="6653C476" w:rsidR="00A41C43" w:rsidRPr="00106A4B" w:rsidRDefault="00A41C43" w:rsidP="00A41C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2. Immobilier commercial (hôtels, restaurant, centre commercial, ...) ;</w:t>
            </w:r>
          </w:p>
          <w:p w14:paraId="39D7FB76" w14:textId="162BAA7D" w:rsidR="00A41C43" w:rsidRPr="00106A4B" w:rsidRDefault="00A41C43" w:rsidP="00A41C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3. Immobilier de bureau ;</w:t>
            </w:r>
          </w:p>
          <w:p w14:paraId="2DD6A2E1" w14:textId="347BCE55" w:rsidR="00A41C43" w:rsidRPr="00106A4B" w:rsidRDefault="00A41C43" w:rsidP="00A41C4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4. Immobilier industriel (usine,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</w:t>
            </w:r>
            <w:r w:rsidRPr="00106A4B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centre logistique, …) ;</w:t>
            </w:r>
          </w:p>
          <w:p w14:paraId="40B7A541" w14:textId="2406CC13" w:rsidR="00A41C43" w:rsidRDefault="00A41C43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5C5760C2" w14:textId="075BF045" w:rsidR="009A603A" w:rsidRDefault="00DB4CA4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Si le bien est loué </w:t>
            </w:r>
            <w:r w:rsidR="00BD7655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à titre commercial</w:t>
            </w:r>
            <w:r w:rsidR="00A41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à plusieurs locataires, fournir le code NACE pour l’activité principale (celle générant le plus de revenus locatifs), du </w:t>
            </w:r>
            <w:r w:rsidR="008662A1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moment</w:t>
            </w:r>
            <w:r w:rsidR="00A41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qu’elle représente </w:t>
            </w:r>
            <w:r w:rsidR="00BD7655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au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moins 40% </w:t>
            </w:r>
            <w:r w:rsidR="00A41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du total.</w:t>
            </w:r>
            <w:r w:rsidR="00FB709D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Dans le cas où ce seuil ne serait pas atteint, la fourniture du code NACE pour l’activité principale n’est pas exigée.</w:t>
            </w:r>
          </w:p>
          <w:p w14:paraId="58E3C269" w14:textId="77777777" w:rsidR="008B373B" w:rsidRDefault="008B373B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40F62FF5" w14:textId="34A61800" w:rsidR="008B373B" w:rsidRPr="008B373B" w:rsidRDefault="008B373B" w:rsidP="00D17F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Pour la </w:t>
            </w:r>
            <w:r w:rsidRPr="00386C43"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>ligne de total par des sociétés immobilières/foncières non cotées 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une bourse OCDE, ce champ n’est pas attendu.</w:t>
            </w:r>
          </w:p>
        </w:tc>
      </w:tr>
    </w:tbl>
    <w:p w14:paraId="0A12CDF2" w14:textId="77777777" w:rsidR="007D717D" w:rsidRDefault="007D717D">
      <w:pPr>
        <w:sectPr w:rsidR="007D71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br w:type="page"/>
      </w:r>
    </w:p>
    <w:p w14:paraId="7DD4A6BD" w14:textId="077E0F04" w:rsidR="007D717D" w:rsidRDefault="007D717D">
      <w:pPr>
        <w:rPr>
          <w:rFonts w:ascii="Arial" w:eastAsiaTheme="majorEastAsia" w:hAnsi="Arial" w:cs="Arial"/>
          <w:bCs/>
          <w:sz w:val="32"/>
          <w:szCs w:val="32"/>
        </w:rPr>
      </w:pPr>
    </w:p>
    <w:p w14:paraId="4471B404" w14:textId="107F4708" w:rsidR="00EF05E0" w:rsidRDefault="007D717D" w:rsidP="0042508A">
      <w:pPr>
        <w:pStyle w:val="Titre1"/>
      </w:pPr>
      <w:r>
        <w:t>Tableaux</w:t>
      </w:r>
    </w:p>
    <w:p w14:paraId="13F35703" w14:textId="77777777" w:rsidR="007D717D" w:rsidRPr="007D717D" w:rsidRDefault="007D717D"/>
    <w:p w14:paraId="5D6E3EC7" w14:textId="0CFDAA3E" w:rsidR="007D717D" w:rsidRDefault="00DB6CD6" w:rsidP="00610A41">
      <w:r w:rsidRPr="00DB6CD6">
        <w:rPr>
          <w:noProof/>
          <w:lang w:eastAsia="fr-FR"/>
        </w:rPr>
        <w:drawing>
          <wp:inline distT="0" distB="0" distL="0" distR="0" wp14:anchorId="7A78C40B" wp14:editId="39A6CCC0">
            <wp:extent cx="9335599" cy="96129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68190" cy="964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4DCE3" w14:textId="2440AB80" w:rsidR="007D717D" w:rsidRPr="00B67CFE" w:rsidRDefault="007D717D" w:rsidP="00610A41"/>
    <w:sectPr w:rsidR="007D717D" w:rsidRPr="00B67CFE" w:rsidSect="004250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B057B"/>
    <w:multiLevelType w:val="hybridMultilevel"/>
    <w:tmpl w:val="4DAC1EB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2E6804"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0939"/>
    <w:multiLevelType w:val="multilevel"/>
    <w:tmpl w:val="FE5E0CC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DF5C51"/>
    <w:multiLevelType w:val="hybridMultilevel"/>
    <w:tmpl w:val="8A88F8DC"/>
    <w:lvl w:ilvl="0" w:tplc="86C0E3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3024"/>
    <w:multiLevelType w:val="hybridMultilevel"/>
    <w:tmpl w:val="660A09B2"/>
    <w:lvl w:ilvl="0" w:tplc="BE400E34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60834"/>
    <w:multiLevelType w:val="hybridMultilevel"/>
    <w:tmpl w:val="84DC73B2"/>
    <w:lvl w:ilvl="0" w:tplc="4514875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05B83"/>
    <w:multiLevelType w:val="hybridMultilevel"/>
    <w:tmpl w:val="AFC6E6D0"/>
    <w:lvl w:ilvl="0" w:tplc="E4C609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E5998"/>
    <w:multiLevelType w:val="hybridMultilevel"/>
    <w:tmpl w:val="70841138"/>
    <w:lvl w:ilvl="0" w:tplc="49A6BEE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6421"/>
    <w:multiLevelType w:val="hybridMultilevel"/>
    <w:tmpl w:val="75FE1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442EF"/>
    <w:multiLevelType w:val="hybridMultilevel"/>
    <w:tmpl w:val="8FF2A786"/>
    <w:lvl w:ilvl="0" w:tplc="9F66AF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6C11E6"/>
    <w:multiLevelType w:val="hybridMultilevel"/>
    <w:tmpl w:val="B79ED6F4"/>
    <w:lvl w:ilvl="0" w:tplc="3DAC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110"/>
    <w:rsid w:val="000154D5"/>
    <w:rsid w:val="00034290"/>
    <w:rsid w:val="00075268"/>
    <w:rsid w:val="00081046"/>
    <w:rsid w:val="000A288B"/>
    <w:rsid w:val="000A2917"/>
    <w:rsid w:val="000B5620"/>
    <w:rsid w:val="000E13E2"/>
    <w:rsid w:val="000F4A34"/>
    <w:rsid w:val="00102B82"/>
    <w:rsid w:val="00106A4B"/>
    <w:rsid w:val="00107559"/>
    <w:rsid w:val="00154536"/>
    <w:rsid w:val="00176FEC"/>
    <w:rsid w:val="001A6110"/>
    <w:rsid w:val="001B6486"/>
    <w:rsid w:val="001E3B95"/>
    <w:rsid w:val="002952BD"/>
    <w:rsid w:val="002A099E"/>
    <w:rsid w:val="002A1AB9"/>
    <w:rsid w:val="002B05A1"/>
    <w:rsid w:val="002C3566"/>
    <w:rsid w:val="002F4439"/>
    <w:rsid w:val="002F6E26"/>
    <w:rsid w:val="00304511"/>
    <w:rsid w:val="00334BE2"/>
    <w:rsid w:val="003605CA"/>
    <w:rsid w:val="00362C4E"/>
    <w:rsid w:val="00363170"/>
    <w:rsid w:val="00386C43"/>
    <w:rsid w:val="003A6629"/>
    <w:rsid w:val="003C512F"/>
    <w:rsid w:val="0042508A"/>
    <w:rsid w:val="00467654"/>
    <w:rsid w:val="004900F2"/>
    <w:rsid w:val="004B24C1"/>
    <w:rsid w:val="005B4871"/>
    <w:rsid w:val="00610A41"/>
    <w:rsid w:val="00612C05"/>
    <w:rsid w:val="00655BE7"/>
    <w:rsid w:val="00664BF9"/>
    <w:rsid w:val="0067340B"/>
    <w:rsid w:val="00681414"/>
    <w:rsid w:val="00690881"/>
    <w:rsid w:val="00693B08"/>
    <w:rsid w:val="007412B8"/>
    <w:rsid w:val="007577A5"/>
    <w:rsid w:val="00773585"/>
    <w:rsid w:val="007D717D"/>
    <w:rsid w:val="0082330A"/>
    <w:rsid w:val="008662A1"/>
    <w:rsid w:val="008B373B"/>
    <w:rsid w:val="008E6B11"/>
    <w:rsid w:val="00940C55"/>
    <w:rsid w:val="00977C49"/>
    <w:rsid w:val="009A603A"/>
    <w:rsid w:val="009C7421"/>
    <w:rsid w:val="009E359D"/>
    <w:rsid w:val="00A05B2F"/>
    <w:rsid w:val="00A10E54"/>
    <w:rsid w:val="00A41C43"/>
    <w:rsid w:val="00A47367"/>
    <w:rsid w:val="00A53FCD"/>
    <w:rsid w:val="00AD11FA"/>
    <w:rsid w:val="00AD6F1A"/>
    <w:rsid w:val="00B05DFD"/>
    <w:rsid w:val="00B11F43"/>
    <w:rsid w:val="00B1550C"/>
    <w:rsid w:val="00B277F8"/>
    <w:rsid w:val="00B40250"/>
    <w:rsid w:val="00B458E4"/>
    <w:rsid w:val="00B62A33"/>
    <w:rsid w:val="00B67CFE"/>
    <w:rsid w:val="00B70A78"/>
    <w:rsid w:val="00B72694"/>
    <w:rsid w:val="00B81340"/>
    <w:rsid w:val="00BD2C54"/>
    <w:rsid w:val="00BD7655"/>
    <w:rsid w:val="00BF5A76"/>
    <w:rsid w:val="00C11C1F"/>
    <w:rsid w:val="00C54463"/>
    <w:rsid w:val="00C76A14"/>
    <w:rsid w:val="00CB4B4E"/>
    <w:rsid w:val="00CB5A12"/>
    <w:rsid w:val="00D051BC"/>
    <w:rsid w:val="00D17F3C"/>
    <w:rsid w:val="00DB4CA4"/>
    <w:rsid w:val="00DB6CD6"/>
    <w:rsid w:val="00DD4893"/>
    <w:rsid w:val="00DF3F43"/>
    <w:rsid w:val="00E27AA2"/>
    <w:rsid w:val="00E66D49"/>
    <w:rsid w:val="00E67A77"/>
    <w:rsid w:val="00E8578C"/>
    <w:rsid w:val="00EE4394"/>
    <w:rsid w:val="00EE46FD"/>
    <w:rsid w:val="00EF05E0"/>
    <w:rsid w:val="00EF1F9A"/>
    <w:rsid w:val="00F55B59"/>
    <w:rsid w:val="00F82670"/>
    <w:rsid w:val="00FB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F7B3D"/>
  <w15:chartTrackingRefBased/>
  <w15:docId w15:val="{4F9F9145-9227-4591-954D-4097152A2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42508A"/>
    <w:pPr>
      <w:numPr>
        <w:numId w:val="3"/>
      </w:numPr>
      <w:spacing w:after="0" w:line="360" w:lineRule="auto"/>
      <w:ind w:left="720"/>
      <w:jc w:val="both"/>
      <w:outlineLvl w:val="0"/>
    </w:pPr>
    <w:rPr>
      <w:rFonts w:ascii="Times New Roman" w:eastAsia="Times New Roman" w:hAnsi="Times New Roman" w:cs="Times New Roman"/>
      <w:b/>
      <w:bCs/>
      <w:color w:val="345A8A"/>
      <w:sz w:val="28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10A4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81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046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081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81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81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81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81046"/>
    <w:rPr>
      <w:b/>
      <w:bCs/>
      <w:sz w:val="20"/>
      <w:szCs w:val="20"/>
    </w:rPr>
  </w:style>
  <w:style w:type="paragraph" w:customStyle="1" w:styleId="tbl-norm">
    <w:name w:val="tbl-norm"/>
    <w:basedOn w:val="Normal"/>
    <w:rsid w:val="0008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ocTitle">
    <w:name w:val="Doc Title"/>
    <w:basedOn w:val="Normal"/>
    <w:next w:val="Titre1"/>
    <w:rsid w:val="00176FEC"/>
    <w:pPr>
      <w:spacing w:before="480" w:after="240" w:line="480" w:lineRule="atLeast"/>
      <w:jc w:val="center"/>
    </w:pPr>
    <w:rPr>
      <w:rFonts w:ascii="Times New Roman" w:eastAsia="Times New Roman" w:hAnsi="Times New Roman" w:cs="Times New Roman"/>
      <w:b/>
      <w:bCs/>
      <w:caps/>
      <w:sz w:val="32"/>
      <w:szCs w:val="32"/>
      <w:lang w:eastAsia="fr-FR"/>
    </w:rPr>
  </w:style>
  <w:style w:type="paragraph" w:customStyle="1" w:styleId="CharChar1Char">
    <w:name w:val="Char Char1 Char"/>
    <w:basedOn w:val="Normal"/>
    <w:rsid w:val="00176FEC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Titre1Car">
    <w:name w:val="Titre 1 Car"/>
    <w:basedOn w:val="Policepardfaut"/>
    <w:link w:val="Titre1"/>
    <w:rsid w:val="0042508A"/>
    <w:rPr>
      <w:rFonts w:ascii="Times New Roman" w:eastAsia="Times New Roman" w:hAnsi="Times New Roman" w:cs="Times New Roman"/>
      <w:b/>
      <w:bCs/>
      <w:color w:val="345A8A"/>
      <w:sz w:val="28"/>
      <w:szCs w:val="32"/>
      <w:lang w:eastAsia="fr-FR"/>
    </w:rPr>
  </w:style>
  <w:style w:type="character" w:styleId="Lienhypertexte">
    <w:name w:val="Hyperlink"/>
    <w:basedOn w:val="Policepardfaut"/>
    <w:uiPriority w:val="99"/>
    <w:unhideWhenUsed/>
    <w:rsid w:val="001B6486"/>
    <w:rPr>
      <w:color w:val="0000FF"/>
      <w:u w:val="single"/>
    </w:rPr>
  </w:style>
  <w:style w:type="paragraph" w:styleId="Paragraphedeliste">
    <w:name w:val="List Paragraph"/>
    <w:aliases w:val="Dot pt,Colorful List - Accent 11,No Spacing1,List Paragraph Char Char Char,Indicator Text,Numbered Para 1,Bullet 1,F5 List Paragraph,Bullet Points,List Paragraph1,List Paragraph2,List Paragraph12,MAIN CONTENT,Normal numbered,EC"/>
    <w:basedOn w:val="Normal"/>
    <w:link w:val="ParagraphedelisteCar"/>
    <w:uiPriority w:val="1"/>
    <w:qFormat/>
    <w:rsid w:val="00773585"/>
    <w:pPr>
      <w:ind w:left="720"/>
      <w:contextualSpacing/>
    </w:pPr>
  </w:style>
  <w:style w:type="character" w:customStyle="1" w:styleId="ParagraphedelisteCar">
    <w:name w:val="Paragraphe de liste Car"/>
    <w:aliases w:val="Dot pt Car,Colorful List - Accent 11 Car,No Spacing1 Car,List Paragraph Char Char Char Car,Indicator Text Car,Numbered Para 1 Car,Bullet 1 Car,F5 List Paragraph Car,Bullet Points Car,List Paragraph1 Car,List Paragraph2 Car,EC Car"/>
    <w:basedOn w:val="Policepardfaut"/>
    <w:link w:val="Paragraphedeliste"/>
    <w:uiPriority w:val="34"/>
    <w:locked/>
    <w:rsid w:val="00B67CFE"/>
  </w:style>
  <w:style w:type="paragraph" w:customStyle="1" w:styleId="Default">
    <w:name w:val="Default"/>
    <w:rsid w:val="009C7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E67A77"/>
    <w:pPr>
      <w:spacing w:after="0" w:line="240" w:lineRule="auto"/>
    </w:pPr>
  </w:style>
  <w:style w:type="paragraph" w:styleId="Titre">
    <w:name w:val="Title"/>
    <w:basedOn w:val="Normal"/>
    <w:next w:val="Normal"/>
    <w:link w:val="TitreCar"/>
    <w:qFormat/>
    <w:rsid w:val="004900F2"/>
    <w:pPr>
      <w:spacing w:after="0" w:line="240" w:lineRule="auto"/>
      <w:jc w:val="center"/>
    </w:pPr>
    <w:rPr>
      <w:rFonts w:ascii="Arial" w:hAnsi="Arial" w:cs="Arial"/>
      <w:b/>
      <w:color w:val="003B8E"/>
      <w:sz w:val="32"/>
      <w:szCs w:val="32"/>
    </w:rPr>
  </w:style>
  <w:style w:type="character" w:customStyle="1" w:styleId="TitreCar">
    <w:name w:val="Titre Car"/>
    <w:basedOn w:val="Policepardfaut"/>
    <w:link w:val="Titre"/>
    <w:rsid w:val="004900F2"/>
    <w:rPr>
      <w:rFonts w:ascii="Arial" w:hAnsi="Arial" w:cs="Arial"/>
      <w:b/>
      <w:color w:val="003B8E"/>
      <w:sz w:val="32"/>
      <w:szCs w:val="32"/>
    </w:rPr>
  </w:style>
  <w:style w:type="character" w:styleId="Lienhypertextesuivivisit">
    <w:name w:val="FollowedHyperlink"/>
    <w:basedOn w:val="Policepardfaut"/>
    <w:uiPriority w:val="99"/>
    <w:semiHidden/>
    <w:unhideWhenUsed/>
    <w:rsid w:val="00E66D49"/>
    <w:rPr>
      <w:color w:val="954F72" w:themeColor="followedHyperlink"/>
      <w:u w:val="single"/>
    </w:rPr>
  </w:style>
  <w:style w:type="paragraph" w:styleId="Sansinterligne">
    <w:name w:val="No Spacing"/>
    <w:uiPriority w:val="1"/>
    <w:qFormat/>
    <w:rsid w:val="00655B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eur-lex.europa.eu/legal-content/FR/TXT/HTML/?uri=CELEX:32019Y0813(01)&amp;from=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3C4DF-9FFC-4560-AD75-F9F9853E9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1239</Words>
  <Characters>6820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WILKINSON Baptiste (UA 2775)</dc:creator>
  <cp:keywords/>
  <dc:description/>
  <cp:lastModifiedBy>MESNARD Aurélien (UA 2775)</cp:lastModifiedBy>
  <cp:revision>5</cp:revision>
  <cp:lastPrinted>2020-09-24T08:49:00Z</cp:lastPrinted>
  <dcterms:created xsi:type="dcterms:W3CDTF">2021-10-19T16:37:00Z</dcterms:created>
  <dcterms:modified xsi:type="dcterms:W3CDTF">2021-11-08T17:43:00Z</dcterms:modified>
</cp:coreProperties>
</file>