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E1A47" w14:textId="1A49FFF8" w:rsidR="00EB0D85" w:rsidRDefault="004023B7" w:rsidP="00EB0D85">
      <w:pPr>
        <w:rPr>
          <w:rFonts w:ascii="Times New Roman" w:hAnsi="Times New Roman" w:cs="Times New Roman"/>
          <w:b/>
          <w:sz w:val="20"/>
        </w:rPr>
      </w:pPr>
      <w:bookmarkStart w:id="0" w:name="_GoBack"/>
      <w:bookmarkEnd w:id="0"/>
      <w:r>
        <w:rPr>
          <w:noProof/>
        </w:rPr>
        <w:drawing>
          <wp:inline distT="0" distB="0" distL="0" distR="0" wp14:anchorId="220C77B8" wp14:editId="535995B3">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9">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2882F973" w14:textId="77777777" w:rsidR="00EB0D85" w:rsidRPr="00AF1D16" w:rsidDel="00160A5F" w:rsidRDefault="00EB0D85" w:rsidP="00EB0D85">
      <w:pPr>
        <w:jc w:val="center"/>
        <w:rPr>
          <w:rFonts w:ascii="Times New Roman" w:hAnsi="Times New Roman" w:cs="Times New Roman"/>
          <w:b/>
          <w:color w:val="003B8E"/>
          <w:sz w:val="32"/>
          <w:szCs w:val="32"/>
        </w:rPr>
      </w:pPr>
      <w:r w:rsidRPr="00AF1D16" w:rsidDel="00160A5F">
        <w:rPr>
          <w:rFonts w:ascii="Times New Roman" w:hAnsi="Times New Roman" w:cs="Times New Roman"/>
          <w:b/>
          <w:color w:val="003B8E"/>
          <w:sz w:val="32"/>
          <w:szCs w:val="32"/>
        </w:rPr>
        <w:t>Guide méthodologique</w:t>
      </w:r>
    </w:p>
    <w:p w14:paraId="6F570785" w14:textId="4A8C8C7E" w:rsidR="00E6768E" w:rsidRPr="00AF1D16" w:rsidRDefault="00E6768E" w:rsidP="00E6768E">
      <w:pPr>
        <w:jc w:val="center"/>
        <w:rPr>
          <w:rFonts w:ascii="Times New Roman" w:hAnsi="Times New Roman" w:cs="Times New Roman"/>
          <w:b/>
          <w:color w:val="003B8E"/>
          <w:sz w:val="28"/>
          <w:szCs w:val="32"/>
        </w:rPr>
      </w:pPr>
      <w:r w:rsidRPr="00AF1D16">
        <w:rPr>
          <w:rFonts w:ascii="Times New Roman" w:hAnsi="Times New Roman" w:cs="Times New Roman"/>
          <w:b/>
          <w:color w:val="003B8E"/>
          <w:sz w:val="28"/>
          <w:szCs w:val="32"/>
        </w:rPr>
        <w:t>Modèle des états « </w:t>
      </w:r>
      <w:r w:rsidRPr="00E6768E">
        <w:rPr>
          <w:rFonts w:ascii="Times New Roman" w:hAnsi="Times New Roman" w:cs="Times New Roman"/>
          <w:b/>
          <w:color w:val="003B8E"/>
          <w:sz w:val="28"/>
          <w:szCs w:val="32"/>
        </w:rPr>
        <w:t>Contrats de prêt de titres et de mise en pension de titres</w:t>
      </w:r>
      <w:r>
        <w:rPr>
          <w:rFonts w:ascii="Times New Roman" w:hAnsi="Times New Roman" w:cs="Times New Roman"/>
          <w:b/>
          <w:color w:val="003B8E"/>
          <w:sz w:val="28"/>
          <w:szCs w:val="32"/>
        </w:rPr>
        <w:t xml:space="preserve"> </w:t>
      </w:r>
      <w:r w:rsidRPr="00AF1D16">
        <w:rPr>
          <w:rFonts w:ascii="Times New Roman" w:hAnsi="Times New Roman" w:cs="Times New Roman"/>
          <w:b/>
          <w:color w:val="003B8E"/>
          <w:sz w:val="28"/>
          <w:szCs w:val="32"/>
        </w:rPr>
        <w:t>» (RP</w:t>
      </w:r>
      <w:r>
        <w:rPr>
          <w:rFonts w:ascii="Times New Roman" w:hAnsi="Times New Roman" w:cs="Times New Roman"/>
          <w:b/>
          <w:color w:val="003B8E"/>
          <w:sz w:val="28"/>
          <w:szCs w:val="32"/>
        </w:rPr>
        <w:t>.10.01</w:t>
      </w:r>
      <w:r w:rsidRPr="00AF1D16">
        <w:rPr>
          <w:rFonts w:ascii="Times New Roman" w:hAnsi="Times New Roman" w:cs="Times New Roman"/>
          <w:b/>
          <w:color w:val="003B8E"/>
          <w:sz w:val="28"/>
          <w:szCs w:val="32"/>
        </w:rPr>
        <w:t>.01) :</w:t>
      </w:r>
    </w:p>
    <w:p w14:paraId="3BB44224" w14:textId="77777777" w:rsidR="0095672C" w:rsidRPr="008B3312" w:rsidRDefault="0095672C">
      <w:pPr>
        <w:rPr>
          <w:rFonts w:ascii="Times New Roman" w:hAnsi="Times New Roman" w:cs="Times New Roman"/>
          <w:sz w:val="20"/>
          <w:szCs w:val="20"/>
        </w:rPr>
      </w:pPr>
    </w:p>
    <w:p w14:paraId="6985CF34" w14:textId="77777777" w:rsidR="0095672C" w:rsidRPr="008B3312" w:rsidRDefault="0095672C">
      <w:pPr>
        <w:rPr>
          <w:rFonts w:ascii="Times New Roman" w:hAnsi="Times New Roman" w:cs="Times New Roman"/>
          <w:b/>
          <w:bCs/>
          <w:sz w:val="20"/>
          <w:szCs w:val="20"/>
        </w:rPr>
      </w:pPr>
      <w:r>
        <w:rPr>
          <w:rFonts w:ascii="Times New Roman" w:hAnsi="Times New Roman"/>
          <w:b/>
          <w:sz w:val="20"/>
        </w:rPr>
        <w:t>Observations générales</w:t>
      </w:r>
    </w:p>
    <w:p w14:paraId="1ACE2579" w14:textId="0D2A314D" w:rsidR="0095672C" w:rsidRPr="008B3312" w:rsidRDefault="0095672C" w:rsidP="00950116">
      <w:pPr>
        <w:jc w:val="both"/>
        <w:rPr>
          <w:rFonts w:ascii="Times New Roman" w:hAnsi="Times New Roman" w:cs="Times New Roman"/>
          <w:bCs/>
          <w:sz w:val="20"/>
          <w:szCs w:val="20"/>
        </w:rPr>
      </w:pPr>
      <w:r>
        <w:rPr>
          <w:rFonts w:ascii="Times New Roman" w:hAnsi="Times New Roman"/>
          <w:sz w:val="20"/>
        </w:rPr>
        <w:t>Ce modèle contient une liste élément par élément des contrats de prêt de titres et de mise en pension de titres (acheteur et vendeur) détenus directement par l’entreprise (c’est-à-dire non</w:t>
      </w:r>
      <w:proofErr w:type="gramStart"/>
      <w:r>
        <w:rPr>
          <w:rFonts w:ascii="Times New Roman" w:hAnsi="Times New Roman"/>
          <w:sz w:val="20"/>
        </w:rPr>
        <w:t xml:space="preserve"> «par</w:t>
      </w:r>
      <w:proofErr w:type="gramEnd"/>
      <w:r>
        <w:rPr>
          <w:rFonts w:ascii="Times New Roman" w:hAnsi="Times New Roman"/>
          <w:sz w:val="20"/>
        </w:rPr>
        <w:t xml:space="preserve"> transparence»), qui inclut aussi les swaps de liquidité</w:t>
      </w:r>
      <w:r w:rsidR="00A96661">
        <w:rPr>
          <w:rFonts w:ascii="Times New Roman" w:hAnsi="Times New Roman"/>
          <w:sz w:val="20"/>
        </w:rPr>
        <w:t>.</w:t>
      </w:r>
      <w:r>
        <w:rPr>
          <w:rFonts w:ascii="Times New Roman" w:hAnsi="Times New Roman"/>
          <w:sz w:val="20"/>
        </w:rPr>
        <w:t xml:space="preserve"> </w:t>
      </w:r>
    </w:p>
    <w:p w14:paraId="71805989" w14:textId="70734EA4" w:rsidR="0095672C" w:rsidRPr="008B3312" w:rsidRDefault="0095672C" w:rsidP="00950116">
      <w:pPr>
        <w:jc w:val="both"/>
        <w:rPr>
          <w:rFonts w:ascii="Times New Roman" w:hAnsi="Times New Roman" w:cs="Times New Roman"/>
          <w:bCs/>
          <w:sz w:val="20"/>
          <w:szCs w:val="20"/>
        </w:rPr>
      </w:pPr>
      <w:r>
        <w:rPr>
          <w:rFonts w:ascii="Times New Roman" w:hAnsi="Times New Roman"/>
          <w:sz w:val="20"/>
        </w:rPr>
        <w:t>Il n’est à communiquer que lorsque la valeur des titres sous-jacents au bilan et hors bilan impliqués dans des contrats de prêt de titres ou de mise en pension de titres, avec une date d’échéance tombant après la date de déclaration de référence, représentent plus de 5 % du total des investissements tel que déclaré sous C00</w:t>
      </w:r>
      <w:r w:rsidR="00850CF8">
        <w:rPr>
          <w:rFonts w:ascii="Times New Roman" w:hAnsi="Times New Roman"/>
          <w:sz w:val="20"/>
        </w:rPr>
        <w:t>4</w:t>
      </w:r>
      <w:r>
        <w:rPr>
          <w:rFonts w:ascii="Times New Roman" w:hAnsi="Times New Roman"/>
          <w:sz w:val="20"/>
        </w:rPr>
        <w:t>0/R00</w:t>
      </w:r>
      <w:r w:rsidR="00850CF8">
        <w:rPr>
          <w:rFonts w:ascii="Times New Roman" w:hAnsi="Times New Roman"/>
          <w:sz w:val="20"/>
        </w:rPr>
        <w:t>1</w:t>
      </w:r>
      <w:r>
        <w:rPr>
          <w:rFonts w:ascii="Times New Roman" w:hAnsi="Times New Roman"/>
          <w:sz w:val="20"/>
        </w:rPr>
        <w:t xml:space="preserve">0 </w:t>
      </w:r>
      <w:r w:rsidRPr="001F13C6">
        <w:rPr>
          <w:rFonts w:ascii="Times New Roman" w:hAnsi="Times New Roman"/>
          <w:sz w:val="20"/>
        </w:rPr>
        <w:t>du modèle</w:t>
      </w:r>
      <w:r w:rsidR="001F13C6">
        <w:rPr>
          <w:rFonts w:ascii="Times New Roman" w:hAnsi="Times New Roman"/>
          <w:sz w:val="20"/>
        </w:rPr>
        <w:t xml:space="preserve"> européen</w:t>
      </w:r>
      <w:r w:rsidRPr="001F13C6">
        <w:rPr>
          <w:rFonts w:ascii="Times New Roman" w:hAnsi="Times New Roman"/>
          <w:sz w:val="20"/>
        </w:rPr>
        <w:t xml:space="preserve"> </w:t>
      </w:r>
      <w:r w:rsidR="001F13C6" w:rsidRPr="001F13C6">
        <w:rPr>
          <w:rFonts w:ascii="Times New Roman" w:hAnsi="Times New Roman"/>
          <w:sz w:val="20"/>
        </w:rPr>
        <w:t>PFE.02.01</w:t>
      </w:r>
      <w:r w:rsidR="00850CF8" w:rsidRPr="001F13C6">
        <w:rPr>
          <w:rFonts w:ascii="Times New Roman" w:hAnsi="Times New Roman"/>
          <w:sz w:val="20"/>
        </w:rPr>
        <w:t>.</w:t>
      </w:r>
    </w:p>
    <w:p w14:paraId="63F7E104"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Tous les contrats au bilan ou hors bilan doivent être déclarés. Les informations communiquées doivent couvrir tous les contrats de la période de référence, qu’ils soient toujours en cours ou clôturés à la date de déclaration Pour les contrats qui s’inscrivent dans une stratégie de renouvellement, lorsqu’il s’agit essentiellement de la même opération, ne déclarer que les positions ouvertes.</w:t>
      </w:r>
    </w:p>
    <w:p w14:paraId="37804739"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On entend par</w:t>
      </w:r>
      <w:proofErr w:type="gramStart"/>
      <w:r>
        <w:rPr>
          <w:rFonts w:ascii="Times New Roman" w:hAnsi="Times New Roman"/>
          <w:sz w:val="20"/>
        </w:rPr>
        <w:t xml:space="preserve"> «contrat</w:t>
      </w:r>
      <w:proofErr w:type="gramEnd"/>
      <w:r>
        <w:rPr>
          <w:rFonts w:ascii="Times New Roman" w:hAnsi="Times New Roman"/>
          <w:sz w:val="20"/>
        </w:rPr>
        <w:t xml:space="preserve"> de mise en pension» une vente de titres assortie de l’accord du vendeur de racheter les titres à une date ultérieure. On entend par</w:t>
      </w:r>
      <w:proofErr w:type="gramStart"/>
      <w:r>
        <w:rPr>
          <w:rFonts w:ascii="Times New Roman" w:hAnsi="Times New Roman"/>
          <w:sz w:val="20"/>
        </w:rPr>
        <w:t xml:space="preserve"> «prêt</w:t>
      </w:r>
      <w:proofErr w:type="gramEnd"/>
      <w:r>
        <w:rPr>
          <w:rFonts w:ascii="Times New Roman" w:hAnsi="Times New Roman"/>
          <w:sz w:val="20"/>
        </w:rPr>
        <w:t xml:space="preserve"> de titres» le fait, pour une partie, de prêter des titres à une autre partie, ce qui suppose que l’emprunteur fournisse une sûreté au prêteur.</w:t>
      </w:r>
    </w:p>
    <w:p w14:paraId="4F391758"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Les éléments déclarés doivent avoir une valeur positive, sauf indication contraire dans les instructions.</w:t>
      </w:r>
    </w:p>
    <w:p w14:paraId="5C41694D" w14:textId="15ACA1F2" w:rsidR="0095672C" w:rsidRPr="008B3312" w:rsidRDefault="0095672C" w:rsidP="00950116">
      <w:pPr>
        <w:jc w:val="both"/>
        <w:rPr>
          <w:rFonts w:ascii="Times New Roman" w:hAnsi="Times New Roman" w:cs="Times New Roman"/>
          <w:sz w:val="20"/>
          <w:szCs w:val="20"/>
        </w:rPr>
      </w:pPr>
      <w:r>
        <w:rPr>
          <w:rFonts w:ascii="Times New Roman" w:hAnsi="Times New Roman"/>
          <w:sz w:val="20"/>
        </w:rPr>
        <w:t>Les catégories d’actifs visées dans ce modèle sont celles définies à l’annexe IV</w:t>
      </w:r>
      <w:proofErr w:type="gramStart"/>
      <w:r>
        <w:rPr>
          <w:rFonts w:ascii="Times New Roman" w:hAnsi="Times New Roman"/>
          <w:sz w:val="20"/>
        </w:rPr>
        <w:t xml:space="preserve"> «Catégories</w:t>
      </w:r>
      <w:proofErr w:type="gramEnd"/>
      <w:r>
        <w:rPr>
          <w:rFonts w:ascii="Times New Roman" w:hAnsi="Times New Roman"/>
          <w:sz w:val="20"/>
        </w:rPr>
        <w:t xml:space="preserve"> d’actifs» du </w:t>
      </w:r>
      <w:r w:rsidR="00035FBF">
        <w:rPr>
          <w:rFonts w:ascii="Times New Roman" w:hAnsi="Times New Roman"/>
          <w:sz w:val="20"/>
        </w:rPr>
        <w:t xml:space="preserve">Règlement d’exécution (UE) </w:t>
      </w:r>
      <w:r w:rsidR="004023B7">
        <w:rPr>
          <w:rFonts w:ascii="Times New Roman" w:hAnsi="Times New Roman"/>
          <w:sz w:val="20"/>
        </w:rPr>
        <w:t>2023/894</w:t>
      </w:r>
      <w:r w:rsidR="00035FBF">
        <w:rPr>
          <w:rFonts w:ascii="Times New Roman" w:hAnsi="Times New Roman"/>
          <w:sz w:val="20"/>
        </w:rPr>
        <w:t xml:space="preserve"> de la Commission du </w:t>
      </w:r>
      <w:r w:rsidR="004023B7">
        <w:rPr>
          <w:rFonts w:ascii="Times New Roman" w:hAnsi="Times New Roman"/>
          <w:sz w:val="20"/>
        </w:rPr>
        <w:t>4 avril 2023</w:t>
      </w:r>
      <w:r>
        <w:rPr>
          <w:rFonts w:ascii="Times New Roman" w:hAnsi="Times New Roman"/>
          <w:sz w:val="20"/>
        </w:rPr>
        <w:t xml:space="preserve">, et les références aux codes CIC renvoient à l’annexe V «Tableau des codes CIC» du </w:t>
      </w:r>
      <w:r w:rsidR="00035FBF">
        <w:rPr>
          <w:rFonts w:ascii="Times New Roman" w:hAnsi="Times New Roman"/>
          <w:sz w:val="20"/>
        </w:rPr>
        <w:t>même R</w:t>
      </w:r>
      <w:r>
        <w:rPr>
          <w:rFonts w:ascii="Times New Roman" w:hAnsi="Times New Roman"/>
          <w:sz w:val="20"/>
        </w:rPr>
        <w:t>èglement.</w:t>
      </w:r>
    </w:p>
    <w:p w14:paraId="5471A31C" w14:textId="57A47900" w:rsidR="0095672C" w:rsidRDefault="0095672C" w:rsidP="00950116">
      <w:pPr>
        <w:jc w:val="both"/>
        <w:rPr>
          <w:rFonts w:ascii="Times New Roman" w:hAnsi="Times New Roman"/>
          <w:sz w:val="20"/>
        </w:rPr>
      </w:pPr>
      <w:r>
        <w:rPr>
          <w:rFonts w:ascii="Times New Roman" w:hAnsi="Times New Roman"/>
          <w:sz w:val="20"/>
        </w:rPr>
        <w:t xml:space="preserve">Les contrats de prêt de titres et de mise en pension de titres sont à déclarer sur autant de lignes que nécessaire pour fournir les informations demandées. Si, pour un élément donné, une option convient pour une partie de l’instrument déclaré, mais une autre option pour son autre partie, il convient de scinder le contrat, sauf indication contraire dans les instructions. </w:t>
      </w:r>
    </w:p>
    <w:p w14:paraId="5BC2DEA6" w14:textId="5DE4647D" w:rsidR="004023B7" w:rsidRDefault="004023B7" w:rsidP="00950116">
      <w:pPr>
        <w:jc w:val="both"/>
        <w:rPr>
          <w:rFonts w:ascii="Times New Roman" w:hAnsi="Times New Roman" w:cs="Times New Roman"/>
          <w:bCs/>
          <w:sz w:val="20"/>
          <w:szCs w:val="20"/>
        </w:rPr>
      </w:pPr>
    </w:p>
    <w:p w14:paraId="1DEFF59D" w14:textId="19AE5896" w:rsidR="004023B7" w:rsidRDefault="004023B7" w:rsidP="00950116">
      <w:pPr>
        <w:jc w:val="both"/>
        <w:rPr>
          <w:rFonts w:ascii="Times New Roman" w:hAnsi="Times New Roman" w:cs="Times New Roman"/>
          <w:bCs/>
          <w:sz w:val="20"/>
          <w:szCs w:val="20"/>
        </w:rPr>
      </w:pPr>
    </w:p>
    <w:p w14:paraId="50893015" w14:textId="3A067B4F" w:rsidR="004023B7" w:rsidRDefault="004023B7" w:rsidP="00950116">
      <w:pPr>
        <w:jc w:val="both"/>
        <w:rPr>
          <w:rFonts w:ascii="Times New Roman" w:hAnsi="Times New Roman" w:cs="Times New Roman"/>
          <w:bCs/>
          <w:sz w:val="20"/>
          <w:szCs w:val="20"/>
        </w:rPr>
      </w:pPr>
    </w:p>
    <w:p w14:paraId="25B54BD6" w14:textId="372B04D1" w:rsidR="004023B7" w:rsidRDefault="004023B7" w:rsidP="00950116">
      <w:pPr>
        <w:jc w:val="both"/>
        <w:rPr>
          <w:rFonts w:ascii="Times New Roman" w:hAnsi="Times New Roman" w:cs="Times New Roman"/>
          <w:bCs/>
          <w:sz w:val="20"/>
          <w:szCs w:val="20"/>
        </w:rPr>
      </w:pPr>
    </w:p>
    <w:p w14:paraId="0864A8FC" w14:textId="77777777" w:rsidR="004023B7" w:rsidRPr="008B3312" w:rsidRDefault="004023B7" w:rsidP="00950116">
      <w:pPr>
        <w:jc w:val="both"/>
        <w:rPr>
          <w:rFonts w:ascii="Times New Roman" w:hAnsi="Times New Roman" w:cs="Times New Roman"/>
          <w:bCs/>
          <w:sz w:val="20"/>
          <w:szCs w:val="20"/>
        </w:rPr>
      </w:pPr>
    </w:p>
    <w:tbl>
      <w:tblPr>
        <w:tblStyle w:val="Grilledutableau"/>
        <w:tblW w:w="0" w:type="auto"/>
        <w:tblLook w:val="04A0" w:firstRow="1" w:lastRow="0" w:firstColumn="1" w:lastColumn="0" w:noHBand="0" w:noVBand="1"/>
      </w:tblPr>
      <w:tblGrid>
        <w:gridCol w:w="1283"/>
        <w:gridCol w:w="2188"/>
        <w:gridCol w:w="5771"/>
      </w:tblGrid>
      <w:tr w:rsidR="0095672C" w:rsidRPr="008B3312" w14:paraId="5797FB07" w14:textId="77777777" w:rsidTr="00126B85">
        <w:trPr>
          <w:trHeight w:val="285"/>
        </w:trPr>
        <w:tc>
          <w:tcPr>
            <w:tcW w:w="1283" w:type="dxa"/>
            <w:noWrap/>
            <w:hideMark/>
          </w:tcPr>
          <w:p w14:paraId="268B57D8" w14:textId="77777777" w:rsidR="0095672C" w:rsidRPr="008B3312" w:rsidRDefault="0095672C" w:rsidP="00950116">
            <w:pPr>
              <w:spacing w:after="200" w:line="276" w:lineRule="auto"/>
              <w:jc w:val="center"/>
              <w:rPr>
                <w:rFonts w:ascii="Times New Roman" w:hAnsi="Times New Roman" w:cs="Times New Roman"/>
                <w:color w:val="FF0000"/>
                <w:sz w:val="20"/>
                <w:szCs w:val="20"/>
              </w:rPr>
            </w:pPr>
          </w:p>
        </w:tc>
        <w:tc>
          <w:tcPr>
            <w:tcW w:w="2188" w:type="dxa"/>
            <w:hideMark/>
          </w:tcPr>
          <w:p w14:paraId="4AB5B7CF" w14:textId="77777777" w:rsidR="0095672C" w:rsidRPr="008B3312" w:rsidRDefault="0095672C" w:rsidP="00950116">
            <w:pPr>
              <w:spacing w:after="200" w:line="276" w:lineRule="auto"/>
              <w:jc w:val="center"/>
              <w:rPr>
                <w:rFonts w:ascii="Times New Roman" w:hAnsi="Times New Roman" w:cs="Times New Roman"/>
                <w:b/>
                <w:bCs/>
                <w:sz w:val="20"/>
                <w:szCs w:val="20"/>
              </w:rPr>
            </w:pPr>
            <w:r>
              <w:rPr>
                <w:rFonts w:ascii="Times New Roman" w:hAnsi="Times New Roman"/>
                <w:b/>
                <w:sz w:val="20"/>
              </w:rPr>
              <w:t>ÉLÉMENT À DÉCLARER</w:t>
            </w:r>
          </w:p>
        </w:tc>
        <w:tc>
          <w:tcPr>
            <w:tcW w:w="5771" w:type="dxa"/>
            <w:hideMark/>
          </w:tcPr>
          <w:p w14:paraId="38595ED6" w14:textId="77777777" w:rsidR="0095672C" w:rsidRPr="008B3312" w:rsidRDefault="0095672C" w:rsidP="00950116">
            <w:pPr>
              <w:spacing w:after="200" w:line="276" w:lineRule="auto"/>
              <w:jc w:val="center"/>
              <w:rPr>
                <w:rFonts w:ascii="Times New Roman" w:hAnsi="Times New Roman" w:cs="Times New Roman"/>
                <w:b/>
                <w:bCs/>
                <w:sz w:val="20"/>
                <w:szCs w:val="20"/>
              </w:rPr>
            </w:pPr>
            <w:r>
              <w:rPr>
                <w:rFonts w:ascii="Times New Roman" w:hAnsi="Times New Roman"/>
                <w:b/>
                <w:sz w:val="20"/>
              </w:rPr>
              <w:t>INSTRUCTIONS</w:t>
            </w:r>
          </w:p>
        </w:tc>
      </w:tr>
      <w:tr w:rsidR="005B60CA" w:rsidRPr="008B3312" w14:paraId="33F38B35" w14:textId="77777777" w:rsidTr="00126B85">
        <w:trPr>
          <w:trHeight w:val="3420"/>
        </w:trPr>
        <w:tc>
          <w:tcPr>
            <w:tcW w:w="1283" w:type="dxa"/>
            <w:hideMark/>
          </w:tcPr>
          <w:p w14:paraId="7C8619B9" w14:textId="6661A1A3" w:rsidR="005B60CA" w:rsidRPr="00166F34" w:rsidRDefault="00126B85" w:rsidP="00126B85">
            <w:pPr>
              <w:pStyle w:val="Sansinterligne"/>
              <w:rPr>
                <w:rFonts w:ascii="Times New Roman" w:hAnsi="Times New Roman"/>
              </w:rPr>
            </w:pPr>
            <w:r>
              <w:rPr>
                <w:rFonts w:ascii="Times New Roman" w:hAnsi="Times New Roman"/>
                <w:sz w:val="20"/>
              </w:rPr>
              <w:t>C0041</w:t>
            </w:r>
          </w:p>
        </w:tc>
        <w:tc>
          <w:tcPr>
            <w:tcW w:w="2188" w:type="dxa"/>
            <w:hideMark/>
          </w:tcPr>
          <w:p w14:paraId="3F95DAC6" w14:textId="4A82DB95" w:rsidR="005B60CA" w:rsidRPr="008B3312" w:rsidRDefault="005B60CA" w:rsidP="00950116">
            <w:pPr>
              <w:spacing w:after="200" w:line="276" w:lineRule="auto"/>
              <w:rPr>
                <w:rFonts w:ascii="Times New Roman" w:hAnsi="Times New Roman" w:cs="Times New Roman"/>
                <w:sz w:val="20"/>
                <w:szCs w:val="20"/>
              </w:rPr>
            </w:pPr>
            <w:r>
              <w:rPr>
                <w:rFonts w:ascii="Times New Roman" w:hAnsi="Times New Roman"/>
                <w:sz w:val="20"/>
              </w:rPr>
              <w:t>Portefeuille concerné</w:t>
            </w:r>
          </w:p>
        </w:tc>
        <w:tc>
          <w:tcPr>
            <w:tcW w:w="5771" w:type="dxa"/>
            <w:hideMark/>
          </w:tcPr>
          <w:p w14:paraId="72F6AE7A" w14:textId="77777777" w:rsidR="005B60CA" w:rsidRPr="00573E2C" w:rsidRDefault="005B60CA" w:rsidP="005B60CA">
            <w:pPr>
              <w:rPr>
                <w:rFonts w:ascii="Times New Roman" w:hAnsi="Times New Roman"/>
                <w:sz w:val="20"/>
              </w:rPr>
            </w:pPr>
            <w:r w:rsidRPr="00573E2C">
              <w:rPr>
                <w:rFonts w:ascii="Times New Roman" w:hAnsi="Times New Roman"/>
                <w:sz w:val="20"/>
              </w:rPr>
              <w:t xml:space="preserve">Choisir impérativement l’une des options </w:t>
            </w:r>
            <w:proofErr w:type="gramStart"/>
            <w:r w:rsidRPr="00573E2C">
              <w:rPr>
                <w:rFonts w:ascii="Times New Roman" w:hAnsi="Times New Roman"/>
                <w:sz w:val="20"/>
              </w:rPr>
              <w:t>suivantes:</w:t>
            </w:r>
            <w:proofErr w:type="gramEnd"/>
          </w:p>
          <w:p w14:paraId="7C906245" w14:textId="77777777" w:rsidR="005B60CA" w:rsidRPr="00573E2C" w:rsidRDefault="005B60CA" w:rsidP="005B60CA">
            <w:pPr>
              <w:rPr>
                <w:rFonts w:ascii="Times New Roman" w:hAnsi="Times New Roman"/>
                <w:sz w:val="20"/>
              </w:rPr>
            </w:pPr>
            <w:r w:rsidRPr="00573E2C">
              <w:rPr>
                <w:rFonts w:ascii="Times New Roman" w:hAnsi="Times New Roman"/>
                <w:sz w:val="20"/>
              </w:rPr>
              <w:t>1 – Comptabilité générale hors contrats à capital variable</w:t>
            </w:r>
          </w:p>
          <w:p w14:paraId="4A16FD42" w14:textId="77777777" w:rsidR="005B60CA" w:rsidRPr="00573E2C" w:rsidRDefault="005B60CA" w:rsidP="005B60CA">
            <w:pPr>
              <w:rPr>
                <w:rFonts w:ascii="Times New Roman" w:hAnsi="Times New Roman"/>
                <w:sz w:val="20"/>
              </w:rPr>
            </w:pPr>
            <w:r w:rsidRPr="00573E2C">
              <w:rPr>
                <w:rFonts w:ascii="Times New Roman" w:hAnsi="Times New Roman"/>
                <w:sz w:val="20"/>
              </w:rPr>
              <w:t>2 – Contrats à capital variable de la comptabilité générale</w:t>
            </w:r>
          </w:p>
          <w:p w14:paraId="6EFEA11E" w14:textId="77777777" w:rsidR="005B60CA" w:rsidRPr="00573E2C" w:rsidRDefault="005B60CA" w:rsidP="005B60CA">
            <w:pPr>
              <w:tabs>
                <w:tab w:val="left" w:pos="1800"/>
              </w:tabs>
              <w:rPr>
                <w:rFonts w:ascii="Times New Roman" w:hAnsi="Times New Roman"/>
                <w:sz w:val="20"/>
              </w:rPr>
            </w:pPr>
            <w:r w:rsidRPr="00573E2C">
              <w:rPr>
                <w:rFonts w:ascii="Times New Roman" w:hAnsi="Times New Roman"/>
                <w:sz w:val="20"/>
              </w:rPr>
              <w:t>3 – Branche 26</w:t>
            </w:r>
            <w:r>
              <w:rPr>
                <w:rFonts w:ascii="Times New Roman" w:hAnsi="Times New Roman"/>
                <w:sz w:val="20"/>
              </w:rPr>
              <w:tab/>
            </w:r>
          </w:p>
          <w:p w14:paraId="3977FB6D" w14:textId="77777777" w:rsidR="005B60CA" w:rsidRPr="00573E2C" w:rsidRDefault="005B60CA" w:rsidP="005B60CA">
            <w:pPr>
              <w:rPr>
                <w:rFonts w:ascii="Times New Roman" w:hAnsi="Times New Roman"/>
                <w:sz w:val="20"/>
              </w:rPr>
            </w:pPr>
            <w:r w:rsidRPr="00573E2C">
              <w:rPr>
                <w:rFonts w:ascii="Times New Roman" w:hAnsi="Times New Roman"/>
                <w:sz w:val="20"/>
              </w:rPr>
              <w:t xml:space="preserve">4 – </w:t>
            </w:r>
            <w:proofErr w:type="spellStart"/>
            <w:r w:rsidRPr="00573E2C">
              <w:rPr>
                <w:rFonts w:ascii="Times New Roman" w:hAnsi="Times New Roman"/>
                <w:sz w:val="20"/>
              </w:rPr>
              <w:t>Eurocroissance</w:t>
            </w:r>
            <w:proofErr w:type="spellEnd"/>
          </w:p>
          <w:p w14:paraId="4AF5646E" w14:textId="77777777" w:rsidR="005B60CA" w:rsidRPr="00573E2C" w:rsidRDefault="005B60CA" w:rsidP="005B60CA">
            <w:pPr>
              <w:rPr>
                <w:rFonts w:ascii="Times New Roman" w:hAnsi="Times New Roman"/>
                <w:sz w:val="20"/>
              </w:rPr>
            </w:pPr>
            <w:r w:rsidRPr="00573E2C">
              <w:rPr>
                <w:rFonts w:ascii="Times New Roman" w:hAnsi="Times New Roman"/>
                <w:sz w:val="20"/>
              </w:rPr>
              <w:t>5 – Autre comptabilité auxiliaire d'affectation correspondant à des contrats à capital variable</w:t>
            </w:r>
          </w:p>
          <w:p w14:paraId="23E8C5A8" w14:textId="5AC14163" w:rsidR="005B60CA" w:rsidRPr="008B3312" w:rsidRDefault="005B60CA" w:rsidP="00950116">
            <w:pPr>
              <w:spacing w:after="200" w:line="276" w:lineRule="auto"/>
              <w:rPr>
                <w:rFonts w:ascii="Times New Roman" w:hAnsi="Times New Roman" w:cs="Times New Roman"/>
                <w:sz w:val="20"/>
                <w:szCs w:val="20"/>
              </w:rPr>
            </w:pPr>
            <w:r w:rsidRPr="00573E2C">
              <w:rPr>
                <w:rFonts w:ascii="Times New Roman" w:hAnsi="Times New Roman"/>
                <w:sz w:val="20"/>
              </w:rPr>
              <w:t>6 –</w:t>
            </w:r>
            <w:r>
              <w:rPr>
                <w:rFonts w:ascii="Times New Roman" w:hAnsi="Times New Roman"/>
                <w:sz w:val="20"/>
              </w:rPr>
              <w:t xml:space="preserve"> </w:t>
            </w:r>
            <w:r w:rsidRPr="00573E2C">
              <w:rPr>
                <w:rFonts w:ascii="Times New Roman" w:hAnsi="Times New Roman"/>
                <w:sz w:val="20"/>
              </w:rPr>
              <w:t>Autre comptabilité auxiliaire d'affectation.</w:t>
            </w:r>
          </w:p>
        </w:tc>
      </w:tr>
      <w:tr w:rsidR="005B60CA" w:rsidRPr="008B3312" w14:paraId="48DB25BA" w14:textId="77777777" w:rsidTr="00126B85">
        <w:trPr>
          <w:trHeight w:val="1530"/>
        </w:trPr>
        <w:tc>
          <w:tcPr>
            <w:tcW w:w="1283" w:type="dxa"/>
            <w:hideMark/>
          </w:tcPr>
          <w:p w14:paraId="21304D8B" w14:textId="42F64B75" w:rsidR="005B60CA" w:rsidRPr="008B3312" w:rsidRDefault="00126B85" w:rsidP="00126B85">
            <w:pPr>
              <w:pStyle w:val="Sansinterligne"/>
              <w:rPr>
                <w:rFonts w:ascii="Times New Roman" w:hAnsi="Times New Roman" w:cs="Times New Roman"/>
                <w:sz w:val="20"/>
              </w:rPr>
            </w:pPr>
            <w:r>
              <w:rPr>
                <w:rFonts w:ascii="Times New Roman" w:hAnsi="Times New Roman"/>
                <w:sz w:val="20"/>
              </w:rPr>
              <w:t>C0051</w:t>
            </w:r>
          </w:p>
        </w:tc>
        <w:tc>
          <w:tcPr>
            <w:tcW w:w="2188" w:type="dxa"/>
            <w:hideMark/>
          </w:tcPr>
          <w:p w14:paraId="551B8671" w14:textId="7DB98ED5" w:rsidR="005B60CA" w:rsidRPr="008B3312" w:rsidRDefault="005B60CA">
            <w:pPr>
              <w:spacing w:after="200" w:line="276" w:lineRule="auto"/>
              <w:rPr>
                <w:rFonts w:ascii="Times New Roman" w:hAnsi="Times New Roman" w:cs="Times New Roman"/>
                <w:sz w:val="20"/>
                <w:szCs w:val="20"/>
              </w:rPr>
            </w:pPr>
            <w:r>
              <w:rPr>
                <w:rFonts w:ascii="Times New Roman" w:hAnsi="Times New Roman"/>
                <w:sz w:val="20"/>
              </w:rPr>
              <w:t>Numéro de la comptabilité auxiliaire d’affectation</w:t>
            </w:r>
          </w:p>
        </w:tc>
        <w:tc>
          <w:tcPr>
            <w:tcW w:w="5771" w:type="dxa"/>
            <w:hideMark/>
          </w:tcPr>
          <w:p w14:paraId="1C0178B1" w14:textId="74D7C52E" w:rsidR="005B60CA" w:rsidRPr="008B3312" w:rsidRDefault="005B60CA" w:rsidP="005B60CA">
            <w:pPr>
              <w:rPr>
                <w:rFonts w:ascii="Times New Roman" w:hAnsi="Times New Roman" w:cs="Times New Roman"/>
                <w:sz w:val="20"/>
                <w:szCs w:val="20"/>
              </w:rPr>
            </w:pPr>
            <w:r>
              <w:rPr>
                <w:rFonts w:ascii="Times New Roman" w:hAnsi="Times New Roman"/>
                <w:sz w:val="20"/>
              </w:rPr>
              <w:t xml:space="preserve">Applicable aux </w:t>
            </w:r>
            <w:r w:rsidR="00126B85">
              <w:rPr>
                <w:rFonts w:ascii="Times New Roman" w:hAnsi="Times New Roman"/>
                <w:sz w:val="20"/>
              </w:rPr>
              <w:t>actifs</w:t>
            </w:r>
            <w:r>
              <w:rPr>
                <w:rFonts w:ascii="Times New Roman" w:hAnsi="Times New Roman"/>
                <w:sz w:val="20"/>
              </w:rPr>
              <w:t xml:space="preserve"> détenus dans une comptabilité auxiliaire d’affectation</w:t>
            </w:r>
            <w:r w:rsidR="00565267">
              <w:rPr>
                <w:rFonts w:ascii="Times New Roman" w:hAnsi="Times New Roman"/>
                <w:sz w:val="20"/>
              </w:rPr>
              <w:t>.</w:t>
            </w:r>
          </w:p>
          <w:p w14:paraId="7F7FD765" w14:textId="77777777" w:rsidR="005B60CA" w:rsidRPr="008B3312" w:rsidRDefault="005B60CA" w:rsidP="005B60CA">
            <w:pPr>
              <w:rPr>
                <w:rFonts w:ascii="Times New Roman" w:hAnsi="Times New Roman" w:cs="Times New Roman"/>
                <w:sz w:val="20"/>
                <w:szCs w:val="20"/>
              </w:rPr>
            </w:pPr>
          </w:p>
          <w:p w14:paraId="61F32B90" w14:textId="5468403A" w:rsidR="005B60CA" w:rsidRPr="008B3312" w:rsidRDefault="009F4107" w:rsidP="00950116">
            <w:pPr>
              <w:rPr>
                <w:rFonts w:ascii="Times New Roman" w:hAnsi="Times New Roman" w:cs="Times New Roman"/>
                <w:sz w:val="20"/>
                <w:szCs w:val="20"/>
              </w:rPr>
            </w:pPr>
            <w:r>
              <w:rPr>
                <w:rFonts w:ascii="Times New Roman" w:hAnsi="Times New Roman"/>
                <w:sz w:val="20"/>
              </w:rPr>
              <w:t>Numéro unique assigné par l’O</w:t>
            </w:r>
            <w:r w:rsidR="005B60CA">
              <w:rPr>
                <w:rFonts w:ascii="Times New Roman" w:hAnsi="Times New Roman"/>
                <w:sz w:val="20"/>
              </w:rPr>
              <w:t>RPS à chaque fonds. Ce numéro doit rester constant dans le temps et permettre d’identifier le fonds dans les autres modèles. Il ne peut pas être réutilisé pour un</w:t>
            </w:r>
            <w:r w:rsidR="00F820E5">
              <w:rPr>
                <w:rFonts w:ascii="Times New Roman" w:hAnsi="Times New Roman"/>
                <w:sz w:val="20"/>
              </w:rPr>
              <w:t>e</w:t>
            </w:r>
            <w:r w:rsidR="005B60CA">
              <w:rPr>
                <w:rFonts w:ascii="Times New Roman" w:hAnsi="Times New Roman"/>
                <w:sz w:val="20"/>
              </w:rPr>
              <w:t xml:space="preserve"> autre </w:t>
            </w:r>
            <w:r w:rsidR="00F820E5">
              <w:rPr>
                <w:rFonts w:ascii="Times New Roman" w:hAnsi="Times New Roman"/>
                <w:sz w:val="20"/>
              </w:rPr>
              <w:t>comptabilité auxiliaire d’affectation</w:t>
            </w:r>
            <w:r w:rsidR="005B60CA">
              <w:rPr>
                <w:rFonts w:ascii="Times New Roman" w:hAnsi="Times New Roman"/>
                <w:sz w:val="20"/>
              </w:rPr>
              <w:t xml:space="preserve">. </w:t>
            </w:r>
          </w:p>
        </w:tc>
      </w:tr>
      <w:tr w:rsidR="0095672C" w:rsidRPr="008B3312" w14:paraId="1BE8AD92" w14:textId="77777777" w:rsidTr="00126B85">
        <w:trPr>
          <w:trHeight w:val="1140"/>
        </w:trPr>
        <w:tc>
          <w:tcPr>
            <w:tcW w:w="1283" w:type="dxa"/>
            <w:hideMark/>
          </w:tcPr>
          <w:p w14:paraId="1A43386C"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C0060</w:t>
            </w:r>
          </w:p>
        </w:tc>
        <w:tc>
          <w:tcPr>
            <w:tcW w:w="2188" w:type="dxa"/>
            <w:hideMark/>
          </w:tcPr>
          <w:p w14:paraId="1FD857A2"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Catégorie d’actifs</w:t>
            </w:r>
          </w:p>
        </w:tc>
        <w:tc>
          <w:tcPr>
            <w:tcW w:w="5771" w:type="dxa"/>
            <w:hideMark/>
          </w:tcPr>
          <w:p w14:paraId="49A6B7DE" w14:textId="1ACD81CE" w:rsidR="0095672C" w:rsidRPr="008B3312" w:rsidRDefault="0095672C" w:rsidP="00035FBF">
            <w:pPr>
              <w:rPr>
                <w:rFonts w:ascii="Times New Roman" w:hAnsi="Times New Roman" w:cs="Times New Roman"/>
                <w:sz w:val="20"/>
                <w:szCs w:val="20"/>
              </w:rPr>
            </w:pPr>
            <w:r>
              <w:rPr>
                <w:rFonts w:ascii="Times New Roman" w:hAnsi="Times New Roman"/>
                <w:sz w:val="20"/>
              </w:rPr>
              <w:t>Indiquer la catégorie d’actifs dont relève l’actif sous-jacent qui a été prêté/fourni dans le cadre de l’opération de prêt de titres ou de l’accord de mise en pension de titres.</w:t>
            </w:r>
            <w:r w:rsidR="00FE79E2">
              <w:rPr>
                <w:rFonts w:ascii="Times New Roman" w:hAnsi="Times New Roman" w:cs="Times New Roman"/>
                <w:sz w:val="20"/>
                <w:szCs w:val="20"/>
              </w:rPr>
              <w:br/>
            </w:r>
            <w:r>
              <w:rPr>
                <w:rFonts w:ascii="Times New Roman" w:hAnsi="Times New Roman"/>
                <w:sz w:val="20"/>
              </w:rPr>
              <w:t xml:space="preserve">Utiliser les catégories définies </w:t>
            </w:r>
            <w:r w:rsidRPr="002E3830">
              <w:rPr>
                <w:rFonts w:ascii="Times New Roman" w:hAnsi="Times New Roman"/>
                <w:sz w:val="20"/>
              </w:rPr>
              <w:t>à l’annexe IV</w:t>
            </w:r>
            <w:proofErr w:type="gramStart"/>
            <w:r w:rsidRPr="002E3830">
              <w:rPr>
                <w:rFonts w:ascii="Times New Roman" w:hAnsi="Times New Roman"/>
                <w:sz w:val="20"/>
              </w:rPr>
              <w:t xml:space="preserve"> «Catégories</w:t>
            </w:r>
            <w:proofErr w:type="gramEnd"/>
            <w:r w:rsidRPr="002E3830">
              <w:rPr>
                <w:rFonts w:ascii="Times New Roman" w:hAnsi="Times New Roman"/>
                <w:sz w:val="20"/>
              </w:rPr>
              <w:t xml:space="preserve"> d’actifs»</w:t>
            </w:r>
            <w:r>
              <w:rPr>
                <w:rFonts w:ascii="Times New Roman" w:hAnsi="Times New Roman"/>
                <w:sz w:val="20"/>
              </w:rPr>
              <w:t xml:space="preserve"> du </w:t>
            </w:r>
            <w:r w:rsidR="00035FBF">
              <w:rPr>
                <w:rFonts w:ascii="Times New Roman" w:hAnsi="Times New Roman"/>
                <w:sz w:val="20"/>
              </w:rPr>
              <w:t xml:space="preserve">Règlement d’exécution (UE) </w:t>
            </w:r>
            <w:r w:rsidR="004023B7">
              <w:rPr>
                <w:rFonts w:ascii="Times New Roman" w:hAnsi="Times New Roman"/>
                <w:sz w:val="20"/>
              </w:rPr>
              <w:t>2023/894</w:t>
            </w:r>
            <w:r>
              <w:rPr>
                <w:rFonts w:ascii="Times New Roman" w:hAnsi="Times New Roman"/>
                <w:sz w:val="20"/>
              </w:rPr>
              <w:t xml:space="preserve">. </w:t>
            </w:r>
          </w:p>
        </w:tc>
      </w:tr>
      <w:tr w:rsidR="0095672C" w:rsidRPr="008B3312" w14:paraId="5F6DE4BA" w14:textId="77777777" w:rsidTr="00126B85">
        <w:trPr>
          <w:trHeight w:val="465"/>
        </w:trPr>
        <w:tc>
          <w:tcPr>
            <w:tcW w:w="1283" w:type="dxa"/>
            <w:hideMark/>
          </w:tcPr>
          <w:p w14:paraId="48577F6C"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C0070</w:t>
            </w:r>
          </w:p>
        </w:tc>
        <w:tc>
          <w:tcPr>
            <w:tcW w:w="2188" w:type="dxa"/>
            <w:hideMark/>
          </w:tcPr>
          <w:p w14:paraId="5FC033B7"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Nom de la contrepartie</w:t>
            </w:r>
          </w:p>
        </w:tc>
        <w:tc>
          <w:tcPr>
            <w:tcW w:w="5771" w:type="dxa"/>
            <w:hideMark/>
          </w:tcPr>
          <w:p w14:paraId="6B8CD961"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Nom de la contrepartie au contrat. </w:t>
            </w:r>
          </w:p>
          <w:p w14:paraId="157C5FA4"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Indiquer le nom de l’entité enregistré dans la base de données des identifiants d’entité juridique (LEI) s’il existe. À défaut, indiquer la dénomination légale.</w:t>
            </w:r>
          </w:p>
        </w:tc>
      </w:tr>
      <w:tr w:rsidR="0095672C" w:rsidRPr="008B3312" w14:paraId="05AD657E" w14:textId="77777777" w:rsidTr="00126B85">
        <w:trPr>
          <w:trHeight w:val="465"/>
        </w:trPr>
        <w:tc>
          <w:tcPr>
            <w:tcW w:w="1283" w:type="dxa"/>
            <w:hideMark/>
          </w:tcPr>
          <w:p w14:paraId="15EC9EB8"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C0080</w:t>
            </w:r>
          </w:p>
        </w:tc>
        <w:tc>
          <w:tcPr>
            <w:tcW w:w="2188" w:type="dxa"/>
            <w:hideMark/>
          </w:tcPr>
          <w:p w14:paraId="3191C8F1"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Code d’identification de la contrepartie</w:t>
            </w:r>
          </w:p>
        </w:tc>
        <w:tc>
          <w:tcPr>
            <w:tcW w:w="5771" w:type="dxa"/>
            <w:hideMark/>
          </w:tcPr>
          <w:p w14:paraId="40D6A60F"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Indiquer le code d’identification de la contrepartie en utilisant l’identifiant d’entité juridique (LEI) s’il existe. </w:t>
            </w:r>
            <w:r w:rsidR="00FE79E2">
              <w:rPr>
                <w:rFonts w:ascii="Times New Roman" w:hAnsi="Times New Roman" w:cs="Times New Roman"/>
                <w:sz w:val="20"/>
                <w:szCs w:val="20"/>
              </w:rPr>
              <w:br/>
            </w:r>
            <w:r w:rsidR="00FE79E2">
              <w:rPr>
                <w:rFonts w:ascii="Times New Roman" w:hAnsi="Times New Roman" w:cs="Times New Roman"/>
                <w:sz w:val="20"/>
                <w:szCs w:val="20"/>
              </w:rPr>
              <w:br/>
            </w:r>
            <w:r>
              <w:rPr>
                <w:rFonts w:ascii="Times New Roman" w:hAnsi="Times New Roman"/>
                <w:sz w:val="20"/>
              </w:rPr>
              <w:t>S’il n’existe pas, ne rien déclarer pour cet élément.</w:t>
            </w:r>
          </w:p>
        </w:tc>
      </w:tr>
      <w:tr w:rsidR="0095672C" w:rsidRPr="008B3312" w14:paraId="66A03741" w14:textId="77777777" w:rsidTr="00126B85">
        <w:trPr>
          <w:trHeight w:val="465"/>
        </w:trPr>
        <w:tc>
          <w:tcPr>
            <w:tcW w:w="1283" w:type="dxa"/>
            <w:hideMark/>
          </w:tcPr>
          <w:p w14:paraId="681B56A8"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C0090</w:t>
            </w:r>
          </w:p>
        </w:tc>
        <w:tc>
          <w:tcPr>
            <w:tcW w:w="2188" w:type="dxa"/>
            <w:hideMark/>
          </w:tcPr>
          <w:p w14:paraId="7BD85A99"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Type de code d’identification de la contrepartie</w:t>
            </w:r>
          </w:p>
        </w:tc>
        <w:tc>
          <w:tcPr>
            <w:tcW w:w="5771" w:type="dxa"/>
            <w:hideMark/>
          </w:tcPr>
          <w:p w14:paraId="36188B2E" w14:textId="77777777" w:rsidR="0095672C" w:rsidRPr="008B3312" w:rsidRDefault="0095672C" w:rsidP="00950116">
            <w:pPr>
              <w:spacing w:after="120"/>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de la contrepartie».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 xml:space="preserve">1 – LEI </w:t>
            </w:r>
            <w:r w:rsidR="00FE79E2">
              <w:rPr>
                <w:rFonts w:ascii="Times New Roman" w:hAnsi="Times New Roman" w:cs="Times New Roman"/>
                <w:sz w:val="20"/>
                <w:szCs w:val="20"/>
              </w:rPr>
              <w:br/>
            </w:r>
            <w:r>
              <w:rPr>
                <w:rFonts w:ascii="Times New Roman" w:hAnsi="Times New Roman"/>
                <w:sz w:val="20"/>
              </w:rPr>
              <w:t>9 – Aucun</w:t>
            </w:r>
          </w:p>
        </w:tc>
      </w:tr>
      <w:tr w:rsidR="0095672C" w:rsidRPr="008B3312" w14:paraId="65439ED0" w14:textId="77777777" w:rsidTr="00126B85">
        <w:trPr>
          <w:trHeight w:val="1005"/>
        </w:trPr>
        <w:tc>
          <w:tcPr>
            <w:tcW w:w="1283" w:type="dxa"/>
            <w:hideMark/>
          </w:tcPr>
          <w:p w14:paraId="2B74A6C2"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C0100</w:t>
            </w:r>
          </w:p>
        </w:tc>
        <w:tc>
          <w:tcPr>
            <w:tcW w:w="2188" w:type="dxa"/>
            <w:hideMark/>
          </w:tcPr>
          <w:p w14:paraId="352E3AC4"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Catégorie d’actifs de la contrepartie</w:t>
            </w:r>
          </w:p>
        </w:tc>
        <w:tc>
          <w:tcPr>
            <w:tcW w:w="5771" w:type="dxa"/>
            <w:hideMark/>
          </w:tcPr>
          <w:p w14:paraId="49914652" w14:textId="58F97AD9"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la catégorie la plus significative d’actifs empruntés/reçus dans le cadre d’une opération de prêt de titres ou d’un accord de mise en pension de titres.</w:t>
            </w:r>
            <w:r w:rsidR="00FE79E2">
              <w:rPr>
                <w:rFonts w:ascii="Times New Roman" w:hAnsi="Times New Roman" w:cs="Times New Roman"/>
                <w:sz w:val="20"/>
                <w:szCs w:val="20"/>
              </w:rPr>
              <w:br/>
            </w:r>
            <w:r>
              <w:rPr>
                <w:rFonts w:ascii="Times New Roman" w:hAnsi="Times New Roman"/>
                <w:sz w:val="20"/>
              </w:rPr>
              <w:t xml:space="preserve">Utiliser les catégories </w:t>
            </w:r>
            <w:r w:rsidRPr="002E3830">
              <w:rPr>
                <w:rFonts w:ascii="Times New Roman" w:hAnsi="Times New Roman"/>
                <w:sz w:val="20"/>
              </w:rPr>
              <w:t>définies à l’annexe IV</w:t>
            </w:r>
            <w:proofErr w:type="gramStart"/>
            <w:r w:rsidRPr="002E3830">
              <w:rPr>
                <w:rFonts w:ascii="Times New Roman" w:hAnsi="Times New Roman"/>
                <w:sz w:val="20"/>
              </w:rPr>
              <w:t xml:space="preserve"> «Catégories</w:t>
            </w:r>
            <w:proofErr w:type="gramEnd"/>
            <w:r w:rsidRPr="002E3830">
              <w:rPr>
                <w:rFonts w:ascii="Times New Roman" w:hAnsi="Times New Roman"/>
                <w:sz w:val="20"/>
              </w:rPr>
              <w:t xml:space="preserve"> d’actifs»</w:t>
            </w:r>
            <w:r>
              <w:rPr>
                <w:rFonts w:ascii="Times New Roman" w:hAnsi="Times New Roman"/>
                <w:sz w:val="20"/>
              </w:rPr>
              <w:t xml:space="preserve"> du </w:t>
            </w:r>
            <w:r w:rsidR="00035FBF">
              <w:rPr>
                <w:rFonts w:ascii="Times New Roman" w:hAnsi="Times New Roman"/>
                <w:sz w:val="20"/>
              </w:rPr>
              <w:t xml:space="preserve">Règlement d’exécution (UE) </w:t>
            </w:r>
            <w:r w:rsidR="004023B7">
              <w:rPr>
                <w:rFonts w:ascii="Times New Roman" w:hAnsi="Times New Roman"/>
                <w:sz w:val="20"/>
              </w:rPr>
              <w:t>2023/894</w:t>
            </w:r>
            <w:r w:rsidR="00035FBF">
              <w:rPr>
                <w:rFonts w:ascii="Times New Roman" w:hAnsi="Times New Roman"/>
                <w:sz w:val="20"/>
              </w:rPr>
              <w:t>.</w:t>
            </w:r>
          </w:p>
        </w:tc>
      </w:tr>
      <w:tr w:rsidR="0095672C" w:rsidRPr="008B3312" w14:paraId="4CDE6C7B" w14:textId="77777777" w:rsidTr="00126B85">
        <w:trPr>
          <w:trHeight w:val="1140"/>
        </w:trPr>
        <w:tc>
          <w:tcPr>
            <w:tcW w:w="1283" w:type="dxa"/>
            <w:hideMark/>
          </w:tcPr>
          <w:p w14:paraId="6E308865"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C0110</w:t>
            </w:r>
          </w:p>
        </w:tc>
        <w:tc>
          <w:tcPr>
            <w:tcW w:w="2188" w:type="dxa"/>
            <w:hideMark/>
          </w:tcPr>
          <w:p w14:paraId="56ED8E0A"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Actifs en représentation de contrats en unités de compte et indexés</w:t>
            </w:r>
          </w:p>
        </w:tc>
        <w:tc>
          <w:tcPr>
            <w:tcW w:w="5771" w:type="dxa"/>
            <w:hideMark/>
          </w:tcPr>
          <w:p w14:paraId="726EFF81"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Indiquer si l’actif sous-jacent identifié sous C0060 est détenu en représentation de contrats en unités de compte ou indexés.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1 – Détenu en représentation de contrats en unités de compte ou indexés</w:t>
            </w:r>
          </w:p>
          <w:p w14:paraId="274CEAF4"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2 – Pas détenu en représentation de contrats en unités de compte ou indexés</w:t>
            </w:r>
          </w:p>
        </w:tc>
      </w:tr>
      <w:tr w:rsidR="0095672C" w:rsidRPr="008B3312" w14:paraId="558AB6E0" w14:textId="77777777" w:rsidTr="00126B85">
        <w:trPr>
          <w:trHeight w:val="1856"/>
        </w:trPr>
        <w:tc>
          <w:tcPr>
            <w:tcW w:w="1283" w:type="dxa"/>
          </w:tcPr>
          <w:p w14:paraId="0BF47C5C"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lastRenderedPageBreak/>
              <w:t>C0120</w:t>
            </w:r>
          </w:p>
        </w:tc>
        <w:tc>
          <w:tcPr>
            <w:tcW w:w="2188" w:type="dxa"/>
          </w:tcPr>
          <w:p w14:paraId="3D538873"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Position dans le contrat</w:t>
            </w:r>
          </w:p>
        </w:tc>
        <w:tc>
          <w:tcPr>
            <w:tcW w:w="5771" w:type="dxa"/>
          </w:tcPr>
          <w:p w14:paraId="48A67201" w14:textId="2DB5AB03"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Indiquer si </w:t>
            </w:r>
            <w:r w:rsidR="009F4107">
              <w:rPr>
                <w:rFonts w:ascii="Times New Roman" w:hAnsi="Times New Roman"/>
                <w:sz w:val="20"/>
              </w:rPr>
              <w:t>l’O</w:t>
            </w:r>
            <w:r w:rsidR="00126B85">
              <w:rPr>
                <w:rFonts w:ascii="Times New Roman" w:hAnsi="Times New Roman"/>
                <w:sz w:val="20"/>
              </w:rPr>
              <w:t xml:space="preserve">RPS </w:t>
            </w:r>
            <w:r>
              <w:rPr>
                <w:rFonts w:ascii="Times New Roman" w:hAnsi="Times New Roman"/>
                <w:sz w:val="20"/>
              </w:rPr>
              <w:t xml:space="preserve">est l’acheteur ou le vendeur dans la mise en pension de titres ou le prêteur ou l’emprunteur dans le prêt de titres.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1 – Acheteur dans une mise en pension</w:t>
            </w:r>
            <w:r w:rsidR="00FE79E2">
              <w:rPr>
                <w:rFonts w:ascii="Times New Roman" w:hAnsi="Times New Roman" w:cs="Times New Roman"/>
                <w:sz w:val="20"/>
                <w:szCs w:val="20"/>
              </w:rPr>
              <w:br/>
            </w:r>
            <w:r>
              <w:rPr>
                <w:rFonts w:ascii="Times New Roman" w:hAnsi="Times New Roman"/>
                <w:sz w:val="20"/>
              </w:rPr>
              <w:t>2 – Vendeur dans une mise en pension</w:t>
            </w:r>
            <w:r w:rsidR="00FE79E2">
              <w:rPr>
                <w:rFonts w:ascii="Times New Roman" w:hAnsi="Times New Roman" w:cs="Times New Roman"/>
                <w:sz w:val="20"/>
                <w:szCs w:val="20"/>
              </w:rPr>
              <w:br/>
            </w:r>
            <w:r>
              <w:rPr>
                <w:rFonts w:ascii="Times New Roman" w:hAnsi="Times New Roman"/>
                <w:sz w:val="20"/>
              </w:rPr>
              <w:t xml:space="preserve">3 – Prêteur dans un prêt de titres  </w:t>
            </w:r>
          </w:p>
          <w:p w14:paraId="34705C1E" w14:textId="77777777" w:rsidR="0095672C" w:rsidRPr="008B3312" w:rsidRDefault="0095672C" w:rsidP="00950116">
            <w:pPr>
              <w:spacing w:after="120" w:line="276" w:lineRule="auto"/>
              <w:rPr>
                <w:rFonts w:ascii="Times New Roman" w:hAnsi="Times New Roman" w:cs="Times New Roman"/>
                <w:sz w:val="20"/>
                <w:szCs w:val="20"/>
              </w:rPr>
            </w:pPr>
            <w:r>
              <w:rPr>
                <w:rFonts w:ascii="Times New Roman" w:hAnsi="Times New Roman"/>
                <w:sz w:val="20"/>
              </w:rPr>
              <w:t>4 – Emprunteur dans un prêt de titres</w:t>
            </w:r>
          </w:p>
        </w:tc>
      </w:tr>
      <w:tr w:rsidR="0095672C" w:rsidRPr="008B3312" w14:paraId="7DE2E6B0" w14:textId="77777777" w:rsidTr="00126B85">
        <w:trPr>
          <w:trHeight w:val="1968"/>
        </w:trPr>
        <w:tc>
          <w:tcPr>
            <w:tcW w:w="1283" w:type="dxa"/>
            <w:hideMark/>
          </w:tcPr>
          <w:p w14:paraId="45969042"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C0130</w:t>
            </w:r>
          </w:p>
        </w:tc>
        <w:tc>
          <w:tcPr>
            <w:tcW w:w="2188" w:type="dxa"/>
            <w:hideMark/>
          </w:tcPr>
          <w:p w14:paraId="3C29087F"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Montant de la jambe</w:t>
            </w:r>
            <w:proofErr w:type="gramStart"/>
            <w:r>
              <w:rPr>
                <w:rFonts w:ascii="Times New Roman" w:hAnsi="Times New Roman"/>
                <w:sz w:val="20"/>
              </w:rPr>
              <w:t xml:space="preserve"> «aller</w:t>
            </w:r>
            <w:proofErr w:type="gramEnd"/>
            <w:r>
              <w:rPr>
                <w:rFonts w:ascii="Times New Roman" w:hAnsi="Times New Roman"/>
                <w:sz w:val="20"/>
              </w:rPr>
              <w:t>»</w:t>
            </w:r>
          </w:p>
        </w:tc>
        <w:tc>
          <w:tcPr>
            <w:tcW w:w="5771" w:type="dxa"/>
            <w:hideMark/>
          </w:tcPr>
          <w:p w14:paraId="0D37C5C8"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Représente les montants </w:t>
            </w:r>
            <w:proofErr w:type="gramStart"/>
            <w:r>
              <w:rPr>
                <w:rFonts w:ascii="Times New Roman" w:hAnsi="Times New Roman"/>
                <w:sz w:val="20"/>
              </w:rPr>
              <w:t>suivants:</w:t>
            </w:r>
            <w:proofErr w:type="gramEnd"/>
            <w:r>
              <w:rPr>
                <w:rFonts w:ascii="Times New Roman" w:hAnsi="Times New Roman"/>
                <w:sz w:val="20"/>
              </w:rPr>
              <w:t xml:space="preserve"> </w:t>
            </w:r>
          </w:p>
          <w:p w14:paraId="2FAB54BC" w14:textId="77777777" w:rsidR="0095672C" w:rsidRPr="008B3312" w:rsidRDefault="0095672C" w:rsidP="00803166">
            <w:pPr>
              <w:pStyle w:val="Paragraphedeliste"/>
              <w:numPr>
                <w:ilvl w:val="0"/>
                <w:numId w:val="16"/>
              </w:numPr>
              <w:jc w:val="left"/>
              <w:rPr>
                <w:sz w:val="20"/>
              </w:rPr>
            </w:pPr>
            <w:proofErr w:type="gramStart"/>
            <w:r>
              <w:rPr>
                <w:sz w:val="20"/>
              </w:rPr>
              <w:t>acheteur</w:t>
            </w:r>
            <w:proofErr w:type="gramEnd"/>
            <w:r>
              <w:rPr>
                <w:sz w:val="20"/>
              </w:rPr>
              <w:t xml:space="preserve"> dans une mise en pension: montant reçu au début du contrat</w:t>
            </w:r>
          </w:p>
          <w:p w14:paraId="5ADE8A49" w14:textId="77777777" w:rsidR="0095672C" w:rsidRPr="008B3312" w:rsidRDefault="0095672C" w:rsidP="00803166">
            <w:pPr>
              <w:pStyle w:val="Paragraphedeliste"/>
              <w:numPr>
                <w:ilvl w:val="0"/>
                <w:numId w:val="16"/>
              </w:numPr>
              <w:jc w:val="left"/>
              <w:rPr>
                <w:sz w:val="20"/>
              </w:rPr>
            </w:pPr>
            <w:proofErr w:type="gramStart"/>
            <w:r>
              <w:rPr>
                <w:sz w:val="20"/>
              </w:rPr>
              <w:t>vendeur</w:t>
            </w:r>
            <w:proofErr w:type="gramEnd"/>
            <w:r>
              <w:rPr>
                <w:sz w:val="20"/>
              </w:rPr>
              <w:t xml:space="preserve"> dans une mise en pension: montant cédé au début du contrat</w:t>
            </w:r>
          </w:p>
          <w:p w14:paraId="266BF221" w14:textId="22653D0D" w:rsidR="0095672C" w:rsidRPr="008B3312" w:rsidRDefault="0095672C" w:rsidP="00803166">
            <w:pPr>
              <w:pStyle w:val="Paragraphedeliste"/>
              <w:numPr>
                <w:ilvl w:val="0"/>
                <w:numId w:val="16"/>
              </w:numPr>
              <w:jc w:val="left"/>
              <w:rPr>
                <w:sz w:val="20"/>
              </w:rPr>
            </w:pPr>
            <w:proofErr w:type="gramStart"/>
            <w:r>
              <w:rPr>
                <w:sz w:val="20"/>
              </w:rPr>
              <w:t>prêteur</w:t>
            </w:r>
            <w:proofErr w:type="gramEnd"/>
            <w:r>
              <w:rPr>
                <w:sz w:val="20"/>
              </w:rPr>
              <w:t xml:space="preserve"> dans un prêt de titres</w:t>
            </w:r>
            <w:r w:rsidR="002E3830">
              <w:rPr>
                <w:sz w:val="20"/>
              </w:rPr>
              <w:t>: montant</w:t>
            </w:r>
            <w:r>
              <w:rPr>
                <w:sz w:val="20"/>
              </w:rPr>
              <w:t xml:space="preserve"> reçu en garantie au début du contrat</w:t>
            </w:r>
          </w:p>
          <w:p w14:paraId="1634AD23" w14:textId="77777777" w:rsidR="0095672C" w:rsidRPr="008B3312" w:rsidRDefault="0095672C" w:rsidP="00803166">
            <w:pPr>
              <w:pStyle w:val="Paragraphedeliste"/>
              <w:numPr>
                <w:ilvl w:val="0"/>
                <w:numId w:val="16"/>
              </w:numPr>
              <w:jc w:val="left"/>
              <w:rPr>
                <w:sz w:val="20"/>
              </w:rPr>
            </w:pPr>
            <w:proofErr w:type="gramStart"/>
            <w:r>
              <w:rPr>
                <w:sz w:val="20"/>
              </w:rPr>
              <w:t>emprunteur</w:t>
            </w:r>
            <w:proofErr w:type="gramEnd"/>
            <w:r>
              <w:rPr>
                <w:sz w:val="20"/>
              </w:rPr>
              <w:t xml:space="preserve"> dans un prêt de titres: montant ou valeur de marché des titres reçus au début du contrat</w:t>
            </w:r>
          </w:p>
        </w:tc>
      </w:tr>
      <w:tr w:rsidR="0095672C" w:rsidRPr="008B3312" w14:paraId="51E8DFF5" w14:textId="77777777" w:rsidTr="00126B85">
        <w:trPr>
          <w:trHeight w:val="204"/>
        </w:trPr>
        <w:tc>
          <w:tcPr>
            <w:tcW w:w="1283" w:type="dxa"/>
            <w:hideMark/>
          </w:tcPr>
          <w:p w14:paraId="04B8D904"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C0140</w:t>
            </w:r>
          </w:p>
        </w:tc>
        <w:tc>
          <w:tcPr>
            <w:tcW w:w="2188" w:type="dxa"/>
            <w:hideMark/>
          </w:tcPr>
          <w:p w14:paraId="426A114C"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Montant de la jambe</w:t>
            </w:r>
            <w:proofErr w:type="gramStart"/>
            <w:r>
              <w:rPr>
                <w:rFonts w:ascii="Times New Roman" w:hAnsi="Times New Roman"/>
                <w:sz w:val="20"/>
              </w:rPr>
              <w:t xml:space="preserve"> «retour</w:t>
            </w:r>
            <w:proofErr w:type="gramEnd"/>
            <w:r>
              <w:rPr>
                <w:rFonts w:ascii="Times New Roman" w:hAnsi="Times New Roman"/>
                <w:sz w:val="20"/>
              </w:rPr>
              <w:t>»</w:t>
            </w:r>
          </w:p>
        </w:tc>
        <w:tc>
          <w:tcPr>
            <w:tcW w:w="5771" w:type="dxa"/>
            <w:hideMark/>
          </w:tcPr>
          <w:p w14:paraId="7A2655D7"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Cet élément ne concerne que les mises en pension et représente les montants </w:t>
            </w:r>
            <w:proofErr w:type="gramStart"/>
            <w:r>
              <w:rPr>
                <w:rFonts w:ascii="Times New Roman" w:hAnsi="Times New Roman"/>
                <w:sz w:val="20"/>
              </w:rPr>
              <w:t>suivants:</w:t>
            </w:r>
            <w:proofErr w:type="gramEnd"/>
            <w:r>
              <w:rPr>
                <w:rFonts w:ascii="Times New Roman" w:hAnsi="Times New Roman"/>
                <w:sz w:val="20"/>
              </w:rPr>
              <w:t xml:space="preserve"> </w:t>
            </w:r>
          </w:p>
          <w:p w14:paraId="2BB81304" w14:textId="77777777" w:rsidR="0095672C" w:rsidRPr="008B3312" w:rsidRDefault="0095672C" w:rsidP="00803166">
            <w:pPr>
              <w:pStyle w:val="Paragraphedeliste"/>
              <w:numPr>
                <w:ilvl w:val="0"/>
                <w:numId w:val="16"/>
              </w:numPr>
              <w:spacing w:line="276" w:lineRule="auto"/>
              <w:jc w:val="left"/>
              <w:rPr>
                <w:sz w:val="20"/>
              </w:rPr>
            </w:pPr>
            <w:proofErr w:type="gramStart"/>
            <w:r>
              <w:rPr>
                <w:sz w:val="20"/>
              </w:rPr>
              <w:t>acheteur</w:t>
            </w:r>
            <w:proofErr w:type="gramEnd"/>
            <w:r>
              <w:rPr>
                <w:sz w:val="20"/>
              </w:rPr>
              <w:t xml:space="preserve"> dans une mise en pension: montant cédé à l’échéance du contrat</w:t>
            </w:r>
          </w:p>
          <w:p w14:paraId="4FBE484F" w14:textId="77777777" w:rsidR="0095672C" w:rsidRPr="008B3312" w:rsidRDefault="0095672C" w:rsidP="00803166">
            <w:pPr>
              <w:pStyle w:val="Paragraphedeliste"/>
              <w:numPr>
                <w:ilvl w:val="0"/>
                <w:numId w:val="16"/>
              </w:numPr>
              <w:jc w:val="left"/>
              <w:rPr>
                <w:sz w:val="20"/>
              </w:rPr>
            </w:pPr>
            <w:proofErr w:type="gramStart"/>
            <w:r>
              <w:rPr>
                <w:sz w:val="20"/>
              </w:rPr>
              <w:t>vendeur</w:t>
            </w:r>
            <w:proofErr w:type="gramEnd"/>
            <w:r>
              <w:rPr>
                <w:sz w:val="20"/>
              </w:rPr>
              <w:t xml:space="preserve"> dans une mise en pension montant reçu à l’échéance du contrat</w:t>
            </w:r>
          </w:p>
        </w:tc>
      </w:tr>
      <w:tr w:rsidR="0095672C" w:rsidRPr="008B3312" w14:paraId="04FFE6F9" w14:textId="77777777" w:rsidTr="00126B85">
        <w:trPr>
          <w:trHeight w:val="645"/>
        </w:trPr>
        <w:tc>
          <w:tcPr>
            <w:tcW w:w="1283" w:type="dxa"/>
            <w:hideMark/>
          </w:tcPr>
          <w:p w14:paraId="6DE48B00"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C0150</w:t>
            </w:r>
          </w:p>
        </w:tc>
        <w:tc>
          <w:tcPr>
            <w:tcW w:w="2188" w:type="dxa"/>
            <w:hideMark/>
          </w:tcPr>
          <w:p w14:paraId="73B56666"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Date d’entrée en vigueur</w:t>
            </w:r>
          </w:p>
        </w:tc>
        <w:tc>
          <w:tcPr>
            <w:tcW w:w="5771" w:type="dxa"/>
            <w:hideMark/>
          </w:tcPr>
          <w:p w14:paraId="11264A5F"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code ISO 8601 (</w:t>
            </w:r>
            <w:proofErr w:type="spellStart"/>
            <w:r>
              <w:rPr>
                <w:rFonts w:ascii="Times New Roman" w:hAnsi="Times New Roman"/>
                <w:sz w:val="20"/>
              </w:rPr>
              <w:t>aaaa</w:t>
            </w:r>
            <w:proofErr w:type="spellEnd"/>
            <w:r>
              <w:rPr>
                <w:rFonts w:ascii="Times New Roman" w:hAnsi="Times New Roman"/>
                <w:sz w:val="20"/>
              </w:rPr>
              <w:t>-mm-jj) de la date d’entrée en vigueur du contrat. La date d’entrée en vigueur est la date à laquelle les obligations prévues au contrat prennent effet.</w:t>
            </w:r>
          </w:p>
        </w:tc>
      </w:tr>
      <w:tr w:rsidR="0095672C" w:rsidRPr="008B3312" w14:paraId="58B71891" w14:textId="77777777" w:rsidTr="00126B85">
        <w:trPr>
          <w:trHeight w:val="1995"/>
        </w:trPr>
        <w:tc>
          <w:tcPr>
            <w:tcW w:w="1283" w:type="dxa"/>
            <w:hideMark/>
          </w:tcPr>
          <w:p w14:paraId="684C845E" w14:textId="77777777" w:rsidR="0095672C" w:rsidRPr="008B3312" w:rsidRDefault="0095672C" w:rsidP="00950116">
            <w:pPr>
              <w:pStyle w:val="Sansinterligne"/>
              <w:rPr>
                <w:rFonts w:ascii="Times New Roman" w:hAnsi="Times New Roman" w:cs="Times New Roman"/>
                <w:sz w:val="20"/>
              </w:rPr>
            </w:pPr>
            <w:r>
              <w:rPr>
                <w:rFonts w:ascii="Times New Roman" w:hAnsi="Times New Roman"/>
                <w:sz w:val="20"/>
              </w:rPr>
              <w:t>C0160</w:t>
            </w:r>
          </w:p>
        </w:tc>
        <w:tc>
          <w:tcPr>
            <w:tcW w:w="2188" w:type="dxa"/>
            <w:hideMark/>
          </w:tcPr>
          <w:p w14:paraId="5A7F06E7"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Date d’échéance</w:t>
            </w:r>
          </w:p>
        </w:tc>
        <w:tc>
          <w:tcPr>
            <w:tcW w:w="5771" w:type="dxa"/>
            <w:hideMark/>
          </w:tcPr>
          <w:p w14:paraId="5638B651"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code ISO 8601 (</w:t>
            </w:r>
            <w:proofErr w:type="spellStart"/>
            <w:r>
              <w:rPr>
                <w:rFonts w:ascii="Times New Roman" w:hAnsi="Times New Roman"/>
                <w:sz w:val="20"/>
              </w:rPr>
              <w:t>aaaa</w:t>
            </w:r>
            <w:proofErr w:type="spellEnd"/>
            <w:r>
              <w:rPr>
                <w:rFonts w:ascii="Times New Roman" w:hAnsi="Times New Roman"/>
                <w:sz w:val="20"/>
              </w:rPr>
              <w:t xml:space="preserve">-mm-jj) de la date d’échéance du contrat. Même si le contrat est basé sur une date d’appel ouverte, il a généralement </w:t>
            </w:r>
            <w:proofErr w:type="gramStart"/>
            <w:r>
              <w:rPr>
                <w:rFonts w:ascii="Times New Roman" w:hAnsi="Times New Roman"/>
                <w:sz w:val="20"/>
              </w:rPr>
              <w:t>un date</w:t>
            </w:r>
            <w:proofErr w:type="gramEnd"/>
            <w:r>
              <w:rPr>
                <w:rFonts w:ascii="Times New Roman" w:hAnsi="Times New Roman"/>
                <w:sz w:val="20"/>
              </w:rPr>
              <w:t xml:space="preserve"> d’expiration. Dans ce cas, cette date doit être déclarée si aucun appel n’a lieu avant.</w:t>
            </w:r>
            <w:r w:rsidR="00FE79E2">
              <w:rPr>
                <w:rFonts w:ascii="Times New Roman" w:hAnsi="Times New Roman" w:cs="Times New Roman"/>
                <w:sz w:val="20"/>
                <w:szCs w:val="20"/>
              </w:rPr>
              <w:br/>
            </w:r>
            <w:r>
              <w:rPr>
                <w:rFonts w:ascii="Times New Roman" w:hAnsi="Times New Roman"/>
                <w:sz w:val="20"/>
              </w:rPr>
              <w:t>Un accord est considéré comme clôturé lorsqu’il est parvenu à échéance, qu’un appel a lieu ou que l’accord est annulé.</w:t>
            </w:r>
            <w:r w:rsidR="00FE79E2">
              <w:rPr>
                <w:rFonts w:ascii="Times New Roman" w:hAnsi="Times New Roman" w:cs="Times New Roman"/>
                <w:sz w:val="20"/>
                <w:szCs w:val="20"/>
              </w:rPr>
              <w:br/>
            </w:r>
            <w:r>
              <w:rPr>
                <w:rFonts w:ascii="Times New Roman" w:hAnsi="Times New Roman"/>
                <w:sz w:val="20"/>
              </w:rPr>
              <w:t>Pour les contrats sans date d’échéance définie, déclarer «9999-12-</w:t>
            </w:r>
            <w:proofErr w:type="gramStart"/>
            <w:r>
              <w:rPr>
                <w:rFonts w:ascii="Times New Roman" w:hAnsi="Times New Roman"/>
                <w:sz w:val="20"/>
              </w:rPr>
              <w:t>31»</w:t>
            </w:r>
            <w:proofErr w:type="gramEnd"/>
            <w:r>
              <w:rPr>
                <w:rFonts w:ascii="Times New Roman" w:hAnsi="Times New Roman"/>
                <w:sz w:val="20"/>
              </w:rPr>
              <w:t>.</w:t>
            </w:r>
          </w:p>
        </w:tc>
      </w:tr>
      <w:tr w:rsidR="00126B85" w:rsidRPr="008B3312" w14:paraId="71A8F0FF" w14:textId="77777777" w:rsidTr="00126B85">
        <w:trPr>
          <w:trHeight w:val="720"/>
        </w:trPr>
        <w:tc>
          <w:tcPr>
            <w:tcW w:w="1283" w:type="dxa"/>
          </w:tcPr>
          <w:p w14:paraId="0EAF4301" w14:textId="77777777" w:rsidR="00126B85" w:rsidDel="00126B85" w:rsidRDefault="00126B85" w:rsidP="00126B85">
            <w:pPr>
              <w:pStyle w:val="Sansinterligne"/>
              <w:rPr>
                <w:rFonts w:ascii="Times New Roman" w:hAnsi="Times New Roman"/>
                <w:sz w:val="20"/>
              </w:rPr>
            </w:pPr>
            <w:r>
              <w:rPr>
                <w:rFonts w:ascii="Times New Roman" w:hAnsi="Times New Roman"/>
                <w:sz w:val="20"/>
              </w:rPr>
              <w:t>C0180</w:t>
            </w:r>
          </w:p>
        </w:tc>
        <w:tc>
          <w:tcPr>
            <w:tcW w:w="2188" w:type="dxa"/>
          </w:tcPr>
          <w:p w14:paraId="74AA3FBF" w14:textId="77777777" w:rsidR="00126B85" w:rsidDel="00126B85" w:rsidRDefault="00126B85">
            <w:pPr>
              <w:rPr>
                <w:rFonts w:ascii="Times New Roman" w:hAnsi="Times New Roman"/>
                <w:sz w:val="20"/>
              </w:rPr>
            </w:pPr>
            <w:r>
              <w:rPr>
                <w:rFonts w:ascii="Times New Roman" w:hAnsi="Times New Roman"/>
                <w:sz w:val="20"/>
              </w:rPr>
              <w:t>Valeur brute comptable (contrevaleur en euros le cas échéant)</w:t>
            </w:r>
          </w:p>
        </w:tc>
        <w:tc>
          <w:tcPr>
            <w:tcW w:w="5771" w:type="dxa"/>
          </w:tcPr>
          <w:p w14:paraId="425C800B" w14:textId="77777777" w:rsidR="00126B85" w:rsidDel="00126B85" w:rsidRDefault="00126B85" w:rsidP="00950116">
            <w:pPr>
              <w:rPr>
                <w:rFonts w:ascii="Times New Roman" w:hAnsi="Times New Roman"/>
                <w:sz w:val="20"/>
              </w:rPr>
            </w:pPr>
            <w:r>
              <w:rPr>
                <w:rFonts w:ascii="Times New Roman" w:hAnsi="Times New Roman"/>
                <w:sz w:val="20"/>
              </w:rPr>
              <w:t>Indiquer la valeur brute comptable. Une valeur numérique est attendue.</w:t>
            </w:r>
          </w:p>
        </w:tc>
      </w:tr>
      <w:tr w:rsidR="00126B85" w:rsidRPr="008B3312" w14:paraId="3F989338" w14:textId="77777777" w:rsidTr="00126B85">
        <w:trPr>
          <w:trHeight w:val="720"/>
        </w:trPr>
        <w:tc>
          <w:tcPr>
            <w:tcW w:w="1283" w:type="dxa"/>
          </w:tcPr>
          <w:p w14:paraId="79326004" w14:textId="77777777" w:rsidR="00126B85" w:rsidDel="00126B85" w:rsidRDefault="00126B85" w:rsidP="00126B85">
            <w:pPr>
              <w:pStyle w:val="Sansinterligne"/>
              <w:rPr>
                <w:rFonts w:ascii="Times New Roman" w:hAnsi="Times New Roman"/>
                <w:sz w:val="20"/>
              </w:rPr>
            </w:pPr>
            <w:r>
              <w:rPr>
                <w:rFonts w:ascii="Times New Roman" w:hAnsi="Times New Roman"/>
                <w:sz w:val="20"/>
              </w:rPr>
              <w:t>C0190</w:t>
            </w:r>
          </w:p>
        </w:tc>
        <w:tc>
          <w:tcPr>
            <w:tcW w:w="2188" w:type="dxa"/>
          </w:tcPr>
          <w:p w14:paraId="1C9A838C" w14:textId="77777777" w:rsidR="00126B85" w:rsidDel="00126B85" w:rsidRDefault="00126B85">
            <w:pPr>
              <w:rPr>
                <w:rFonts w:ascii="Times New Roman" w:hAnsi="Times New Roman"/>
                <w:sz w:val="20"/>
              </w:rPr>
            </w:pPr>
            <w:r>
              <w:rPr>
                <w:rFonts w:ascii="Times New Roman" w:hAnsi="Times New Roman"/>
                <w:sz w:val="20"/>
              </w:rPr>
              <w:t>Amortissements (contrevaleur en euros le cas échéant)</w:t>
            </w:r>
          </w:p>
        </w:tc>
        <w:tc>
          <w:tcPr>
            <w:tcW w:w="5771" w:type="dxa"/>
          </w:tcPr>
          <w:p w14:paraId="6EB562B4" w14:textId="77777777" w:rsidR="00126B85" w:rsidDel="00126B85" w:rsidRDefault="00126B85" w:rsidP="00950116">
            <w:pPr>
              <w:rPr>
                <w:rFonts w:ascii="Times New Roman" w:hAnsi="Times New Roman"/>
                <w:sz w:val="20"/>
              </w:rPr>
            </w:pPr>
            <w:r>
              <w:rPr>
                <w:rFonts w:ascii="Times New Roman" w:hAnsi="Times New Roman"/>
                <w:sz w:val="20"/>
              </w:rPr>
              <w:t>Indiquer le montant d’amortissements. Une valeur numérique est attendue.</w:t>
            </w:r>
          </w:p>
        </w:tc>
      </w:tr>
      <w:tr w:rsidR="00126B85" w:rsidRPr="008B3312" w14:paraId="53BB615A" w14:textId="77777777" w:rsidTr="00126B85">
        <w:trPr>
          <w:trHeight w:val="720"/>
        </w:trPr>
        <w:tc>
          <w:tcPr>
            <w:tcW w:w="1283" w:type="dxa"/>
          </w:tcPr>
          <w:p w14:paraId="5B54A0B0" w14:textId="77777777" w:rsidR="00126B85" w:rsidDel="00126B85" w:rsidRDefault="00126B85" w:rsidP="00126B85">
            <w:pPr>
              <w:pStyle w:val="Sansinterligne"/>
              <w:rPr>
                <w:rFonts w:ascii="Times New Roman" w:hAnsi="Times New Roman"/>
                <w:sz w:val="20"/>
              </w:rPr>
            </w:pPr>
            <w:r>
              <w:rPr>
                <w:rFonts w:ascii="Times New Roman" w:hAnsi="Times New Roman"/>
                <w:sz w:val="20"/>
              </w:rPr>
              <w:t>C0200</w:t>
            </w:r>
          </w:p>
        </w:tc>
        <w:tc>
          <w:tcPr>
            <w:tcW w:w="2188" w:type="dxa"/>
          </w:tcPr>
          <w:p w14:paraId="58A55581" w14:textId="77777777" w:rsidR="00126B85" w:rsidDel="00126B85" w:rsidRDefault="00126B85">
            <w:pPr>
              <w:rPr>
                <w:rFonts w:ascii="Times New Roman" w:hAnsi="Times New Roman"/>
                <w:sz w:val="20"/>
              </w:rPr>
            </w:pPr>
            <w:r>
              <w:rPr>
                <w:rFonts w:ascii="Times New Roman" w:hAnsi="Times New Roman"/>
                <w:sz w:val="20"/>
              </w:rPr>
              <w:t>Dépréciations (contrevaleur en euros le cas échéant)</w:t>
            </w:r>
          </w:p>
        </w:tc>
        <w:tc>
          <w:tcPr>
            <w:tcW w:w="5771" w:type="dxa"/>
          </w:tcPr>
          <w:p w14:paraId="59CE2056" w14:textId="77777777" w:rsidR="00126B85" w:rsidDel="00126B85" w:rsidRDefault="00126B85" w:rsidP="00950116">
            <w:pPr>
              <w:rPr>
                <w:rFonts w:ascii="Times New Roman" w:hAnsi="Times New Roman"/>
                <w:sz w:val="20"/>
              </w:rPr>
            </w:pPr>
            <w:r>
              <w:rPr>
                <w:rFonts w:ascii="Times New Roman" w:hAnsi="Times New Roman"/>
                <w:sz w:val="20"/>
              </w:rPr>
              <w:t>Indiquer le montant de dépréciations. Une valeur numérique est attendue.</w:t>
            </w:r>
          </w:p>
        </w:tc>
      </w:tr>
      <w:tr w:rsidR="00126B85" w:rsidRPr="008B3312" w14:paraId="7DAEB3DF" w14:textId="77777777" w:rsidTr="00126B85">
        <w:trPr>
          <w:trHeight w:val="720"/>
        </w:trPr>
        <w:tc>
          <w:tcPr>
            <w:tcW w:w="1283" w:type="dxa"/>
          </w:tcPr>
          <w:p w14:paraId="569298EE" w14:textId="77777777" w:rsidR="00126B85" w:rsidDel="00126B85" w:rsidRDefault="00126B85" w:rsidP="00126B85">
            <w:pPr>
              <w:pStyle w:val="Sansinterligne"/>
              <w:rPr>
                <w:rFonts w:ascii="Times New Roman" w:hAnsi="Times New Roman"/>
                <w:sz w:val="20"/>
              </w:rPr>
            </w:pPr>
            <w:r>
              <w:rPr>
                <w:rFonts w:ascii="Times New Roman" w:hAnsi="Times New Roman"/>
                <w:sz w:val="20"/>
              </w:rPr>
              <w:t>C0210</w:t>
            </w:r>
          </w:p>
        </w:tc>
        <w:tc>
          <w:tcPr>
            <w:tcW w:w="2188" w:type="dxa"/>
          </w:tcPr>
          <w:p w14:paraId="5101B721" w14:textId="77777777" w:rsidR="00126B85" w:rsidDel="00126B85" w:rsidRDefault="00126B85">
            <w:pPr>
              <w:rPr>
                <w:rFonts w:ascii="Times New Roman" w:hAnsi="Times New Roman"/>
                <w:sz w:val="20"/>
              </w:rPr>
            </w:pPr>
            <w:r>
              <w:rPr>
                <w:rFonts w:ascii="Times New Roman" w:hAnsi="Times New Roman"/>
                <w:sz w:val="20"/>
              </w:rPr>
              <w:t>Surcote, décote (contrevaleur en euros le cas échéant)</w:t>
            </w:r>
          </w:p>
        </w:tc>
        <w:tc>
          <w:tcPr>
            <w:tcW w:w="5771" w:type="dxa"/>
          </w:tcPr>
          <w:p w14:paraId="49DB5091" w14:textId="77777777" w:rsidR="00126B85" w:rsidDel="00126B85" w:rsidRDefault="00126B85" w:rsidP="00950116">
            <w:pPr>
              <w:rPr>
                <w:rFonts w:ascii="Times New Roman" w:hAnsi="Times New Roman"/>
                <w:sz w:val="20"/>
              </w:rPr>
            </w:pPr>
            <w:r>
              <w:rPr>
                <w:rFonts w:ascii="Times New Roman" w:hAnsi="Times New Roman"/>
                <w:sz w:val="20"/>
              </w:rPr>
              <w:t>Indiquer le montant de décote ou surcote. Une valeur numérique est attendue.</w:t>
            </w:r>
          </w:p>
        </w:tc>
      </w:tr>
      <w:tr w:rsidR="00126B85" w:rsidRPr="008B3312" w14:paraId="4BC3173B" w14:textId="77777777" w:rsidTr="00126B85">
        <w:trPr>
          <w:trHeight w:val="720"/>
        </w:trPr>
        <w:tc>
          <w:tcPr>
            <w:tcW w:w="1283" w:type="dxa"/>
          </w:tcPr>
          <w:p w14:paraId="3237731D" w14:textId="77777777" w:rsidR="00126B85" w:rsidDel="00126B85" w:rsidRDefault="00126B85" w:rsidP="00126B85">
            <w:pPr>
              <w:pStyle w:val="Sansinterligne"/>
              <w:rPr>
                <w:rFonts w:ascii="Times New Roman" w:hAnsi="Times New Roman"/>
                <w:sz w:val="20"/>
              </w:rPr>
            </w:pPr>
            <w:r>
              <w:rPr>
                <w:rFonts w:ascii="Times New Roman" w:hAnsi="Times New Roman"/>
                <w:sz w:val="20"/>
              </w:rPr>
              <w:t>C0220</w:t>
            </w:r>
          </w:p>
        </w:tc>
        <w:tc>
          <w:tcPr>
            <w:tcW w:w="2188" w:type="dxa"/>
          </w:tcPr>
          <w:p w14:paraId="1447F82E" w14:textId="77777777" w:rsidR="00126B85" w:rsidDel="00126B85" w:rsidRDefault="00126B85">
            <w:pPr>
              <w:rPr>
                <w:rFonts w:ascii="Times New Roman" w:hAnsi="Times New Roman"/>
                <w:sz w:val="20"/>
              </w:rPr>
            </w:pPr>
            <w:r>
              <w:rPr>
                <w:rFonts w:ascii="Times New Roman" w:hAnsi="Times New Roman"/>
                <w:sz w:val="20"/>
              </w:rPr>
              <w:t>Part non libérée du titre</w:t>
            </w:r>
          </w:p>
        </w:tc>
        <w:tc>
          <w:tcPr>
            <w:tcW w:w="5771" w:type="dxa"/>
          </w:tcPr>
          <w:p w14:paraId="2808AB9E" w14:textId="77777777" w:rsidR="00126B85" w:rsidRPr="00B14C14" w:rsidRDefault="00126B85" w:rsidP="00EA3F32">
            <w:pPr>
              <w:rPr>
                <w:rFonts w:ascii="Times New Roman" w:hAnsi="Times New Roman"/>
                <w:sz w:val="20"/>
              </w:rPr>
            </w:pPr>
            <w:r>
              <w:rPr>
                <w:rFonts w:ascii="Times New Roman" w:hAnsi="Times New Roman"/>
                <w:sz w:val="20"/>
              </w:rPr>
              <w:t xml:space="preserve">Indiquer </w:t>
            </w:r>
            <w:r w:rsidRPr="00B14C14">
              <w:rPr>
                <w:rFonts w:ascii="Times New Roman" w:hAnsi="Times New Roman"/>
                <w:sz w:val="20"/>
              </w:rPr>
              <w:t>l’éventuelle part non</w:t>
            </w:r>
            <w:r w:rsidRPr="005E724C">
              <w:rPr>
                <w:rFonts w:ascii="Times New Roman" w:hAnsi="Times New Roman"/>
                <w:sz w:val="20"/>
              </w:rPr>
              <w:t xml:space="preserve"> libéré des titres de la </w:t>
            </w:r>
            <w:proofErr w:type="gramStart"/>
            <w:r w:rsidRPr="005E724C">
              <w:rPr>
                <w:rFonts w:ascii="Times New Roman" w:hAnsi="Times New Roman"/>
                <w:sz w:val="20"/>
              </w:rPr>
              <w:t>ligne</w:t>
            </w:r>
            <w:r>
              <w:rPr>
                <w:rFonts w:ascii="Times New Roman" w:hAnsi="Times New Roman"/>
                <w:sz w:val="20"/>
              </w:rPr>
              <w:t>.</w:t>
            </w:r>
            <w:r w:rsidRPr="00B14C14">
              <w:rPr>
                <w:rFonts w:ascii="Times New Roman" w:hAnsi="Times New Roman"/>
                <w:sz w:val="20"/>
              </w:rPr>
              <w:t>.</w:t>
            </w:r>
            <w:proofErr w:type="gramEnd"/>
            <w:r w:rsidRPr="00B14C14">
              <w:rPr>
                <w:rFonts w:ascii="Times New Roman" w:hAnsi="Times New Roman"/>
                <w:sz w:val="20"/>
              </w:rPr>
              <w:t xml:space="preserve"> L’inclusion en colonne de la part non-libérée des titres diffère de la pratique de l’EDP, qui consiste à sommer les titres par sous-rubrique, avant de soustraire, le cas échéant, la part non libérée des titres au total de la sous-rubrique. </w:t>
            </w:r>
          </w:p>
          <w:p w14:paraId="6FAC9AFF" w14:textId="77777777" w:rsidR="00126B85" w:rsidDel="00126B85" w:rsidRDefault="00126B85" w:rsidP="00950116">
            <w:pPr>
              <w:rPr>
                <w:rFonts w:ascii="Times New Roman" w:hAnsi="Times New Roman"/>
                <w:sz w:val="20"/>
              </w:rPr>
            </w:pPr>
            <w:r w:rsidRPr="00B14C14">
              <w:rPr>
                <w:rFonts w:ascii="Times New Roman" w:hAnsi="Times New Roman"/>
                <w:sz w:val="20"/>
              </w:rPr>
              <w:t>Une valeur numérique est attendue.</w:t>
            </w:r>
          </w:p>
        </w:tc>
      </w:tr>
      <w:tr w:rsidR="00126B85" w:rsidRPr="008B3312" w14:paraId="18D17384" w14:textId="77777777" w:rsidTr="00126B85">
        <w:trPr>
          <w:trHeight w:val="720"/>
        </w:trPr>
        <w:tc>
          <w:tcPr>
            <w:tcW w:w="1283" w:type="dxa"/>
          </w:tcPr>
          <w:p w14:paraId="165F102C" w14:textId="77777777" w:rsidR="00126B85" w:rsidDel="00126B85" w:rsidRDefault="00126B85" w:rsidP="00126B85">
            <w:pPr>
              <w:pStyle w:val="Sansinterligne"/>
              <w:rPr>
                <w:rFonts w:ascii="Times New Roman" w:hAnsi="Times New Roman"/>
                <w:sz w:val="20"/>
              </w:rPr>
            </w:pPr>
            <w:r>
              <w:rPr>
                <w:rFonts w:ascii="Times New Roman" w:hAnsi="Times New Roman"/>
                <w:sz w:val="20"/>
              </w:rPr>
              <w:lastRenderedPageBreak/>
              <w:t>C0230</w:t>
            </w:r>
          </w:p>
        </w:tc>
        <w:tc>
          <w:tcPr>
            <w:tcW w:w="2188" w:type="dxa"/>
          </w:tcPr>
          <w:p w14:paraId="57FC2460" w14:textId="77777777" w:rsidR="00126B85" w:rsidDel="00126B85" w:rsidRDefault="00126B85">
            <w:pPr>
              <w:rPr>
                <w:rFonts w:ascii="Times New Roman" w:hAnsi="Times New Roman"/>
                <w:sz w:val="20"/>
              </w:rPr>
            </w:pPr>
            <w:r>
              <w:rPr>
                <w:rFonts w:ascii="Times New Roman" w:hAnsi="Times New Roman"/>
                <w:sz w:val="20"/>
              </w:rPr>
              <w:t>Valeur nette (contrevaleur en euros le cas échéant)</w:t>
            </w:r>
          </w:p>
        </w:tc>
        <w:tc>
          <w:tcPr>
            <w:tcW w:w="5771" w:type="dxa"/>
          </w:tcPr>
          <w:p w14:paraId="7F0C6025" w14:textId="77777777" w:rsidR="00126B85" w:rsidDel="00126B85" w:rsidRDefault="00126B85" w:rsidP="00950116">
            <w:pPr>
              <w:rPr>
                <w:rFonts w:ascii="Times New Roman" w:hAnsi="Times New Roman"/>
                <w:sz w:val="20"/>
              </w:rPr>
            </w:pPr>
            <w:r>
              <w:rPr>
                <w:rFonts w:ascii="Times New Roman" w:hAnsi="Times New Roman"/>
                <w:sz w:val="20"/>
              </w:rPr>
              <w:t xml:space="preserve">Indiquer la valeur nette (c’est-à-dire nette des colonnes précédentes, y compris donc de la part non libérée des titres le cas échéant). </w:t>
            </w:r>
            <w:r w:rsidRPr="00B14C14">
              <w:rPr>
                <w:rFonts w:ascii="Times New Roman" w:hAnsi="Times New Roman"/>
                <w:sz w:val="20"/>
              </w:rPr>
              <w:t>Une valeur numérique est attendue.</w:t>
            </w:r>
          </w:p>
        </w:tc>
      </w:tr>
      <w:tr w:rsidR="00126B85" w:rsidRPr="008B3312" w14:paraId="1CB4E927" w14:textId="77777777" w:rsidTr="00126B85">
        <w:trPr>
          <w:trHeight w:val="720"/>
        </w:trPr>
        <w:tc>
          <w:tcPr>
            <w:tcW w:w="1283" w:type="dxa"/>
          </w:tcPr>
          <w:p w14:paraId="36493D09" w14:textId="77777777" w:rsidR="00126B85" w:rsidDel="00126B85" w:rsidRDefault="00126B85" w:rsidP="00126B85">
            <w:pPr>
              <w:pStyle w:val="Sansinterligne"/>
              <w:rPr>
                <w:rFonts w:ascii="Times New Roman" w:hAnsi="Times New Roman"/>
                <w:sz w:val="20"/>
              </w:rPr>
            </w:pPr>
            <w:r>
              <w:rPr>
                <w:rFonts w:ascii="Times New Roman" w:hAnsi="Times New Roman"/>
                <w:sz w:val="20"/>
              </w:rPr>
              <w:t>C0240</w:t>
            </w:r>
          </w:p>
        </w:tc>
        <w:tc>
          <w:tcPr>
            <w:tcW w:w="2188" w:type="dxa"/>
          </w:tcPr>
          <w:p w14:paraId="32B750F2" w14:textId="77777777" w:rsidR="00126B85" w:rsidDel="00126B85" w:rsidRDefault="00126B85">
            <w:pPr>
              <w:rPr>
                <w:rFonts w:ascii="Times New Roman" w:hAnsi="Times New Roman"/>
                <w:sz w:val="20"/>
              </w:rPr>
            </w:pPr>
            <w:r>
              <w:rPr>
                <w:rFonts w:ascii="Times New Roman" w:hAnsi="Times New Roman"/>
                <w:sz w:val="20"/>
              </w:rPr>
              <w:t>Valeur de réalisation (contrevaleur en euros le cas échéant).</w:t>
            </w:r>
          </w:p>
        </w:tc>
        <w:tc>
          <w:tcPr>
            <w:tcW w:w="5771" w:type="dxa"/>
          </w:tcPr>
          <w:p w14:paraId="3DA9231D" w14:textId="77777777" w:rsidR="00126B85" w:rsidDel="00126B85" w:rsidRDefault="00126B85" w:rsidP="00950116">
            <w:pPr>
              <w:rPr>
                <w:rFonts w:ascii="Times New Roman" w:hAnsi="Times New Roman"/>
                <w:sz w:val="20"/>
              </w:rPr>
            </w:pPr>
            <w:r w:rsidRPr="00B14C14">
              <w:rPr>
                <w:rFonts w:ascii="Times New Roman" w:hAnsi="Times New Roman"/>
                <w:sz w:val="20"/>
              </w:rPr>
              <w:t>La valeur de réalisation s’entend, même pour les titres pour lesquels la cotation inclut les intérêts courus, nets d’ICNE</w:t>
            </w:r>
            <w:r>
              <w:rPr>
                <w:rFonts w:ascii="Times New Roman" w:hAnsi="Times New Roman"/>
                <w:sz w:val="20"/>
              </w:rPr>
              <w:t>. Une valeur numérique est attendue</w:t>
            </w:r>
          </w:p>
        </w:tc>
      </w:tr>
      <w:tr w:rsidR="00126B85" w:rsidRPr="008B3312" w14:paraId="2209EFF8" w14:textId="77777777" w:rsidTr="00126B85">
        <w:trPr>
          <w:trHeight w:val="720"/>
        </w:trPr>
        <w:tc>
          <w:tcPr>
            <w:tcW w:w="1283" w:type="dxa"/>
          </w:tcPr>
          <w:p w14:paraId="636139EF" w14:textId="77777777" w:rsidR="00126B85" w:rsidDel="00126B85" w:rsidRDefault="00126B85" w:rsidP="00126B85">
            <w:pPr>
              <w:pStyle w:val="Sansinterligne"/>
              <w:rPr>
                <w:rFonts w:ascii="Times New Roman" w:hAnsi="Times New Roman"/>
                <w:sz w:val="20"/>
              </w:rPr>
            </w:pPr>
            <w:r>
              <w:rPr>
                <w:rFonts w:ascii="Times New Roman" w:hAnsi="Times New Roman"/>
                <w:sz w:val="20"/>
              </w:rPr>
              <w:t>C0250</w:t>
            </w:r>
          </w:p>
        </w:tc>
        <w:tc>
          <w:tcPr>
            <w:tcW w:w="2188" w:type="dxa"/>
          </w:tcPr>
          <w:p w14:paraId="23F86B94" w14:textId="77777777" w:rsidR="00126B85" w:rsidDel="00126B85" w:rsidRDefault="00126B85">
            <w:pPr>
              <w:rPr>
                <w:rFonts w:ascii="Times New Roman" w:hAnsi="Times New Roman"/>
                <w:sz w:val="20"/>
              </w:rPr>
            </w:pPr>
            <w:r w:rsidRPr="005E724C">
              <w:rPr>
                <w:rFonts w:ascii="Times New Roman" w:hAnsi="Times New Roman"/>
                <w:sz w:val="20"/>
              </w:rPr>
              <w:t xml:space="preserve">Valeur de remboursement pour les titres de </w:t>
            </w:r>
            <w:proofErr w:type="gramStart"/>
            <w:r w:rsidRPr="005E724C">
              <w:rPr>
                <w:rFonts w:ascii="Times New Roman" w:hAnsi="Times New Roman"/>
                <w:sz w:val="20"/>
              </w:rPr>
              <w:t>créances  (</w:t>
            </w:r>
            <w:proofErr w:type="gramEnd"/>
            <w:r w:rsidRPr="005E724C">
              <w:rPr>
                <w:rFonts w:ascii="Times New Roman" w:hAnsi="Times New Roman"/>
                <w:sz w:val="20"/>
              </w:rPr>
              <w:t>contrevaleur en euros le cas échéant)</w:t>
            </w:r>
          </w:p>
        </w:tc>
        <w:tc>
          <w:tcPr>
            <w:tcW w:w="5771" w:type="dxa"/>
          </w:tcPr>
          <w:p w14:paraId="0C43D9DF" w14:textId="77777777" w:rsidR="00126B85" w:rsidDel="00126B85" w:rsidRDefault="00126B85" w:rsidP="00950116">
            <w:pPr>
              <w:rPr>
                <w:rFonts w:ascii="Times New Roman" w:hAnsi="Times New Roman"/>
                <w:sz w:val="20"/>
              </w:rPr>
            </w:pPr>
            <w:r w:rsidRPr="005E724C">
              <w:rPr>
                <w:rFonts w:ascii="Times New Roman" w:hAnsi="Times New Roman"/>
                <w:sz w:val="20"/>
              </w:rPr>
              <w:t xml:space="preserve">Cette valeur n’est à indiquer que pour les titres de </w:t>
            </w:r>
            <w:proofErr w:type="gramStart"/>
            <w:r w:rsidRPr="005E724C">
              <w:rPr>
                <w:rFonts w:ascii="Times New Roman" w:hAnsi="Times New Roman"/>
                <w:sz w:val="20"/>
              </w:rPr>
              <w:t>créances</w:t>
            </w:r>
            <w:r>
              <w:rPr>
                <w:rFonts w:ascii="Times New Roman" w:hAnsi="Times New Roman"/>
                <w:sz w:val="20"/>
              </w:rPr>
              <w:t xml:space="preserve"> </w:t>
            </w:r>
            <w:r w:rsidRPr="005E724C">
              <w:rPr>
                <w:rFonts w:ascii="Times New Roman" w:hAnsi="Times New Roman"/>
                <w:sz w:val="20"/>
              </w:rPr>
              <w:t>.Une</w:t>
            </w:r>
            <w:proofErr w:type="gramEnd"/>
            <w:r w:rsidRPr="005E724C">
              <w:rPr>
                <w:rFonts w:ascii="Times New Roman" w:hAnsi="Times New Roman"/>
                <w:sz w:val="20"/>
              </w:rPr>
              <w:t xml:space="preserve"> valeur numérique est attendue.</w:t>
            </w:r>
          </w:p>
        </w:tc>
      </w:tr>
      <w:tr w:rsidR="00674FAB" w:rsidRPr="008B3312" w14:paraId="4FEFA94E" w14:textId="77777777" w:rsidTr="00126B85">
        <w:trPr>
          <w:trHeight w:val="720"/>
        </w:trPr>
        <w:tc>
          <w:tcPr>
            <w:tcW w:w="1283" w:type="dxa"/>
          </w:tcPr>
          <w:p w14:paraId="79624EDF" w14:textId="383EE895" w:rsidR="00674FAB" w:rsidRDefault="00674FAB" w:rsidP="00126B85">
            <w:pPr>
              <w:pStyle w:val="Sansinterligne"/>
              <w:rPr>
                <w:rFonts w:ascii="Times New Roman" w:hAnsi="Times New Roman"/>
                <w:sz w:val="20"/>
              </w:rPr>
            </w:pPr>
            <w:r>
              <w:rPr>
                <w:rFonts w:ascii="Times New Roman" w:hAnsi="Times New Roman"/>
                <w:sz w:val="20"/>
              </w:rPr>
              <w:t>C0260</w:t>
            </w:r>
          </w:p>
        </w:tc>
        <w:tc>
          <w:tcPr>
            <w:tcW w:w="2188" w:type="dxa"/>
          </w:tcPr>
          <w:p w14:paraId="4B78C303" w14:textId="606D6E66" w:rsidR="00674FAB" w:rsidRPr="005E724C" w:rsidRDefault="00674FAB">
            <w:pPr>
              <w:rPr>
                <w:rFonts w:ascii="Times New Roman" w:hAnsi="Times New Roman"/>
                <w:sz w:val="20"/>
              </w:rPr>
            </w:pPr>
            <w:r>
              <w:rPr>
                <w:rFonts w:ascii="Times New Roman" w:hAnsi="Times New Roman"/>
                <w:sz w:val="20"/>
              </w:rPr>
              <w:t>Méthode de valorisation</w:t>
            </w:r>
          </w:p>
        </w:tc>
        <w:tc>
          <w:tcPr>
            <w:tcW w:w="5771" w:type="dxa"/>
          </w:tcPr>
          <w:p w14:paraId="409B6C2E" w14:textId="77777777" w:rsidR="00674FAB" w:rsidRDefault="00674FAB" w:rsidP="00674FAB">
            <w:pPr>
              <w:rPr>
                <w:rFonts w:ascii="Times New Roman" w:hAnsi="Times New Roman"/>
                <w:sz w:val="20"/>
              </w:rPr>
            </w:pPr>
            <w:r>
              <w:rPr>
                <w:rFonts w:ascii="Times New Roman" w:hAnsi="Times New Roman"/>
                <w:sz w:val="20"/>
              </w:rPr>
              <w:t xml:space="preserve">Indiquer la méthode utilisée pour déterminer la valeur de réalisation. </w:t>
            </w:r>
          </w:p>
          <w:p w14:paraId="5727D412" w14:textId="77777777" w:rsidR="00674FAB" w:rsidRDefault="00674FAB" w:rsidP="00674FAB">
            <w:pPr>
              <w:rPr>
                <w:rFonts w:ascii="Times New Roman" w:hAnsi="Times New Roman"/>
                <w:sz w:val="20"/>
              </w:rPr>
            </w:pPr>
          </w:p>
          <w:p w14:paraId="259205DE" w14:textId="77777777" w:rsidR="00674FAB" w:rsidRDefault="00674FAB" w:rsidP="00674FAB">
            <w:pPr>
              <w:rPr>
                <w:rFonts w:ascii="Times New Roman" w:hAnsi="Times New Roman"/>
                <w:sz w:val="20"/>
              </w:rPr>
            </w:pPr>
            <w:r>
              <w:rPr>
                <w:rFonts w:ascii="Times New Roman" w:hAnsi="Times New Roman"/>
                <w:sz w:val="20"/>
              </w:rPr>
              <w:t xml:space="preserve">Choisir impérativement l’une des options suivantes : </w:t>
            </w:r>
          </w:p>
          <w:p w14:paraId="1DB1D78E" w14:textId="6DF7D15D" w:rsidR="00674FAB" w:rsidRDefault="00674FAB" w:rsidP="00674FAB">
            <w:pPr>
              <w:pStyle w:val="Paragraphedeliste"/>
              <w:numPr>
                <w:ilvl w:val="0"/>
                <w:numId w:val="8"/>
              </w:numPr>
              <w:rPr>
                <w:sz w:val="20"/>
              </w:rPr>
            </w:pPr>
            <w:r w:rsidRPr="0044578D">
              <w:rPr>
                <w:sz w:val="20"/>
              </w:rPr>
              <w:t xml:space="preserve"> </w:t>
            </w:r>
            <w:proofErr w:type="gramStart"/>
            <w:r w:rsidRPr="0044578D">
              <w:rPr>
                <w:sz w:val="20"/>
              </w:rPr>
              <w:t>«Prix</w:t>
            </w:r>
            <w:proofErr w:type="gramEnd"/>
            <w:r w:rsidRPr="0044578D">
              <w:rPr>
                <w:sz w:val="20"/>
              </w:rPr>
              <w:t xml:space="preserve">  de marché  » (qui  comprend  les  cours  côtés  et  les  prix  indiqués par un broker/dealer, même sans engagement ferme)</w:t>
            </w:r>
          </w:p>
          <w:p w14:paraId="4AA72426" w14:textId="77777777" w:rsidR="00674FAB" w:rsidRDefault="00674FAB" w:rsidP="00463B3E">
            <w:pPr>
              <w:pStyle w:val="Paragraphedeliste"/>
              <w:numPr>
                <w:ilvl w:val="0"/>
                <w:numId w:val="8"/>
              </w:numPr>
              <w:rPr>
                <w:sz w:val="20"/>
              </w:rPr>
            </w:pPr>
            <w:r w:rsidRPr="0044578D">
              <w:rPr>
                <w:sz w:val="20"/>
              </w:rPr>
              <w:t>« Prix de modèle » (lorsque la valeur a été obtenue grâce à un modèle utilisé par l’organisme ou par appel à un prestataire externe)</w:t>
            </w:r>
          </w:p>
          <w:p w14:paraId="09229D2D" w14:textId="77777777" w:rsidR="00674FAB" w:rsidRDefault="00674FAB" w:rsidP="00463B3E">
            <w:pPr>
              <w:pStyle w:val="Paragraphedeliste"/>
              <w:numPr>
                <w:ilvl w:val="0"/>
                <w:numId w:val="8"/>
              </w:numPr>
              <w:rPr>
                <w:sz w:val="20"/>
              </w:rPr>
            </w:pPr>
            <w:r w:rsidRPr="0044578D">
              <w:rPr>
                <w:sz w:val="20"/>
              </w:rPr>
              <w:t xml:space="preserve">« Expertise » (pour les immeubles et le </w:t>
            </w:r>
            <w:proofErr w:type="spellStart"/>
            <w:r w:rsidRPr="0044578D">
              <w:rPr>
                <w:sz w:val="20"/>
              </w:rPr>
              <w:t>non-côté</w:t>
            </w:r>
            <w:proofErr w:type="spellEnd"/>
            <w:r w:rsidRPr="0044578D">
              <w:rPr>
                <w:sz w:val="20"/>
              </w:rPr>
              <w:t>)</w:t>
            </w:r>
          </w:p>
          <w:p w14:paraId="62EF4256" w14:textId="49E6377B" w:rsidR="00565267" w:rsidRDefault="00674FAB" w:rsidP="00463B3E">
            <w:pPr>
              <w:pStyle w:val="Paragraphedeliste"/>
              <w:numPr>
                <w:ilvl w:val="0"/>
                <w:numId w:val="8"/>
              </w:numPr>
              <w:rPr>
                <w:sz w:val="20"/>
              </w:rPr>
            </w:pPr>
            <w:r w:rsidRPr="0044578D">
              <w:rPr>
                <w:sz w:val="20"/>
              </w:rPr>
              <w:t xml:space="preserve">« </w:t>
            </w:r>
            <w:proofErr w:type="gramStart"/>
            <w:r w:rsidRPr="0044578D">
              <w:rPr>
                <w:sz w:val="20"/>
              </w:rPr>
              <w:t>Estimation»</w:t>
            </w:r>
            <w:proofErr w:type="gramEnd"/>
            <w:r w:rsidRPr="0044578D">
              <w:rPr>
                <w:sz w:val="20"/>
              </w:rPr>
              <w:t xml:space="preserve"> pour les actualisations de valeurs de biens immobiliers entre deux expertises</w:t>
            </w:r>
          </w:p>
          <w:p w14:paraId="72DE299F" w14:textId="2FE81009" w:rsidR="00674FAB" w:rsidRPr="002E3830" w:rsidRDefault="00674FAB" w:rsidP="002E3830">
            <w:pPr>
              <w:pStyle w:val="Paragraphedeliste"/>
              <w:numPr>
                <w:ilvl w:val="0"/>
                <w:numId w:val="8"/>
              </w:numPr>
              <w:rPr>
                <w:sz w:val="20"/>
              </w:rPr>
            </w:pPr>
            <w:r w:rsidRPr="002E3830">
              <w:rPr>
                <w:sz w:val="20"/>
              </w:rPr>
              <w:t>Autre</w:t>
            </w:r>
            <w:r w:rsidRPr="002E3830">
              <w:rPr>
                <w:sz w:val="20"/>
              </w:rPr>
              <w:tab/>
            </w:r>
          </w:p>
        </w:tc>
      </w:tr>
    </w:tbl>
    <w:p w14:paraId="7247BA28" w14:textId="77777777" w:rsidR="0095672C" w:rsidRPr="00166F34" w:rsidRDefault="0095672C">
      <w:pPr>
        <w:rPr>
          <w:rFonts w:ascii="Times New Roman" w:hAnsi="Times New Roman"/>
          <w:b/>
          <w:sz w:val="20"/>
        </w:rPr>
      </w:pPr>
    </w:p>
    <w:p w14:paraId="76C88871" w14:textId="4023857E" w:rsidR="00637AB7" w:rsidRDefault="009F4107" w:rsidP="0095672C">
      <w:pPr>
        <w:rPr>
          <w:rFonts w:ascii="Times New Roman" w:hAnsi="Times New Roman" w:cs="Times New Roman"/>
          <w:b/>
          <w:bCs/>
          <w:sz w:val="20"/>
          <w:szCs w:val="20"/>
        </w:rPr>
      </w:pPr>
      <w:r>
        <w:rPr>
          <w:rFonts w:ascii="Times New Roman" w:hAnsi="Times New Roman" w:cs="Times New Roman"/>
          <w:b/>
          <w:bCs/>
          <w:sz w:val="20"/>
          <w:szCs w:val="20"/>
        </w:rPr>
        <w:t>Tableau de l’état</w:t>
      </w:r>
    </w:p>
    <w:p w14:paraId="207EEBA9" w14:textId="1DF082E0" w:rsidR="009F4107" w:rsidRPr="009F4107" w:rsidRDefault="009F4107" w:rsidP="009F4107">
      <w:pPr>
        <w:ind w:hanging="993"/>
        <w:rPr>
          <w:rFonts w:ascii="Times New Roman" w:hAnsi="Times New Roman"/>
          <w:b/>
          <w:sz w:val="20"/>
        </w:rPr>
      </w:pPr>
      <w:r w:rsidRPr="009F4107">
        <w:rPr>
          <w:noProof/>
          <w:lang w:bidi="ar-SA"/>
        </w:rPr>
        <w:drawing>
          <wp:inline distT="0" distB="0" distL="0" distR="0" wp14:anchorId="0E1E7AE5" wp14:editId="28ACB17D">
            <wp:extent cx="6410325" cy="212796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7757" cy="2127110"/>
                    </a:xfrm>
                    <a:prstGeom prst="rect">
                      <a:avLst/>
                    </a:prstGeom>
                    <a:noFill/>
                    <a:ln>
                      <a:noFill/>
                    </a:ln>
                  </pic:spPr>
                </pic:pic>
              </a:graphicData>
            </a:graphic>
          </wp:inline>
        </w:drawing>
      </w:r>
    </w:p>
    <w:sectPr w:rsidR="009F4107" w:rsidRPr="009F4107"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FBF37" w14:textId="77777777" w:rsidR="006C35D8" w:rsidRDefault="006C35D8" w:rsidP="0051516F">
      <w:pPr>
        <w:spacing w:after="0" w:line="240" w:lineRule="auto"/>
      </w:pPr>
      <w:r>
        <w:separator/>
      </w:r>
    </w:p>
  </w:endnote>
  <w:endnote w:type="continuationSeparator" w:id="0">
    <w:p w14:paraId="2B5C03B9" w14:textId="77777777" w:rsidR="006C35D8" w:rsidRDefault="006C35D8"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337EA" w14:textId="77777777" w:rsidR="006C35D8" w:rsidRDefault="006C35D8" w:rsidP="0051516F">
      <w:pPr>
        <w:spacing w:after="0" w:line="240" w:lineRule="auto"/>
      </w:pPr>
      <w:r>
        <w:separator/>
      </w:r>
    </w:p>
  </w:footnote>
  <w:footnote w:type="continuationSeparator" w:id="0">
    <w:p w14:paraId="1A3B888B" w14:textId="77777777" w:rsidR="006C35D8" w:rsidRDefault="006C35D8"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3333"/>
    <w:rsid w:val="00053D9E"/>
    <w:rsid w:val="00056F3B"/>
    <w:rsid w:val="000570D1"/>
    <w:rsid w:val="00074077"/>
    <w:rsid w:val="00076C40"/>
    <w:rsid w:val="00080895"/>
    <w:rsid w:val="00082D34"/>
    <w:rsid w:val="00085D2D"/>
    <w:rsid w:val="00095251"/>
    <w:rsid w:val="00097A27"/>
    <w:rsid w:val="000A05C6"/>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62B8"/>
    <w:rsid w:val="0010649D"/>
    <w:rsid w:val="0010788F"/>
    <w:rsid w:val="0011455D"/>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D06F5"/>
    <w:rsid w:val="001D0DE2"/>
    <w:rsid w:val="001D212F"/>
    <w:rsid w:val="001D2292"/>
    <w:rsid w:val="001D3D3D"/>
    <w:rsid w:val="001D4914"/>
    <w:rsid w:val="001E2E9D"/>
    <w:rsid w:val="001E7E5D"/>
    <w:rsid w:val="001F13C6"/>
    <w:rsid w:val="001F33AD"/>
    <w:rsid w:val="002037B9"/>
    <w:rsid w:val="0020511C"/>
    <w:rsid w:val="0020548A"/>
    <w:rsid w:val="0020581A"/>
    <w:rsid w:val="00213DFA"/>
    <w:rsid w:val="00214026"/>
    <w:rsid w:val="0022080E"/>
    <w:rsid w:val="00223ABA"/>
    <w:rsid w:val="002247D6"/>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383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023B7"/>
    <w:rsid w:val="00411393"/>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6118"/>
    <w:rsid w:val="00486501"/>
    <w:rsid w:val="0049344B"/>
    <w:rsid w:val="00496908"/>
    <w:rsid w:val="00496E20"/>
    <w:rsid w:val="004A4F35"/>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7124A9"/>
    <w:rsid w:val="0071342B"/>
    <w:rsid w:val="00717C2D"/>
    <w:rsid w:val="0072092D"/>
    <w:rsid w:val="00724947"/>
    <w:rsid w:val="00734AA4"/>
    <w:rsid w:val="00741991"/>
    <w:rsid w:val="007435FF"/>
    <w:rsid w:val="00743B6B"/>
    <w:rsid w:val="0076289F"/>
    <w:rsid w:val="007700FA"/>
    <w:rsid w:val="00771597"/>
    <w:rsid w:val="00772673"/>
    <w:rsid w:val="007772EF"/>
    <w:rsid w:val="00777AEA"/>
    <w:rsid w:val="007834C8"/>
    <w:rsid w:val="00791304"/>
    <w:rsid w:val="007922EF"/>
    <w:rsid w:val="00793BC4"/>
    <w:rsid w:val="007A3B9F"/>
    <w:rsid w:val="007A4D0F"/>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50CF8"/>
    <w:rsid w:val="00850D16"/>
    <w:rsid w:val="00852E81"/>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D3D9E"/>
    <w:rsid w:val="009D74C4"/>
    <w:rsid w:val="009D7D95"/>
    <w:rsid w:val="009E4617"/>
    <w:rsid w:val="009E5725"/>
    <w:rsid w:val="009E7E1B"/>
    <w:rsid w:val="009F4107"/>
    <w:rsid w:val="009F41F3"/>
    <w:rsid w:val="00A07329"/>
    <w:rsid w:val="00A07F19"/>
    <w:rsid w:val="00A25866"/>
    <w:rsid w:val="00A261B3"/>
    <w:rsid w:val="00A27E73"/>
    <w:rsid w:val="00A314F2"/>
    <w:rsid w:val="00A36D30"/>
    <w:rsid w:val="00A418E1"/>
    <w:rsid w:val="00A41C3B"/>
    <w:rsid w:val="00A46097"/>
    <w:rsid w:val="00A47885"/>
    <w:rsid w:val="00A63304"/>
    <w:rsid w:val="00A65703"/>
    <w:rsid w:val="00A741AB"/>
    <w:rsid w:val="00A75F78"/>
    <w:rsid w:val="00A80F3C"/>
    <w:rsid w:val="00A82A9F"/>
    <w:rsid w:val="00A850E3"/>
    <w:rsid w:val="00A85457"/>
    <w:rsid w:val="00A86581"/>
    <w:rsid w:val="00A96661"/>
    <w:rsid w:val="00AA7A36"/>
    <w:rsid w:val="00AB3236"/>
    <w:rsid w:val="00AC3357"/>
    <w:rsid w:val="00AC6C39"/>
    <w:rsid w:val="00AD4A46"/>
    <w:rsid w:val="00AD5867"/>
    <w:rsid w:val="00AE2109"/>
    <w:rsid w:val="00AE65C0"/>
    <w:rsid w:val="00AF0B98"/>
    <w:rsid w:val="00AF2ABF"/>
    <w:rsid w:val="00B05B5B"/>
    <w:rsid w:val="00B14441"/>
    <w:rsid w:val="00B14D00"/>
    <w:rsid w:val="00B17730"/>
    <w:rsid w:val="00B227CF"/>
    <w:rsid w:val="00B26627"/>
    <w:rsid w:val="00B272F3"/>
    <w:rsid w:val="00B31C82"/>
    <w:rsid w:val="00B33FD1"/>
    <w:rsid w:val="00B34115"/>
    <w:rsid w:val="00B41DC2"/>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3933"/>
    <w:rsid w:val="00C16CE6"/>
    <w:rsid w:val="00C22F9F"/>
    <w:rsid w:val="00C238BC"/>
    <w:rsid w:val="00C24E0C"/>
    <w:rsid w:val="00C34BA4"/>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822"/>
    <w:rsid w:val="00D05F66"/>
    <w:rsid w:val="00D07DBF"/>
    <w:rsid w:val="00D16095"/>
    <w:rsid w:val="00D16A51"/>
    <w:rsid w:val="00D202B9"/>
    <w:rsid w:val="00D25415"/>
    <w:rsid w:val="00D42064"/>
    <w:rsid w:val="00D42F44"/>
    <w:rsid w:val="00D45508"/>
    <w:rsid w:val="00D52B61"/>
    <w:rsid w:val="00D543CF"/>
    <w:rsid w:val="00D574F5"/>
    <w:rsid w:val="00D76F83"/>
    <w:rsid w:val="00D80E52"/>
    <w:rsid w:val="00D811EE"/>
    <w:rsid w:val="00D85511"/>
    <w:rsid w:val="00D86918"/>
    <w:rsid w:val="00D93828"/>
    <w:rsid w:val="00D95713"/>
    <w:rsid w:val="00D972F0"/>
    <w:rsid w:val="00DB7C64"/>
    <w:rsid w:val="00DC035A"/>
    <w:rsid w:val="00DC3E15"/>
    <w:rsid w:val="00DC4A4A"/>
    <w:rsid w:val="00DC6B56"/>
    <w:rsid w:val="00DD66F8"/>
    <w:rsid w:val="00DD73BA"/>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6768E"/>
    <w:rsid w:val="00E70031"/>
    <w:rsid w:val="00E7065F"/>
    <w:rsid w:val="00E83AEE"/>
    <w:rsid w:val="00E852D3"/>
    <w:rsid w:val="00E91144"/>
    <w:rsid w:val="00E947B4"/>
    <w:rsid w:val="00EA1390"/>
    <w:rsid w:val="00EA3F2D"/>
    <w:rsid w:val="00EA3F32"/>
    <w:rsid w:val="00EA499D"/>
    <w:rsid w:val="00EB043A"/>
    <w:rsid w:val="00EB0D85"/>
    <w:rsid w:val="00EB240E"/>
    <w:rsid w:val="00EB37FF"/>
    <w:rsid w:val="00EC13B4"/>
    <w:rsid w:val="00ED3D91"/>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60A50"/>
    <w:rsid w:val="00F60CFD"/>
    <w:rsid w:val="00F72364"/>
    <w:rsid w:val="00F820E5"/>
    <w:rsid w:val="00F8243B"/>
    <w:rsid w:val="00F85A82"/>
    <w:rsid w:val="00F97A90"/>
    <w:rsid w:val="00FA0938"/>
    <w:rsid w:val="00FA1DA8"/>
    <w:rsid w:val="00FA2880"/>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60D8915E-08BB-4411-B755-1EA135826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63C0B9FF-4FDF-4219-9067-E5E839A74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1319</Words>
  <Characters>7256</Characters>
  <Application>Microsoft Office Word</Application>
  <DocSecurity>0</DocSecurity>
  <Lines>60</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DIAGNE Afissa-Elodie (SGACPR DAI)</cp:lastModifiedBy>
  <cp:revision>2</cp:revision>
  <dcterms:created xsi:type="dcterms:W3CDTF">2024-03-12T09:09:00Z</dcterms:created>
  <dcterms:modified xsi:type="dcterms:W3CDTF">2024-03-12T09:09:00Z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