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47282" w14:textId="64880708" w:rsidR="003833AA" w:rsidRDefault="004663FD" w:rsidP="003833AA">
      <w:pPr>
        <w:rPr>
          <w:rFonts w:ascii="Times New Roman" w:hAnsi="Times New Roman" w:cs="Times New Roman"/>
          <w:b/>
          <w:sz w:val="20"/>
        </w:rPr>
      </w:pPr>
      <w:bookmarkStart w:id="0" w:name="_GoBack"/>
      <w:bookmarkEnd w:id="0"/>
      <w:r w:rsidRPr="004663FD">
        <w:rPr>
          <w:noProof/>
        </w:rPr>
        <w:t xml:space="preserve"> </w:t>
      </w:r>
      <w:r>
        <w:rPr>
          <w:noProof/>
        </w:rPr>
        <w:drawing>
          <wp:inline distT="0" distB="0" distL="0" distR="0" wp14:anchorId="67F32DEA" wp14:editId="77354784">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6EC9DA30" w14:textId="77777777" w:rsidR="003833AA" w:rsidRPr="00AF1D16" w:rsidDel="00160A5F" w:rsidRDefault="003833AA" w:rsidP="003833AA">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50C4521B" w14:textId="7DF014F3" w:rsidR="003833AA" w:rsidRPr="00AF1D16" w:rsidRDefault="003833AA" w:rsidP="003833AA">
      <w:pPr>
        <w:jc w:val="center"/>
        <w:rPr>
          <w:rFonts w:ascii="Times New Roman" w:hAnsi="Times New Roman" w:cs="Times New Roman"/>
          <w:b/>
          <w:color w:val="003B8E"/>
          <w:sz w:val="28"/>
          <w:szCs w:val="32"/>
        </w:rPr>
      </w:pPr>
      <w:r>
        <w:rPr>
          <w:rFonts w:ascii="Times New Roman" w:hAnsi="Times New Roman" w:cs="Times New Roman"/>
          <w:b/>
          <w:color w:val="003B8E"/>
          <w:sz w:val="28"/>
          <w:szCs w:val="32"/>
        </w:rPr>
        <w:t>Modèle de</w:t>
      </w:r>
      <w:r w:rsidRPr="00AF1D16">
        <w:rPr>
          <w:rFonts w:ascii="Times New Roman" w:hAnsi="Times New Roman" w:cs="Times New Roman"/>
          <w:b/>
          <w:color w:val="003B8E"/>
          <w:sz w:val="28"/>
          <w:szCs w:val="32"/>
        </w:rPr>
        <w:t xml:space="preserve"> </w:t>
      </w:r>
      <w:r>
        <w:rPr>
          <w:rFonts w:ascii="Times New Roman" w:hAnsi="Times New Roman" w:cs="Times New Roman"/>
          <w:b/>
          <w:color w:val="003B8E"/>
          <w:sz w:val="28"/>
          <w:szCs w:val="32"/>
        </w:rPr>
        <w:t>l’état</w:t>
      </w:r>
      <w:r w:rsidRPr="00AF1D16">
        <w:rPr>
          <w:rFonts w:ascii="Times New Roman" w:hAnsi="Times New Roman" w:cs="Times New Roman"/>
          <w:b/>
          <w:color w:val="003B8E"/>
          <w:sz w:val="28"/>
          <w:szCs w:val="32"/>
        </w:rPr>
        <w:t xml:space="preserve"> « </w:t>
      </w:r>
      <w:r w:rsidRPr="003833AA">
        <w:rPr>
          <w:rFonts w:ascii="Times New Roman" w:hAnsi="Times New Roman" w:cs="Times New Roman"/>
          <w:b/>
          <w:color w:val="003B8E"/>
          <w:sz w:val="28"/>
          <w:szCs w:val="32"/>
        </w:rPr>
        <w:t xml:space="preserve">Part des réassureurs (y compris réassurance </w:t>
      </w:r>
      <w:proofErr w:type="spellStart"/>
      <w:r w:rsidRPr="003833AA">
        <w:rPr>
          <w:rFonts w:ascii="Times New Roman" w:hAnsi="Times New Roman" w:cs="Times New Roman"/>
          <w:b/>
          <w:i/>
          <w:color w:val="003B8E"/>
          <w:sz w:val="28"/>
          <w:szCs w:val="32"/>
        </w:rPr>
        <w:t>finite</w:t>
      </w:r>
      <w:proofErr w:type="spellEnd"/>
      <w:r w:rsidRPr="003833AA">
        <w:rPr>
          <w:rFonts w:ascii="Times New Roman" w:hAnsi="Times New Roman" w:cs="Times New Roman"/>
          <w:b/>
          <w:color w:val="003B8E"/>
          <w:sz w:val="28"/>
          <w:szCs w:val="32"/>
        </w:rPr>
        <w:t xml:space="preserve"> et véhicules de titrisation)</w:t>
      </w:r>
      <w:r>
        <w:rPr>
          <w:rFonts w:ascii="Times New Roman" w:hAnsi="Times New Roman" w:cs="Times New Roman"/>
          <w:b/>
          <w:color w:val="003B8E"/>
          <w:sz w:val="28"/>
          <w:szCs w:val="32"/>
        </w:rPr>
        <w:t xml:space="preserve"> </w:t>
      </w:r>
      <w:r w:rsidRPr="00AF1D16">
        <w:rPr>
          <w:rFonts w:ascii="Times New Roman" w:hAnsi="Times New Roman" w:cs="Times New Roman"/>
          <w:b/>
          <w:color w:val="003B8E"/>
          <w:sz w:val="28"/>
          <w:szCs w:val="32"/>
        </w:rPr>
        <w:t>» (RP</w:t>
      </w:r>
      <w:r>
        <w:rPr>
          <w:rFonts w:ascii="Times New Roman" w:hAnsi="Times New Roman" w:cs="Times New Roman"/>
          <w:b/>
          <w:color w:val="003B8E"/>
          <w:sz w:val="28"/>
          <w:szCs w:val="32"/>
        </w:rPr>
        <w:t xml:space="preserve">.31.01.01) </w:t>
      </w:r>
    </w:p>
    <w:p w14:paraId="168EBA97" w14:textId="77777777" w:rsidR="003833AA" w:rsidRDefault="003833AA" w:rsidP="003833AA">
      <w:pPr>
        <w:rPr>
          <w:rFonts w:ascii="Times New Roman" w:hAnsi="Times New Roman" w:cs="Times New Roman"/>
          <w:b/>
          <w:color w:val="003B8E"/>
          <w:szCs w:val="32"/>
        </w:rPr>
      </w:pPr>
    </w:p>
    <w:p w14:paraId="65CE9FF6" w14:textId="77777777" w:rsidR="000A55AA" w:rsidRPr="008B3312" w:rsidRDefault="000A55AA" w:rsidP="00950116">
      <w:pPr>
        <w:jc w:val="both"/>
        <w:rPr>
          <w:rFonts w:ascii="Times New Roman" w:hAnsi="Times New Roman" w:cs="Times New Roman"/>
          <w:b/>
          <w:sz w:val="20"/>
          <w:szCs w:val="20"/>
        </w:rPr>
      </w:pPr>
      <w:r>
        <w:rPr>
          <w:rFonts w:ascii="Times New Roman" w:hAnsi="Times New Roman"/>
          <w:b/>
          <w:sz w:val="20"/>
        </w:rPr>
        <w:t>Observations générales</w:t>
      </w:r>
    </w:p>
    <w:p w14:paraId="7D5B81D7" w14:textId="45443239" w:rsidR="000A55AA" w:rsidRPr="008B3312" w:rsidRDefault="000A55AA" w:rsidP="00950116">
      <w:pPr>
        <w:jc w:val="both"/>
        <w:rPr>
          <w:rFonts w:ascii="Times New Roman" w:hAnsi="Times New Roman" w:cs="Times New Roman"/>
          <w:sz w:val="20"/>
          <w:szCs w:val="20"/>
        </w:rPr>
      </w:pPr>
      <w:r>
        <w:rPr>
          <w:rFonts w:ascii="Times New Roman" w:hAnsi="Times New Roman"/>
          <w:sz w:val="20"/>
        </w:rPr>
        <w:t xml:space="preserve">Ce modèle doit être complété par les </w:t>
      </w:r>
      <w:r w:rsidR="003833AA">
        <w:rPr>
          <w:rFonts w:ascii="Times New Roman" w:hAnsi="Times New Roman"/>
          <w:sz w:val="20"/>
        </w:rPr>
        <w:t>O</w:t>
      </w:r>
      <w:r w:rsidR="00D16A51">
        <w:rPr>
          <w:rFonts w:ascii="Times New Roman" w:hAnsi="Times New Roman"/>
          <w:sz w:val="20"/>
        </w:rPr>
        <w:t>RPS</w:t>
      </w:r>
      <w:r>
        <w:rPr>
          <w:rFonts w:ascii="Times New Roman" w:hAnsi="Times New Roman"/>
          <w:sz w:val="20"/>
        </w:rPr>
        <w:t xml:space="preserve"> lorsqu’un montant recouvrable est comptabilisé en ce qui concerne le réassureur (même si tous les contrats avec ce réassureur ont été clôturés) et dont le réassureur réduit les provisions techniques brutes à la fin de l’année de déclaration.</w:t>
      </w:r>
    </w:p>
    <w:p w14:paraId="3A91044D" w14:textId="42AE1A14" w:rsidR="000A55AA" w:rsidRDefault="000A55AA" w:rsidP="00950116">
      <w:pPr>
        <w:jc w:val="both"/>
        <w:rPr>
          <w:rFonts w:ascii="Times New Roman" w:hAnsi="Times New Roman"/>
          <w:sz w:val="20"/>
        </w:rPr>
      </w:pPr>
      <w:r>
        <w:rPr>
          <w:rFonts w:ascii="Times New Roman" w:hAnsi="Times New Roman"/>
          <w:sz w:val="20"/>
        </w:rPr>
        <w:t xml:space="preserve">Le modèle vise à recueillir des informations sur les réassureurs et non sur chacun des traités. Toutes les provisions techniques cédées, y compris celles au titre de la réassurance </w:t>
      </w:r>
      <w:proofErr w:type="spellStart"/>
      <w:r>
        <w:rPr>
          <w:rFonts w:ascii="Times New Roman" w:hAnsi="Times New Roman"/>
          <w:sz w:val="20"/>
        </w:rPr>
        <w:t>finite</w:t>
      </w:r>
      <w:proofErr w:type="spellEnd"/>
      <w:r>
        <w:rPr>
          <w:rFonts w:ascii="Times New Roman" w:hAnsi="Times New Roman"/>
          <w:sz w:val="20"/>
        </w:rPr>
        <w:t xml:space="preserve"> (telle que définie dans </w:t>
      </w:r>
      <w:r w:rsidR="00126B85">
        <w:rPr>
          <w:rFonts w:ascii="Times New Roman" w:hAnsi="Times New Roman"/>
          <w:sz w:val="20"/>
        </w:rPr>
        <w:t>RP.3</w:t>
      </w:r>
      <w:r>
        <w:rPr>
          <w:rFonts w:ascii="Times New Roman" w:hAnsi="Times New Roman"/>
          <w:sz w:val="20"/>
        </w:rPr>
        <w:t xml:space="preserve">0.03, colonne C0060), doivent être déclarées. Cela signifie également que si un véhicule de titrisation ou un syndicat de Lloyd’s agit en qualité de réassureur, le véhicule ou le syndicat doit être indiqué. </w:t>
      </w:r>
    </w:p>
    <w:p w14:paraId="685EC6BA" w14:textId="3B6D0496" w:rsidR="00D16A51" w:rsidRPr="008B3312" w:rsidRDefault="00D16A51" w:rsidP="00950116">
      <w:pPr>
        <w:jc w:val="both"/>
        <w:rPr>
          <w:rFonts w:ascii="Times New Roman" w:hAnsi="Times New Roman" w:cs="Times New Roman"/>
          <w:sz w:val="20"/>
          <w:szCs w:val="20"/>
        </w:rPr>
      </w:pPr>
      <w:r>
        <w:rPr>
          <w:rFonts w:ascii="Times New Roman" w:hAnsi="Times New Roman"/>
          <w:sz w:val="20"/>
        </w:rPr>
        <w:t>Aux fins d</w:t>
      </w:r>
      <w:r w:rsidR="003833AA">
        <w:rPr>
          <w:rFonts w:ascii="Times New Roman" w:hAnsi="Times New Roman"/>
          <w:sz w:val="20"/>
        </w:rPr>
        <w:t>e remplissage de ce modèle, l’O</w:t>
      </w:r>
      <w:r>
        <w:rPr>
          <w:rFonts w:ascii="Times New Roman" w:hAnsi="Times New Roman"/>
          <w:sz w:val="20"/>
        </w:rPr>
        <w:t>RPS qui accepte un</w:t>
      </w:r>
      <w:r w:rsidR="003833AA">
        <w:rPr>
          <w:rFonts w:ascii="Times New Roman" w:hAnsi="Times New Roman"/>
          <w:sz w:val="20"/>
        </w:rPr>
        <w:t xml:space="preserve"> risque transféré par un autre O</w:t>
      </w:r>
      <w:r>
        <w:rPr>
          <w:rFonts w:ascii="Times New Roman" w:hAnsi="Times New Roman"/>
          <w:sz w:val="20"/>
        </w:rPr>
        <w:t>RPS est assimilé à un réassureur.</w:t>
      </w:r>
    </w:p>
    <w:tbl>
      <w:tblPr>
        <w:tblStyle w:val="Grilledutableau"/>
        <w:tblW w:w="9814" w:type="dxa"/>
        <w:tblLook w:val="04A0" w:firstRow="1" w:lastRow="0" w:firstColumn="1" w:lastColumn="0" w:noHBand="0" w:noVBand="1"/>
      </w:tblPr>
      <w:tblGrid>
        <w:gridCol w:w="1079"/>
        <w:gridCol w:w="2290"/>
        <w:gridCol w:w="6445"/>
      </w:tblGrid>
      <w:tr w:rsidR="000A55AA" w:rsidRPr="008B3312" w14:paraId="79575F60" w14:textId="77777777" w:rsidTr="00950116">
        <w:trPr>
          <w:trHeight w:val="315"/>
        </w:trPr>
        <w:tc>
          <w:tcPr>
            <w:tcW w:w="1079" w:type="dxa"/>
            <w:hideMark/>
          </w:tcPr>
          <w:p w14:paraId="16FAB5B9" w14:textId="77777777" w:rsidR="000A55AA" w:rsidRPr="008B3312" w:rsidRDefault="000A55AA" w:rsidP="00950116">
            <w:pPr>
              <w:jc w:val="center"/>
              <w:rPr>
                <w:rFonts w:ascii="Times New Roman" w:hAnsi="Times New Roman" w:cs="Times New Roman"/>
                <w:b/>
                <w:bCs/>
                <w:sz w:val="20"/>
                <w:szCs w:val="20"/>
              </w:rPr>
            </w:pPr>
          </w:p>
        </w:tc>
        <w:tc>
          <w:tcPr>
            <w:tcW w:w="2290" w:type="dxa"/>
            <w:hideMark/>
          </w:tcPr>
          <w:p w14:paraId="2B1A401E" w14:textId="77777777" w:rsidR="000A55AA" w:rsidRPr="008B3312" w:rsidRDefault="000A55AA" w:rsidP="00950116">
            <w:pPr>
              <w:jc w:val="center"/>
              <w:rPr>
                <w:rFonts w:ascii="Times New Roman" w:hAnsi="Times New Roman" w:cs="Times New Roman"/>
                <w:b/>
                <w:bCs/>
                <w:sz w:val="20"/>
                <w:szCs w:val="20"/>
              </w:rPr>
            </w:pPr>
            <w:r>
              <w:rPr>
                <w:rFonts w:ascii="Times New Roman" w:hAnsi="Times New Roman"/>
                <w:b/>
                <w:sz w:val="20"/>
              </w:rPr>
              <w:t>ÉLÉMENT À DÉCLARER</w:t>
            </w:r>
          </w:p>
        </w:tc>
        <w:tc>
          <w:tcPr>
            <w:tcW w:w="6445" w:type="dxa"/>
            <w:hideMark/>
          </w:tcPr>
          <w:p w14:paraId="291A846F" w14:textId="77777777" w:rsidR="000A55AA" w:rsidRPr="008B3312" w:rsidRDefault="000A55AA" w:rsidP="00950116">
            <w:pPr>
              <w:jc w:val="center"/>
              <w:rPr>
                <w:rFonts w:ascii="Times New Roman" w:hAnsi="Times New Roman" w:cs="Times New Roman"/>
                <w:b/>
                <w:bCs/>
                <w:sz w:val="20"/>
                <w:szCs w:val="20"/>
              </w:rPr>
            </w:pPr>
            <w:r>
              <w:rPr>
                <w:rFonts w:ascii="Times New Roman" w:hAnsi="Times New Roman"/>
                <w:b/>
                <w:sz w:val="20"/>
              </w:rPr>
              <w:t>INSTRUCTIONS</w:t>
            </w:r>
          </w:p>
        </w:tc>
      </w:tr>
      <w:tr w:rsidR="000A55AA" w:rsidRPr="008B3312" w14:paraId="78E8281C" w14:textId="77777777" w:rsidTr="00950116">
        <w:trPr>
          <w:trHeight w:val="786"/>
        </w:trPr>
        <w:tc>
          <w:tcPr>
            <w:tcW w:w="1079" w:type="dxa"/>
            <w:hideMark/>
          </w:tcPr>
          <w:p w14:paraId="27F2E9E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C0040</w:t>
            </w:r>
          </w:p>
        </w:tc>
        <w:tc>
          <w:tcPr>
            <w:tcW w:w="2290" w:type="dxa"/>
            <w:hideMark/>
          </w:tcPr>
          <w:p w14:paraId="2D03F87E" w14:textId="77777777" w:rsidR="000A55AA" w:rsidRPr="008B3312" w:rsidRDefault="000A55AA">
            <w:pPr>
              <w:rPr>
                <w:rFonts w:ascii="Times New Roman" w:hAnsi="Times New Roman" w:cs="Times New Roman"/>
                <w:sz w:val="20"/>
                <w:szCs w:val="20"/>
              </w:rPr>
            </w:pPr>
            <w:r>
              <w:rPr>
                <w:rFonts w:ascii="Times New Roman" w:hAnsi="Times New Roman"/>
                <w:sz w:val="20"/>
              </w:rPr>
              <w:t>Code réassureur</w:t>
            </w:r>
          </w:p>
        </w:tc>
        <w:tc>
          <w:tcPr>
            <w:tcW w:w="6445" w:type="dxa"/>
            <w:hideMark/>
          </w:tcPr>
          <w:p w14:paraId="0C60CEBF" w14:textId="3AA73A5C" w:rsidR="000A55AA" w:rsidRPr="008B3312" w:rsidRDefault="000A55AA" w:rsidP="00D16A51">
            <w:pPr>
              <w:ind w:right="175"/>
              <w:rPr>
                <w:rFonts w:ascii="Times New Roman" w:hAnsi="Times New Roman" w:cs="Times New Roman"/>
                <w:sz w:val="20"/>
                <w:szCs w:val="20"/>
              </w:rPr>
            </w:pPr>
            <w:r>
              <w:rPr>
                <w:rFonts w:ascii="Times New Roman" w:hAnsi="Times New Roman"/>
                <w:sz w:val="20"/>
              </w:rPr>
              <w:t xml:space="preserve">Code d’identification du réassureur,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eastAsia="Times New Roman" w:hAnsi="Times New Roman" w:cs="Times New Roman"/>
                <w:sz w:val="20"/>
                <w:szCs w:val="20"/>
              </w:rPr>
              <w:br/>
            </w:r>
            <w:r w:rsidR="0072092D">
              <w:rPr>
                <w:rFonts w:ascii="Times New Roman" w:hAnsi="Times New Roman"/>
                <w:sz w:val="20"/>
              </w:rPr>
              <w:t xml:space="preserve">– Identifiant d’entité juridique (LEI); </w:t>
            </w:r>
            <w:r w:rsidR="00FE79E2">
              <w:rPr>
                <w:rFonts w:ascii="Times New Roman" w:eastAsia="Times New Roman" w:hAnsi="Times New Roman" w:cs="Times New Roman"/>
                <w:sz w:val="20"/>
                <w:szCs w:val="20"/>
              </w:rPr>
              <w:br/>
            </w:r>
            <w:r w:rsidR="0072092D">
              <w:rPr>
                <w:rFonts w:ascii="Times New Roman" w:hAnsi="Times New Roman"/>
                <w:sz w:val="20"/>
              </w:rPr>
              <w:t xml:space="preserve">– Code spécifique attribué par </w:t>
            </w:r>
            <w:r w:rsidR="003833AA">
              <w:rPr>
                <w:rFonts w:ascii="Times New Roman" w:hAnsi="Times New Roman"/>
                <w:sz w:val="20"/>
              </w:rPr>
              <w:t>l’O</w:t>
            </w:r>
            <w:r w:rsidR="00D16A51">
              <w:rPr>
                <w:rFonts w:ascii="Times New Roman" w:hAnsi="Times New Roman"/>
                <w:sz w:val="20"/>
              </w:rPr>
              <w:t>RPS</w:t>
            </w:r>
            <w:r w:rsidR="0072092D">
              <w:rPr>
                <w:rFonts w:ascii="Times New Roman" w:hAnsi="Times New Roman"/>
                <w:sz w:val="20"/>
              </w:rPr>
              <w:t>.</w:t>
            </w:r>
          </w:p>
        </w:tc>
      </w:tr>
      <w:tr w:rsidR="000A55AA" w:rsidRPr="008B3312" w14:paraId="47C9E294" w14:textId="77777777" w:rsidTr="00950116">
        <w:trPr>
          <w:trHeight w:val="1123"/>
        </w:trPr>
        <w:tc>
          <w:tcPr>
            <w:tcW w:w="1079" w:type="dxa"/>
          </w:tcPr>
          <w:p w14:paraId="7D57B93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C0050</w:t>
            </w:r>
          </w:p>
        </w:tc>
        <w:tc>
          <w:tcPr>
            <w:tcW w:w="2290" w:type="dxa"/>
          </w:tcPr>
          <w:p w14:paraId="296AA87D" w14:textId="77777777" w:rsidR="000A55AA" w:rsidRPr="008B3312" w:rsidRDefault="000A55AA" w:rsidP="00950116">
            <w:pPr>
              <w:ind w:right="-1286"/>
              <w:rPr>
                <w:rFonts w:ascii="Times New Roman" w:hAnsi="Times New Roman" w:cs="Times New Roman"/>
                <w:sz w:val="20"/>
                <w:szCs w:val="20"/>
              </w:rPr>
            </w:pPr>
            <w:r>
              <w:rPr>
                <w:rFonts w:ascii="Times New Roman" w:hAnsi="Times New Roman"/>
                <w:sz w:val="20"/>
              </w:rPr>
              <w:t xml:space="preserve">Type de code </w:t>
            </w:r>
          </w:p>
          <w:p w14:paraId="7BCE8DF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Réassureur</w:t>
            </w:r>
          </w:p>
        </w:tc>
        <w:tc>
          <w:tcPr>
            <w:tcW w:w="6445" w:type="dxa"/>
          </w:tcPr>
          <w:p w14:paraId="3E290C4E"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Indiquer le type de code utilisé dans la rubrique</w:t>
            </w:r>
            <w:proofErr w:type="gramStart"/>
            <w:r>
              <w:rPr>
                <w:rFonts w:ascii="Times New Roman" w:hAnsi="Times New Roman"/>
                <w:sz w:val="20"/>
              </w:rPr>
              <w:t xml:space="preserve"> «Code</w:t>
            </w:r>
            <w:proofErr w:type="gramEnd"/>
            <w:r>
              <w:rPr>
                <w:rFonts w:ascii="Times New Roman" w:hAnsi="Times New Roman"/>
                <w:sz w:val="20"/>
              </w:rPr>
              <w:t xml:space="preserve"> réassureur». Choisir impérativement l’une des options </w:t>
            </w:r>
            <w:proofErr w:type="gramStart"/>
            <w:r>
              <w:rPr>
                <w:rFonts w:ascii="Times New Roman" w:hAnsi="Times New Roman"/>
                <w:sz w:val="20"/>
              </w:rPr>
              <w:t>suivantes:</w:t>
            </w:r>
            <w:proofErr w:type="gramEnd"/>
            <w:r w:rsidR="00FE79E2">
              <w:rPr>
                <w:rFonts w:ascii="Times New Roman" w:eastAsia="Times New Roman" w:hAnsi="Times New Roman" w:cs="Times New Roman"/>
                <w:sz w:val="20"/>
                <w:szCs w:val="20"/>
              </w:rPr>
              <w:br/>
            </w:r>
            <w:r>
              <w:rPr>
                <w:rFonts w:ascii="Times New Roman" w:hAnsi="Times New Roman"/>
                <w:sz w:val="20"/>
              </w:rPr>
              <w:t xml:space="preserve">1 – LEI </w:t>
            </w:r>
            <w:r w:rsidR="00FE79E2">
              <w:rPr>
                <w:rFonts w:ascii="Times New Roman" w:eastAsia="Times New Roman" w:hAnsi="Times New Roman" w:cs="Times New Roman"/>
                <w:sz w:val="20"/>
                <w:szCs w:val="20"/>
              </w:rPr>
              <w:br/>
            </w:r>
            <w:r>
              <w:rPr>
                <w:rFonts w:ascii="Times New Roman" w:hAnsi="Times New Roman"/>
                <w:sz w:val="20"/>
              </w:rPr>
              <w:t>2 – Code spécifique</w:t>
            </w:r>
          </w:p>
        </w:tc>
      </w:tr>
      <w:tr w:rsidR="000A55AA" w:rsidRPr="008B3312" w14:paraId="4DBCF2B9" w14:textId="77777777" w:rsidTr="00950116">
        <w:trPr>
          <w:trHeight w:val="1157"/>
        </w:trPr>
        <w:tc>
          <w:tcPr>
            <w:tcW w:w="1079" w:type="dxa"/>
            <w:hideMark/>
          </w:tcPr>
          <w:p w14:paraId="2706243B" w14:textId="1FE12E51" w:rsidR="000A55AA" w:rsidRPr="008B3312" w:rsidRDefault="002D7C8F" w:rsidP="00950116">
            <w:pPr>
              <w:rPr>
                <w:rFonts w:ascii="Times New Roman" w:hAnsi="Times New Roman" w:cs="Times New Roman"/>
                <w:sz w:val="20"/>
                <w:szCs w:val="20"/>
              </w:rPr>
            </w:pPr>
            <w:r>
              <w:rPr>
                <w:rFonts w:ascii="Times New Roman" w:hAnsi="Times New Roman"/>
                <w:sz w:val="20"/>
              </w:rPr>
              <w:t>C0061</w:t>
            </w:r>
          </w:p>
        </w:tc>
        <w:tc>
          <w:tcPr>
            <w:tcW w:w="2290" w:type="dxa"/>
            <w:hideMark/>
          </w:tcPr>
          <w:p w14:paraId="31A8A475" w14:textId="1CD3BA9C" w:rsidR="000A55AA" w:rsidRPr="008B3312" w:rsidRDefault="000A55AA" w:rsidP="002D7C8F">
            <w:pPr>
              <w:rPr>
                <w:rFonts w:ascii="Times New Roman" w:hAnsi="Times New Roman" w:cs="Times New Roman"/>
                <w:sz w:val="20"/>
                <w:szCs w:val="20"/>
              </w:rPr>
            </w:pPr>
            <w:r>
              <w:rPr>
                <w:rFonts w:ascii="Times New Roman" w:hAnsi="Times New Roman"/>
                <w:sz w:val="20"/>
              </w:rPr>
              <w:t xml:space="preserve">Montants recouvrables au titre de la réassurance – provisions pour primes </w:t>
            </w:r>
            <w:r w:rsidR="002D7C8F">
              <w:rPr>
                <w:rFonts w:ascii="Times New Roman" w:hAnsi="Times New Roman"/>
                <w:sz w:val="20"/>
              </w:rPr>
              <w:t>relatives aux garanties accessoires.</w:t>
            </w:r>
          </w:p>
        </w:tc>
        <w:tc>
          <w:tcPr>
            <w:tcW w:w="6445" w:type="dxa"/>
            <w:hideMark/>
          </w:tcPr>
          <w:p w14:paraId="2DB9D8BF" w14:textId="1D7F0D5F" w:rsidR="000A55AA" w:rsidRPr="008B3312" w:rsidRDefault="002D7C8F" w:rsidP="002D7C8F">
            <w:pPr>
              <w:rPr>
                <w:rFonts w:ascii="Times New Roman" w:hAnsi="Times New Roman" w:cs="Times New Roman"/>
                <w:sz w:val="20"/>
                <w:szCs w:val="20"/>
              </w:rPr>
            </w:pPr>
            <w:r>
              <w:rPr>
                <w:rFonts w:ascii="Times New Roman" w:hAnsi="Times New Roman"/>
                <w:sz w:val="20"/>
              </w:rPr>
              <w:t>Indiquer l</w:t>
            </w:r>
            <w:r w:rsidR="000A55AA">
              <w:rPr>
                <w:rFonts w:ascii="Times New Roman" w:hAnsi="Times New Roman"/>
                <w:sz w:val="20"/>
              </w:rPr>
              <w:t xml:space="preserve">e montant de la part du réassureur dans les montants recouvrables au titre de la réassurance (y compris réassurance </w:t>
            </w:r>
            <w:proofErr w:type="spellStart"/>
            <w:r w:rsidR="000A55AA">
              <w:rPr>
                <w:rFonts w:ascii="Times New Roman" w:hAnsi="Times New Roman"/>
                <w:sz w:val="20"/>
              </w:rPr>
              <w:t>fini</w:t>
            </w:r>
            <w:r>
              <w:rPr>
                <w:rFonts w:ascii="Times New Roman" w:hAnsi="Times New Roman"/>
                <w:sz w:val="20"/>
              </w:rPr>
              <w:t>te</w:t>
            </w:r>
            <w:proofErr w:type="spellEnd"/>
            <w:r>
              <w:rPr>
                <w:rFonts w:ascii="Times New Roman" w:hAnsi="Times New Roman"/>
                <w:sz w:val="20"/>
              </w:rPr>
              <w:t xml:space="preserve"> et véhicules de titrisation) – provisions pour primes.</w:t>
            </w:r>
          </w:p>
        </w:tc>
      </w:tr>
      <w:tr w:rsidR="000A55AA" w:rsidRPr="008B3312" w14:paraId="5574686E" w14:textId="77777777" w:rsidTr="00950116">
        <w:trPr>
          <w:trHeight w:val="975"/>
        </w:trPr>
        <w:tc>
          <w:tcPr>
            <w:tcW w:w="1079" w:type="dxa"/>
            <w:hideMark/>
          </w:tcPr>
          <w:p w14:paraId="64B88D27" w14:textId="7392E985" w:rsidR="000A55AA" w:rsidRPr="008B3312" w:rsidRDefault="002D7C8F" w:rsidP="00950116">
            <w:pPr>
              <w:rPr>
                <w:rFonts w:ascii="Times New Roman" w:hAnsi="Times New Roman" w:cs="Times New Roman"/>
                <w:sz w:val="20"/>
                <w:szCs w:val="20"/>
              </w:rPr>
            </w:pPr>
            <w:r>
              <w:rPr>
                <w:rFonts w:ascii="Times New Roman" w:hAnsi="Times New Roman"/>
                <w:sz w:val="20"/>
              </w:rPr>
              <w:t>C0071</w:t>
            </w:r>
          </w:p>
        </w:tc>
        <w:tc>
          <w:tcPr>
            <w:tcW w:w="2290" w:type="dxa"/>
            <w:hideMark/>
          </w:tcPr>
          <w:p w14:paraId="170C0B3B" w14:textId="0E01EB75" w:rsidR="000A55AA" w:rsidRPr="008B3312" w:rsidRDefault="000A55AA" w:rsidP="002D7C8F">
            <w:pPr>
              <w:rPr>
                <w:rFonts w:ascii="Times New Roman" w:hAnsi="Times New Roman" w:cs="Times New Roman"/>
                <w:sz w:val="20"/>
                <w:szCs w:val="20"/>
              </w:rPr>
            </w:pPr>
            <w:r>
              <w:rPr>
                <w:rFonts w:ascii="Times New Roman" w:hAnsi="Times New Roman"/>
                <w:sz w:val="20"/>
              </w:rPr>
              <w:t xml:space="preserve">Montants recouvrables au titre de la réassurance – provisions pour sinistres </w:t>
            </w:r>
            <w:r w:rsidR="002D7C8F">
              <w:rPr>
                <w:rFonts w:ascii="Times New Roman" w:hAnsi="Times New Roman"/>
                <w:sz w:val="20"/>
              </w:rPr>
              <w:t>relatives aux garanties accessoires.</w:t>
            </w:r>
          </w:p>
        </w:tc>
        <w:tc>
          <w:tcPr>
            <w:tcW w:w="6445" w:type="dxa"/>
            <w:hideMark/>
          </w:tcPr>
          <w:p w14:paraId="441785CA" w14:textId="07118705" w:rsidR="000A55AA" w:rsidRPr="008B3312" w:rsidRDefault="002D7C8F" w:rsidP="002D7C8F">
            <w:pPr>
              <w:rPr>
                <w:rFonts w:ascii="Times New Roman" w:hAnsi="Times New Roman" w:cs="Times New Roman"/>
                <w:sz w:val="20"/>
                <w:szCs w:val="20"/>
              </w:rPr>
            </w:pPr>
            <w:r>
              <w:rPr>
                <w:rFonts w:ascii="Times New Roman" w:hAnsi="Times New Roman"/>
                <w:sz w:val="20"/>
              </w:rPr>
              <w:t>Indiquer l</w:t>
            </w:r>
            <w:r w:rsidR="000A55AA">
              <w:rPr>
                <w:rFonts w:ascii="Times New Roman" w:hAnsi="Times New Roman"/>
                <w:sz w:val="20"/>
              </w:rPr>
              <w:t xml:space="preserve">e montant de la part du réassureur dans les montants recouvrables au titre de la réassurance (y compris réassurance </w:t>
            </w:r>
            <w:proofErr w:type="spellStart"/>
            <w:r w:rsidR="000A55AA">
              <w:rPr>
                <w:rFonts w:ascii="Times New Roman" w:hAnsi="Times New Roman"/>
                <w:sz w:val="20"/>
              </w:rPr>
              <w:t>finite</w:t>
            </w:r>
            <w:proofErr w:type="spellEnd"/>
            <w:r w:rsidR="000A55AA">
              <w:rPr>
                <w:rFonts w:ascii="Times New Roman" w:hAnsi="Times New Roman"/>
                <w:sz w:val="20"/>
              </w:rPr>
              <w:t xml:space="preserve"> et véhicules de titrisation) </w:t>
            </w:r>
            <w:r>
              <w:rPr>
                <w:rFonts w:ascii="Times New Roman" w:hAnsi="Times New Roman"/>
                <w:sz w:val="20"/>
              </w:rPr>
              <w:t>– provisions pour sinistres</w:t>
            </w:r>
            <w:r w:rsidR="000A55AA">
              <w:rPr>
                <w:rFonts w:ascii="Times New Roman" w:hAnsi="Times New Roman"/>
                <w:sz w:val="20"/>
              </w:rPr>
              <w:t xml:space="preserve"> </w:t>
            </w:r>
          </w:p>
        </w:tc>
      </w:tr>
      <w:tr w:rsidR="000A55AA" w:rsidRPr="008B3312" w14:paraId="07D63DCF" w14:textId="77777777" w:rsidTr="00950116">
        <w:trPr>
          <w:trHeight w:val="957"/>
        </w:trPr>
        <w:tc>
          <w:tcPr>
            <w:tcW w:w="1079" w:type="dxa"/>
            <w:hideMark/>
          </w:tcPr>
          <w:p w14:paraId="6DD719D4" w14:textId="1E67CE59" w:rsidR="000A55AA" w:rsidRPr="008B3312" w:rsidRDefault="002D7C8F" w:rsidP="00950116">
            <w:pPr>
              <w:rPr>
                <w:rFonts w:ascii="Times New Roman" w:hAnsi="Times New Roman" w:cs="Times New Roman"/>
                <w:sz w:val="20"/>
                <w:szCs w:val="20"/>
              </w:rPr>
            </w:pPr>
            <w:r>
              <w:rPr>
                <w:rFonts w:ascii="Times New Roman" w:hAnsi="Times New Roman"/>
                <w:sz w:val="20"/>
              </w:rPr>
              <w:t>C0081</w:t>
            </w:r>
          </w:p>
        </w:tc>
        <w:tc>
          <w:tcPr>
            <w:tcW w:w="2290" w:type="dxa"/>
            <w:hideMark/>
          </w:tcPr>
          <w:p w14:paraId="7006B9FF" w14:textId="78173CDA" w:rsidR="000A55AA" w:rsidRPr="008B3312" w:rsidRDefault="000A55AA" w:rsidP="002D7C8F">
            <w:pPr>
              <w:rPr>
                <w:rFonts w:ascii="Times New Roman" w:hAnsi="Times New Roman" w:cs="Times New Roman"/>
                <w:sz w:val="20"/>
                <w:szCs w:val="20"/>
              </w:rPr>
            </w:pPr>
            <w:r>
              <w:rPr>
                <w:rFonts w:ascii="Times New Roman" w:hAnsi="Times New Roman"/>
                <w:sz w:val="20"/>
              </w:rPr>
              <w:t>Montants recouvrables au titre de la réassurance – provisions techniques vie</w:t>
            </w:r>
          </w:p>
        </w:tc>
        <w:tc>
          <w:tcPr>
            <w:tcW w:w="6445" w:type="dxa"/>
            <w:hideMark/>
          </w:tcPr>
          <w:p w14:paraId="4D1A5FB3" w14:textId="3E3E5387" w:rsidR="000A55AA" w:rsidRPr="008B3312" w:rsidRDefault="002D7C8F" w:rsidP="002D7C8F">
            <w:pPr>
              <w:rPr>
                <w:rFonts w:ascii="Times New Roman" w:hAnsi="Times New Roman" w:cs="Times New Roman"/>
                <w:sz w:val="20"/>
                <w:szCs w:val="20"/>
              </w:rPr>
            </w:pPr>
            <w:r>
              <w:rPr>
                <w:rFonts w:ascii="Times New Roman" w:hAnsi="Times New Roman"/>
                <w:sz w:val="20"/>
              </w:rPr>
              <w:t>Indiquer le</w:t>
            </w:r>
            <w:r w:rsidR="000A55AA">
              <w:rPr>
                <w:rFonts w:ascii="Times New Roman" w:hAnsi="Times New Roman"/>
                <w:sz w:val="20"/>
              </w:rPr>
              <w:t xml:space="preserve"> montant de la part du réassureur dans les montants recouvrables au titre de la réassurance (y compris réassurance </w:t>
            </w:r>
            <w:proofErr w:type="spellStart"/>
            <w:r w:rsidR="000A55AA">
              <w:rPr>
                <w:rFonts w:ascii="Times New Roman" w:hAnsi="Times New Roman"/>
                <w:sz w:val="20"/>
              </w:rPr>
              <w:t>finite</w:t>
            </w:r>
            <w:proofErr w:type="spellEnd"/>
            <w:r w:rsidR="000A55AA">
              <w:rPr>
                <w:rFonts w:ascii="Times New Roman" w:hAnsi="Times New Roman"/>
                <w:sz w:val="20"/>
              </w:rPr>
              <w:t xml:space="preserve"> et véhicules de titrisation) </w:t>
            </w:r>
            <w:r>
              <w:rPr>
                <w:rFonts w:ascii="Times New Roman" w:hAnsi="Times New Roman"/>
                <w:sz w:val="20"/>
              </w:rPr>
              <w:t>– provisions techniques vie</w:t>
            </w:r>
            <w:r w:rsidR="000A55AA">
              <w:rPr>
                <w:rFonts w:ascii="Times New Roman" w:hAnsi="Times New Roman"/>
                <w:sz w:val="20"/>
              </w:rPr>
              <w:t xml:space="preserve"> </w:t>
            </w:r>
          </w:p>
        </w:tc>
      </w:tr>
      <w:tr w:rsidR="000A55AA" w:rsidRPr="008B3312" w14:paraId="7F57A23C" w14:textId="77777777" w:rsidTr="00950116">
        <w:trPr>
          <w:trHeight w:val="862"/>
        </w:trPr>
        <w:tc>
          <w:tcPr>
            <w:tcW w:w="1079" w:type="dxa"/>
            <w:hideMark/>
          </w:tcPr>
          <w:p w14:paraId="1DAB406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C0100</w:t>
            </w:r>
          </w:p>
        </w:tc>
        <w:tc>
          <w:tcPr>
            <w:tcW w:w="2290" w:type="dxa"/>
            <w:hideMark/>
          </w:tcPr>
          <w:p w14:paraId="4DD2054F"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Montants recouvrables au titre de la </w:t>
            </w:r>
            <w:proofErr w:type="gramStart"/>
            <w:r>
              <w:rPr>
                <w:rFonts w:ascii="Times New Roman" w:hAnsi="Times New Roman"/>
                <w:sz w:val="20"/>
              </w:rPr>
              <w:t>réassurance:</w:t>
            </w:r>
            <w:proofErr w:type="gramEnd"/>
            <w:r>
              <w:rPr>
                <w:rFonts w:ascii="Times New Roman" w:hAnsi="Times New Roman"/>
                <w:sz w:val="20"/>
              </w:rPr>
              <w:t xml:space="preserve"> Total montants recouvrables au titre de la </w:t>
            </w:r>
            <w:r>
              <w:rPr>
                <w:rFonts w:ascii="Times New Roman" w:hAnsi="Times New Roman"/>
                <w:sz w:val="20"/>
              </w:rPr>
              <w:lastRenderedPageBreak/>
              <w:t>réassurance</w:t>
            </w:r>
          </w:p>
        </w:tc>
        <w:tc>
          <w:tcPr>
            <w:tcW w:w="6445" w:type="dxa"/>
            <w:hideMark/>
          </w:tcPr>
          <w:p w14:paraId="0D227E65" w14:textId="552712B0" w:rsidR="000A55AA" w:rsidRPr="008B3312" w:rsidRDefault="000A55AA" w:rsidP="00D972F0">
            <w:pPr>
              <w:rPr>
                <w:rFonts w:ascii="Times New Roman" w:hAnsi="Times New Roman" w:cs="Times New Roman"/>
                <w:sz w:val="20"/>
                <w:szCs w:val="20"/>
              </w:rPr>
            </w:pPr>
            <w:r>
              <w:rPr>
                <w:rFonts w:ascii="Times New Roman" w:hAnsi="Times New Roman"/>
                <w:sz w:val="20"/>
              </w:rPr>
              <w:lastRenderedPageBreak/>
              <w:t>Le résultat des provisions techniques cédées (provisions pour sini</w:t>
            </w:r>
            <w:r w:rsidR="00D972F0">
              <w:rPr>
                <w:rFonts w:ascii="Times New Roman" w:hAnsi="Times New Roman"/>
                <w:sz w:val="20"/>
              </w:rPr>
              <w:t>stres + provisions pour primes + provisions techniques vie).</w:t>
            </w:r>
          </w:p>
        </w:tc>
      </w:tr>
      <w:tr w:rsidR="000A55AA" w:rsidRPr="008B3312" w14:paraId="00BAA996" w14:textId="77777777" w:rsidTr="00950116">
        <w:trPr>
          <w:trHeight w:val="132"/>
        </w:trPr>
        <w:tc>
          <w:tcPr>
            <w:tcW w:w="1079" w:type="dxa"/>
            <w:hideMark/>
          </w:tcPr>
          <w:p w14:paraId="5FF7C4D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C0110</w:t>
            </w:r>
          </w:p>
        </w:tc>
        <w:tc>
          <w:tcPr>
            <w:tcW w:w="2290" w:type="dxa"/>
            <w:hideMark/>
          </w:tcPr>
          <w:p w14:paraId="3F466ADB" w14:textId="77777777" w:rsidR="000A55AA" w:rsidRPr="008B3312" w:rsidRDefault="000A55AA">
            <w:pPr>
              <w:rPr>
                <w:rFonts w:ascii="Times New Roman" w:hAnsi="Times New Roman" w:cs="Times New Roman"/>
                <w:sz w:val="20"/>
                <w:szCs w:val="20"/>
              </w:rPr>
            </w:pPr>
            <w:r>
              <w:rPr>
                <w:rFonts w:ascii="Times New Roman" w:hAnsi="Times New Roman"/>
                <w:sz w:val="20"/>
              </w:rPr>
              <w:t>Éléments à recevoir nets</w:t>
            </w:r>
          </w:p>
        </w:tc>
        <w:tc>
          <w:tcPr>
            <w:tcW w:w="6445" w:type="dxa"/>
            <w:hideMark/>
          </w:tcPr>
          <w:p w14:paraId="0B7E20BD" w14:textId="6C3028BC" w:rsidR="000A55AA" w:rsidRPr="008B3312" w:rsidRDefault="000A55AA" w:rsidP="00D16A51">
            <w:pPr>
              <w:rPr>
                <w:rFonts w:ascii="Times New Roman" w:hAnsi="Times New Roman" w:cs="Times New Roman"/>
                <w:sz w:val="20"/>
                <w:szCs w:val="20"/>
              </w:rPr>
            </w:pPr>
            <w:r>
              <w:rPr>
                <w:rFonts w:ascii="Times New Roman" w:hAnsi="Times New Roman"/>
                <w:sz w:val="20"/>
              </w:rPr>
              <w:t xml:space="preserve">Les montants en souffrance </w:t>
            </w:r>
            <w:proofErr w:type="gramStart"/>
            <w:r>
              <w:rPr>
                <w:rFonts w:ascii="Times New Roman" w:hAnsi="Times New Roman"/>
                <w:sz w:val="20"/>
              </w:rPr>
              <w:t>résultant:</w:t>
            </w:r>
            <w:proofErr w:type="gramEnd"/>
            <w:r>
              <w:rPr>
                <w:rFonts w:ascii="Times New Roman" w:hAnsi="Times New Roman"/>
                <w:sz w:val="20"/>
              </w:rPr>
              <w:t xml:space="preserve"> des sinistres payés par </w:t>
            </w:r>
            <w:r w:rsidR="003833AA">
              <w:rPr>
                <w:rFonts w:ascii="Times New Roman" w:hAnsi="Times New Roman"/>
                <w:sz w:val="20"/>
              </w:rPr>
              <w:t>l’O</w:t>
            </w:r>
            <w:r w:rsidR="00D16A51">
              <w:rPr>
                <w:rFonts w:ascii="Times New Roman" w:hAnsi="Times New Roman"/>
                <w:sz w:val="20"/>
              </w:rPr>
              <w:t xml:space="preserve">RPS </w:t>
            </w:r>
            <w:r>
              <w:rPr>
                <w:rFonts w:ascii="Times New Roman" w:hAnsi="Times New Roman"/>
                <w:sz w:val="20"/>
              </w:rPr>
              <w:t xml:space="preserve">mais non encore remboursés par le réassureur, augmentés des commissions à payer par le réassureur et des autres éléments à recevoir, diminués des dettes à l’égard du réassureur. Les dépôts en espèces sont </w:t>
            </w:r>
            <w:proofErr w:type="gramStart"/>
            <w:r>
              <w:rPr>
                <w:rFonts w:ascii="Times New Roman" w:hAnsi="Times New Roman"/>
                <w:sz w:val="20"/>
              </w:rPr>
              <w:t>exclus;</w:t>
            </w:r>
            <w:proofErr w:type="gramEnd"/>
            <w:r>
              <w:rPr>
                <w:rFonts w:ascii="Times New Roman" w:hAnsi="Times New Roman"/>
                <w:sz w:val="20"/>
              </w:rPr>
              <w:t xml:space="preserve"> il doivent être considérés comme des garanties reçues. </w:t>
            </w:r>
          </w:p>
        </w:tc>
      </w:tr>
      <w:tr w:rsidR="000A55AA" w:rsidRPr="008B3312" w14:paraId="220DF565" w14:textId="77777777" w:rsidTr="00950116">
        <w:trPr>
          <w:trHeight w:val="699"/>
        </w:trPr>
        <w:tc>
          <w:tcPr>
            <w:tcW w:w="1079" w:type="dxa"/>
            <w:hideMark/>
          </w:tcPr>
          <w:p w14:paraId="1408987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C0120</w:t>
            </w:r>
          </w:p>
        </w:tc>
        <w:tc>
          <w:tcPr>
            <w:tcW w:w="2290" w:type="dxa"/>
            <w:hideMark/>
          </w:tcPr>
          <w:p w14:paraId="28CCDC54" w14:textId="77777777" w:rsidR="000A55AA" w:rsidRPr="008B3312" w:rsidRDefault="000A55AA">
            <w:pPr>
              <w:rPr>
                <w:rFonts w:ascii="Times New Roman" w:hAnsi="Times New Roman" w:cs="Times New Roman"/>
                <w:sz w:val="20"/>
                <w:szCs w:val="20"/>
              </w:rPr>
            </w:pPr>
            <w:r>
              <w:rPr>
                <w:rFonts w:ascii="Times New Roman" w:hAnsi="Times New Roman"/>
                <w:sz w:val="20"/>
              </w:rPr>
              <w:t>Actifs remis en nantissement par le réassureur</w:t>
            </w:r>
          </w:p>
        </w:tc>
        <w:tc>
          <w:tcPr>
            <w:tcW w:w="6445" w:type="dxa"/>
            <w:hideMark/>
          </w:tcPr>
          <w:p w14:paraId="562D471D"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Montant des actifs remis en nantissement par le réassureur pour atténuer son risque de contrepartie. </w:t>
            </w:r>
          </w:p>
        </w:tc>
      </w:tr>
      <w:tr w:rsidR="000A55AA" w:rsidRPr="008B3312" w14:paraId="6A6E5960" w14:textId="77777777" w:rsidTr="0044578D">
        <w:trPr>
          <w:trHeight w:val="543"/>
        </w:trPr>
        <w:tc>
          <w:tcPr>
            <w:tcW w:w="1079" w:type="dxa"/>
            <w:hideMark/>
          </w:tcPr>
          <w:p w14:paraId="0C8BFB5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C0130</w:t>
            </w:r>
          </w:p>
        </w:tc>
        <w:tc>
          <w:tcPr>
            <w:tcW w:w="2290" w:type="dxa"/>
            <w:hideMark/>
          </w:tcPr>
          <w:p w14:paraId="7136BFD3" w14:textId="77777777" w:rsidR="000A55AA" w:rsidRPr="008B3312" w:rsidRDefault="000A55AA">
            <w:pPr>
              <w:rPr>
                <w:rFonts w:ascii="Times New Roman" w:hAnsi="Times New Roman" w:cs="Times New Roman"/>
                <w:sz w:val="20"/>
                <w:szCs w:val="20"/>
              </w:rPr>
            </w:pPr>
            <w:r>
              <w:rPr>
                <w:rFonts w:ascii="Times New Roman" w:hAnsi="Times New Roman"/>
                <w:sz w:val="20"/>
              </w:rPr>
              <w:t>Garanties financières</w:t>
            </w:r>
          </w:p>
        </w:tc>
        <w:tc>
          <w:tcPr>
            <w:tcW w:w="6445" w:type="dxa"/>
            <w:hideMark/>
          </w:tcPr>
          <w:p w14:paraId="5C6A05D3" w14:textId="04F1D279" w:rsidR="000A55AA" w:rsidRPr="008B3312" w:rsidRDefault="000A55AA" w:rsidP="00D16A51">
            <w:pPr>
              <w:rPr>
                <w:rFonts w:ascii="Times New Roman" w:hAnsi="Times New Roman" w:cs="Times New Roman"/>
                <w:sz w:val="20"/>
                <w:szCs w:val="20"/>
              </w:rPr>
            </w:pPr>
            <w:r>
              <w:rPr>
                <w:rFonts w:ascii="Times New Roman" w:hAnsi="Times New Roman"/>
                <w:sz w:val="20"/>
              </w:rPr>
              <w:t xml:space="preserve">Montant des garanties reçues par </w:t>
            </w:r>
            <w:r w:rsidR="003833AA">
              <w:rPr>
                <w:rFonts w:ascii="Times New Roman" w:hAnsi="Times New Roman"/>
                <w:sz w:val="20"/>
              </w:rPr>
              <w:t>l’O</w:t>
            </w:r>
            <w:r w:rsidR="00D16A51">
              <w:rPr>
                <w:rFonts w:ascii="Times New Roman" w:hAnsi="Times New Roman"/>
                <w:sz w:val="20"/>
              </w:rPr>
              <w:t xml:space="preserve">RPS </w:t>
            </w:r>
            <w:r>
              <w:rPr>
                <w:rFonts w:ascii="Times New Roman" w:hAnsi="Times New Roman"/>
                <w:sz w:val="20"/>
              </w:rPr>
              <w:t xml:space="preserve">de la part du réassureur pour garantir le paiement des dettes dues par l’entreprise (y compris lettres de crédit et facilités d’emprunt garanties et non tirées). </w:t>
            </w:r>
          </w:p>
        </w:tc>
      </w:tr>
      <w:tr w:rsidR="000A55AA" w:rsidRPr="008B3312" w14:paraId="1FE25ACB" w14:textId="77777777" w:rsidTr="0044578D">
        <w:trPr>
          <w:trHeight w:val="70"/>
        </w:trPr>
        <w:tc>
          <w:tcPr>
            <w:tcW w:w="1079" w:type="dxa"/>
            <w:tcBorders>
              <w:bottom w:val="single" w:sz="4" w:space="0" w:color="auto"/>
            </w:tcBorders>
            <w:hideMark/>
          </w:tcPr>
          <w:p w14:paraId="26679D0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C0140</w:t>
            </w:r>
          </w:p>
        </w:tc>
        <w:tc>
          <w:tcPr>
            <w:tcW w:w="2290" w:type="dxa"/>
            <w:tcBorders>
              <w:bottom w:val="single" w:sz="4" w:space="0" w:color="auto"/>
            </w:tcBorders>
            <w:hideMark/>
          </w:tcPr>
          <w:p w14:paraId="6FFFF79F" w14:textId="77777777" w:rsidR="000A55AA" w:rsidRPr="008B3312" w:rsidRDefault="000A55AA">
            <w:pPr>
              <w:rPr>
                <w:rFonts w:ascii="Times New Roman" w:hAnsi="Times New Roman" w:cs="Times New Roman"/>
                <w:sz w:val="20"/>
                <w:szCs w:val="20"/>
              </w:rPr>
            </w:pPr>
            <w:r>
              <w:rPr>
                <w:rFonts w:ascii="Times New Roman" w:hAnsi="Times New Roman"/>
                <w:sz w:val="20"/>
              </w:rPr>
              <w:t>Dépôt en espèces</w:t>
            </w:r>
          </w:p>
        </w:tc>
        <w:tc>
          <w:tcPr>
            <w:tcW w:w="6445" w:type="dxa"/>
            <w:tcBorders>
              <w:bottom w:val="single" w:sz="4" w:space="0" w:color="auto"/>
            </w:tcBorders>
            <w:hideMark/>
          </w:tcPr>
          <w:p w14:paraId="49CB860C"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Montant des dépôts en espèces reçus par le réassureur. </w:t>
            </w:r>
          </w:p>
        </w:tc>
      </w:tr>
      <w:tr w:rsidR="000A55AA" w:rsidRPr="008B3312" w14:paraId="672599CE" w14:textId="77777777" w:rsidTr="00166F34">
        <w:trPr>
          <w:trHeight w:val="275"/>
        </w:trPr>
        <w:tc>
          <w:tcPr>
            <w:tcW w:w="1079" w:type="dxa"/>
            <w:tcBorders>
              <w:bottom w:val="single" w:sz="4" w:space="0" w:color="auto"/>
            </w:tcBorders>
            <w:hideMark/>
          </w:tcPr>
          <w:p w14:paraId="49C1EED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C0150</w:t>
            </w:r>
          </w:p>
        </w:tc>
        <w:tc>
          <w:tcPr>
            <w:tcW w:w="2290" w:type="dxa"/>
            <w:tcBorders>
              <w:bottom w:val="single" w:sz="4" w:space="0" w:color="auto"/>
            </w:tcBorders>
            <w:hideMark/>
          </w:tcPr>
          <w:p w14:paraId="2FF3B64C" w14:textId="77777777" w:rsidR="000A55AA" w:rsidRPr="008B3312" w:rsidRDefault="000A55AA">
            <w:pPr>
              <w:rPr>
                <w:rFonts w:ascii="Times New Roman" w:hAnsi="Times New Roman" w:cs="Times New Roman"/>
                <w:sz w:val="20"/>
                <w:szCs w:val="20"/>
              </w:rPr>
            </w:pPr>
            <w:r>
              <w:rPr>
                <w:rFonts w:ascii="Times New Roman" w:hAnsi="Times New Roman"/>
                <w:sz w:val="20"/>
              </w:rPr>
              <w:t>Total garanties reçues</w:t>
            </w:r>
          </w:p>
        </w:tc>
        <w:tc>
          <w:tcPr>
            <w:tcW w:w="6445" w:type="dxa"/>
            <w:tcBorders>
              <w:bottom w:val="single" w:sz="4" w:space="0" w:color="auto"/>
            </w:tcBorders>
            <w:hideMark/>
          </w:tcPr>
          <w:p w14:paraId="33A54A71" w14:textId="77777777" w:rsidR="000A55AA" w:rsidRPr="00166F34" w:rsidRDefault="000A55AA" w:rsidP="00E54DF8">
            <w:pPr>
              <w:rPr>
                <w:rFonts w:ascii="Times New Roman" w:hAnsi="Times New Roman"/>
                <w:sz w:val="20"/>
                <w:highlight w:val="cyan"/>
              </w:rPr>
            </w:pPr>
            <w:r>
              <w:rPr>
                <w:rFonts w:ascii="Times New Roman" w:hAnsi="Times New Roman"/>
                <w:sz w:val="20"/>
              </w:rPr>
              <w:t xml:space="preserve">Montant total des différents types de garanties. </w:t>
            </w:r>
            <w:r w:rsidR="00E54DF8">
              <w:rPr>
                <w:rFonts w:ascii="Times New Roman" w:hAnsi="Times New Roman"/>
                <w:sz w:val="20"/>
              </w:rPr>
              <w:t xml:space="preserve"> Il correspond à la somme des montants reportés en C0120, C0130 et C0140.</w:t>
            </w:r>
          </w:p>
        </w:tc>
      </w:tr>
      <w:tr w:rsidR="000A55AA" w:rsidRPr="008B3312" w14:paraId="5EF7BED1" w14:textId="77777777" w:rsidTr="00950116">
        <w:trPr>
          <w:trHeight w:val="352"/>
        </w:trPr>
        <w:tc>
          <w:tcPr>
            <w:tcW w:w="9814" w:type="dxa"/>
            <w:gridSpan w:val="3"/>
            <w:tcBorders>
              <w:top w:val="single" w:sz="4" w:space="0" w:color="auto"/>
              <w:left w:val="nil"/>
              <w:bottom w:val="single" w:sz="4" w:space="0" w:color="auto"/>
              <w:right w:val="nil"/>
            </w:tcBorders>
            <w:noWrap/>
            <w:hideMark/>
          </w:tcPr>
          <w:p w14:paraId="288A5BFD" w14:textId="77777777" w:rsidR="000A55AA" w:rsidRPr="008B3312" w:rsidRDefault="000A55AA" w:rsidP="00950116">
            <w:pPr>
              <w:rPr>
                <w:rFonts w:ascii="Times New Roman" w:hAnsi="Times New Roman" w:cs="Times New Roman"/>
                <w:sz w:val="20"/>
                <w:szCs w:val="20"/>
              </w:rPr>
            </w:pPr>
            <w:r>
              <w:rPr>
                <w:rFonts w:ascii="Times New Roman" w:hAnsi="Times New Roman"/>
                <w:b/>
                <w:i/>
                <w:sz w:val="20"/>
              </w:rPr>
              <w:t xml:space="preserve">Informations sur les réassureurs </w:t>
            </w:r>
          </w:p>
        </w:tc>
      </w:tr>
      <w:tr w:rsidR="000A55AA" w:rsidRPr="008B3312" w14:paraId="0BCD8BA5" w14:textId="77777777" w:rsidTr="00950116">
        <w:trPr>
          <w:trHeight w:val="315"/>
        </w:trPr>
        <w:tc>
          <w:tcPr>
            <w:tcW w:w="1079" w:type="dxa"/>
            <w:tcBorders>
              <w:top w:val="single" w:sz="4" w:space="0" w:color="auto"/>
            </w:tcBorders>
            <w:hideMark/>
          </w:tcPr>
          <w:p w14:paraId="616043D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C0160</w:t>
            </w:r>
          </w:p>
        </w:tc>
        <w:tc>
          <w:tcPr>
            <w:tcW w:w="2290" w:type="dxa"/>
            <w:tcBorders>
              <w:top w:val="single" w:sz="4" w:space="0" w:color="auto"/>
            </w:tcBorders>
            <w:hideMark/>
          </w:tcPr>
          <w:p w14:paraId="4516BEB5" w14:textId="77777777" w:rsidR="000A55AA" w:rsidRPr="008B3312" w:rsidRDefault="000A55AA">
            <w:pPr>
              <w:rPr>
                <w:rFonts w:ascii="Times New Roman" w:hAnsi="Times New Roman" w:cs="Times New Roman"/>
                <w:sz w:val="20"/>
                <w:szCs w:val="20"/>
              </w:rPr>
            </w:pPr>
            <w:r>
              <w:rPr>
                <w:rFonts w:ascii="Times New Roman" w:hAnsi="Times New Roman"/>
                <w:sz w:val="20"/>
              </w:rPr>
              <w:t>Code réassureur</w:t>
            </w:r>
          </w:p>
        </w:tc>
        <w:tc>
          <w:tcPr>
            <w:tcW w:w="6445" w:type="dxa"/>
            <w:tcBorders>
              <w:top w:val="single" w:sz="4" w:space="0" w:color="auto"/>
            </w:tcBorders>
            <w:hideMark/>
          </w:tcPr>
          <w:p w14:paraId="149F036B" w14:textId="7C13AD8C" w:rsidR="000A55AA" w:rsidRPr="008B3312" w:rsidRDefault="000A55AA" w:rsidP="00950116">
            <w:pPr>
              <w:ind w:right="175"/>
              <w:rPr>
                <w:rFonts w:ascii="Times New Roman" w:eastAsia="Times New Roman" w:hAnsi="Times New Roman" w:cs="Times New Roman"/>
                <w:sz w:val="20"/>
                <w:szCs w:val="20"/>
              </w:rPr>
            </w:pPr>
            <w:r>
              <w:rPr>
                <w:rFonts w:ascii="Times New Roman" w:hAnsi="Times New Roman"/>
                <w:sz w:val="20"/>
              </w:rPr>
              <w:t xml:space="preserve">Code d’identification du réassureur,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eastAsia="Times New Roman" w:hAnsi="Times New Roman" w:cs="Times New Roman"/>
                <w:sz w:val="20"/>
                <w:szCs w:val="20"/>
              </w:rPr>
              <w:br/>
            </w:r>
            <w:r w:rsidR="0072092D">
              <w:rPr>
                <w:rFonts w:ascii="Times New Roman" w:hAnsi="Times New Roman"/>
                <w:sz w:val="20"/>
              </w:rPr>
              <w:t xml:space="preserve">– Identifiant d’entité juridique (LEI); </w:t>
            </w:r>
            <w:r w:rsidR="00FE79E2">
              <w:rPr>
                <w:rFonts w:ascii="Times New Roman" w:eastAsia="Times New Roman" w:hAnsi="Times New Roman" w:cs="Times New Roman"/>
                <w:sz w:val="20"/>
                <w:szCs w:val="20"/>
              </w:rPr>
              <w:br/>
            </w:r>
            <w:r w:rsidR="0072092D">
              <w:rPr>
                <w:rFonts w:ascii="Times New Roman" w:hAnsi="Times New Roman"/>
                <w:sz w:val="20"/>
              </w:rPr>
              <w:t xml:space="preserve">– Code spécifique attribué par </w:t>
            </w:r>
            <w:r w:rsidR="003833AA">
              <w:rPr>
                <w:rFonts w:ascii="Times New Roman" w:hAnsi="Times New Roman"/>
                <w:sz w:val="20"/>
              </w:rPr>
              <w:t>l’O</w:t>
            </w:r>
            <w:r w:rsidR="00D16A51">
              <w:rPr>
                <w:rFonts w:ascii="Times New Roman" w:hAnsi="Times New Roman"/>
                <w:sz w:val="20"/>
              </w:rPr>
              <w:t>RPS</w:t>
            </w:r>
            <w:r w:rsidR="0072092D">
              <w:rPr>
                <w:rFonts w:ascii="Times New Roman" w:hAnsi="Times New Roman"/>
                <w:sz w:val="20"/>
              </w:rPr>
              <w:t xml:space="preserve">. </w:t>
            </w:r>
          </w:p>
          <w:p w14:paraId="3352D54C" w14:textId="77777777" w:rsidR="000A55AA" w:rsidRPr="008B3312" w:rsidRDefault="000A55AA" w:rsidP="00950116">
            <w:pPr>
              <w:rPr>
                <w:rFonts w:ascii="Times New Roman" w:hAnsi="Times New Roman" w:cs="Times New Roman"/>
                <w:sz w:val="20"/>
                <w:szCs w:val="20"/>
              </w:rPr>
            </w:pPr>
          </w:p>
        </w:tc>
      </w:tr>
      <w:tr w:rsidR="000A55AA" w:rsidRPr="008B3312" w14:paraId="33FA7FF4" w14:textId="77777777" w:rsidTr="00166F34">
        <w:trPr>
          <w:trHeight w:val="954"/>
        </w:trPr>
        <w:tc>
          <w:tcPr>
            <w:tcW w:w="1079" w:type="dxa"/>
          </w:tcPr>
          <w:p w14:paraId="6772F3E8" w14:textId="77777777" w:rsidR="000A55AA" w:rsidRPr="008B3312" w:rsidRDefault="000A55AA">
            <w:pPr>
              <w:rPr>
                <w:rFonts w:ascii="Times New Roman" w:hAnsi="Times New Roman" w:cs="Times New Roman"/>
                <w:sz w:val="20"/>
                <w:szCs w:val="20"/>
              </w:rPr>
            </w:pPr>
            <w:r>
              <w:rPr>
                <w:rFonts w:ascii="Times New Roman" w:hAnsi="Times New Roman"/>
                <w:sz w:val="20"/>
              </w:rPr>
              <w:t>C0170</w:t>
            </w:r>
          </w:p>
        </w:tc>
        <w:tc>
          <w:tcPr>
            <w:tcW w:w="2290" w:type="dxa"/>
          </w:tcPr>
          <w:p w14:paraId="4004099C" w14:textId="77777777" w:rsidR="000A55AA" w:rsidRPr="008B3312" w:rsidRDefault="000A55AA" w:rsidP="00950116">
            <w:pPr>
              <w:ind w:right="-1286"/>
              <w:rPr>
                <w:rFonts w:ascii="Times New Roman" w:hAnsi="Times New Roman" w:cs="Times New Roman"/>
                <w:sz w:val="20"/>
                <w:szCs w:val="20"/>
              </w:rPr>
            </w:pPr>
            <w:r>
              <w:rPr>
                <w:rFonts w:ascii="Times New Roman" w:hAnsi="Times New Roman"/>
                <w:sz w:val="20"/>
              </w:rPr>
              <w:t xml:space="preserve">Type de code </w:t>
            </w:r>
          </w:p>
          <w:p w14:paraId="75F188F3" w14:textId="77777777" w:rsidR="000A55AA" w:rsidRPr="008B3312" w:rsidRDefault="000A55AA">
            <w:pPr>
              <w:rPr>
                <w:rFonts w:ascii="Times New Roman" w:hAnsi="Times New Roman" w:cs="Times New Roman"/>
                <w:sz w:val="20"/>
                <w:szCs w:val="20"/>
              </w:rPr>
            </w:pPr>
            <w:r>
              <w:rPr>
                <w:rFonts w:ascii="Times New Roman" w:hAnsi="Times New Roman"/>
                <w:sz w:val="20"/>
              </w:rPr>
              <w:t>Réassureur</w:t>
            </w:r>
          </w:p>
        </w:tc>
        <w:tc>
          <w:tcPr>
            <w:tcW w:w="6445" w:type="dxa"/>
          </w:tcPr>
          <w:p w14:paraId="4E1FC5F7" w14:textId="77777777" w:rsidR="000A55AA" w:rsidRPr="008B3312" w:rsidRDefault="000A55AA" w:rsidP="00166F34">
            <w:pPr>
              <w:ind w:right="175"/>
              <w:rPr>
                <w:rFonts w:ascii="Times New Roman" w:eastAsia="Times New Roman" w:hAnsi="Times New Roman" w:cs="Times New Roman"/>
                <w:sz w:val="20"/>
                <w:szCs w:val="20"/>
              </w:rPr>
            </w:pPr>
            <w:r>
              <w:rPr>
                <w:rFonts w:ascii="Times New Roman" w:hAnsi="Times New Roman"/>
                <w:sz w:val="20"/>
              </w:rPr>
              <w:t>Indiquer le type de code utilisé dans la rubrique</w:t>
            </w:r>
            <w:proofErr w:type="gramStart"/>
            <w:r>
              <w:rPr>
                <w:rFonts w:ascii="Times New Roman" w:hAnsi="Times New Roman"/>
                <w:sz w:val="20"/>
              </w:rPr>
              <w:t xml:space="preserve"> «Code</w:t>
            </w:r>
            <w:proofErr w:type="gramEnd"/>
            <w:r>
              <w:rPr>
                <w:rFonts w:ascii="Times New Roman" w:hAnsi="Times New Roman"/>
                <w:sz w:val="20"/>
              </w:rPr>
              <w:t xml:space="preserve"> réassureur». Choisir impérativement l’une des options </w:t>
            </w:r>
            <w:proofErr w:type="gramStart"/>
            <w:r>
              <w:rPr>
                <w:rFonts w:ascii="Times New Roman" w:hAnsi="Times New Roman"/>
                <w:sz w:val="20"/>
              </w:rPr>
              <w:t>suivantes:</w:t>
            </w:r>
            <w:proofErr w:type="gramEnd"/>
            <w:r w:rsidR="00FE79E2">
              <w:rPr>
                <w:rFonts w:ascii="Times New Roman" w:eastAsia="Times New Roman" w:hAnsi="Times New Roman" w:cs="Times New Roman"/>
                <w:sz w:val="20"/>
                <w:szCs w:val="20"/>
              </w:rPr>
              <w:br/>
            </w:r>
            <w:r>
              <w:rPr>
                <w:rFonts w:ascii="Times New Roman" w:hAnsi="Times New Roman"/>
                <w:sz w:val="20"/>
              </w:rPr>
              <w:t xml:space="preserve">1 – LEI </w:t>
            </w:r>
            <w:r w:rsidR="00FE79E2">
              <w:rPr>
                <w:rFonts w:ascii="Times New Roman" w:eastAsia="Times New Roman" w:hAnsi="Times New Roman" w:cs="Times New Roman"/>
                <w:sz w:val="20"/>
                <w:szCs w:val="20"/>
              </w:rPr>
              <w:br/>
            </w:r>
            <w:r>
              <w:rPr>
                <w:rFonts w:ascii="Times New Roman" w:hAnsi="Times New Roman"/>
                <w:sz w:val="20"/>
              </w:rPr>
              <w:t>2 – Code spécifique</w:t>
            </w:r>
          </w:p>
        </w:tc>
      </w:tr>
      <w:tr w:rsidR="000A55AA" w:rsidRPr="008B3312" w14:paraId="3B502C8A" w14:textId="77777777" w:rsidTr="00166F34">
        <w:trPr>
          <w:trHeight w:val="1894"/>
        </w:trPr>
        <w:tc>
          <w:tcPr>
            <w:tcW w:w="1079" w:type="dxa"/>
            <w:hideMark/>
          </w:tcPr>
          <w:p w14:paraId="2C0B8AB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C0180</w:t>
            </w:r>
          </w:p>
        </w:tc>
        <w:tc>
          <w:tcPr>
            <w:tcW w:w="2290" w:type="dxa"/>
            <w:hideMark/>
          </w:tcPr>
          <w:p w14:paraId="51D51E24" w14:textId="77777777" w:rsidR="000A55AA" w:rsidRPr="008B3312" w:rsidRDefault="000A55AA">
            <w:pPr>
              <w:rPr>
                <w:rFonts w:ascii="Times New Roman" w:hAnsi="Times New Roman" w:cs="Times New Roman"/>
                <w:sz w:val="20"/>
                <w:szCs w:val="20"/>
              </w:rPr>
            </w:pPr>
            <w:r>
              <w:rPr>
                <w:rFonts w:ascii="Times New Roman" w:hAnsi="Times New Roman"/>
                <w:sz w:val="20"/>
              </w:rPr>
              <w:t>Nom juridique du réassureur</w:t>
            </w:r>
          </w:p>
        </w:tc>
        <w:tc>
          <w:tcPr>
            <w:tcW w:w="6445" w:type="dxa"/>
            <w:hideMark/>
          </w:tcPr>
          <w:p w14:paraId="77F2237E" w14:textId="77777777" w:rsidR="000A55AA" w:rsidRPr="008B3312" w:rsidRDefault="000A55AA">
            <w:pPr>
              <w:rPr>
                <w:rFonts w:ascii="Times New Roman" w:hAnsi="Times New Roman" w:cs="Times New Roman"/>
                <w:sz w:val="20"/>
                <w:szCs w:val="20"/>
              </w:rPr>
            </w:pPr>
            <w:r>
              <w:rPr>
                <w:rFonts w:ascii="Times New Roman" w:hAnsi="Times New Roman"/>
                <w:sz w:val="20"/>
              </w:rPr>
              <w:t>Nom juridique du réassureur auquel le risque de souscription a été transféré. Le nom officiel du réassureur auquel a été transféré le risque est celui figurant sur le contrat de réassurance. Il n’est pas permis d’indiquer le nom d’un courtier de réassurance ni un nom général ou incomplet, les réassureurs internationaux ayant différentes entreprises exploitantes pouvant être situées dans différents pays.</w:t>
            </w:r>
          </w:p>
          <w:p w14:paraId="1F487F81" w14:textId="77777777" w:rsidR="000A55AA" w:rsidRPr="008B3312" w:rsidRDefault="000A55AA">
            <w:pPr>
              <w:rPr>
                <w:rFonts w:ascii="Times New Roman" w:hAnsi="Times New Roman" w:cs="Times New Roman"/>
                <w:sz w:val="20"/>
                <w:szCs w:val="20"/>
              </w:rPr>
            </w:pPr>
            <w:r>
              <w:rPr>
                <w:rFonts w:ascii="Times New Roman" w:hAnsi="Times New Roman"/>
                <w:sz w:val="20"/>
              </w:rPr>
              <w:t>Dans le cas d’un pool de réassurance, le nom du pool (ou celui de son administrateur) ne peut être utilisé que si le pool est une personne morale. </w:t>
            </w:r>
          </w:p>
        </w:tc>
      </w:tr>
      <w:tr w:rsidR="000A55AA" w:rsidRPr="008B3312" w14:paraId="36C7E55B" w14:textId="77777777" w:rsidTr="00950116">
        <w:trPr>
          <w:trHeight w:val="557"/>
        </w:trPr>
        <w:tc>
          <w:tcPr>
            <w:tcW w:w="1079" w:type="dxa"/>
            <w:hideMark/>
          </w:tcPr>
          <w:p w14:paraId="0DC9783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C0190 </w:t>
            </w:r>
          </w:p>
        </w:tc>
        <w:tc>
          <w:tcPr>
            <w:tcW w:w="2290" w:type="dxa"/>
            <w:hideMark/>
          </w:tcPr>
          <w:p w14:paraId="05156D70" w14:textId="77777777" w:rsidR="000A55AA" w:rsidRPr="008B3312" w:rsidRDefault="000A55AA">
            <w:pPr>
              <w:rPr>
                <w:rFonts w:ascii="Times New Roman" w:hAnsi="Times New Roman" w:cs="Times New Roman"/>
                <w:sz w:val="20"/>
                <w:szCs w:val="20"/>
              </w:rPr>
            </w:pPr>
            <w:r>
              <w:rPr>
                <w:rFonts w:ascii="Times New Roman" w:hAnsi="Times New Roman"/>
                <w:sz w:val="20"/>
              </w:rPr>
              <w:t>Type de réassureur</w:t>
            </w:r>
          </w:p>
          <w:p w14:paraId="22140F8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w:t>
            </w:r>
          </w:p>
        </w:tc>
        <w:tc>
          <w:tcPr>
            <w:tcW w:w="6445" w:type="dxa"/>
            <w:hideMark/>
          </w:tcPr>
          <w:p w14:paraId="76A527A0" w14:textId="77777777" w:rsidR="000A55AA" w:rsidRPr="008B3312" w:rsidRDefault="000A55AA">
            <w:pPr>
              <w:rPr>
                <w:rFonts w:ascii="Times New Roman" w:hAnsi="Times New Roman" w:cs="Times New Roman"/>
                <w:sz w:val="20"/>
                <w:szCs w:val="20"/>
              </w:rPr>
            </w:pPr>
            <w:r>
              <w:rPr>
                <w:rFonts w:ascii="Times New Roman" w:hAnsi="Times New Roman"/>
                <w:sz w:val="20"/>
              </w:rPr>
              <w:t>Type de réassureur auquel le risque de souscription a été transféré.</w:t>
            </w:r>
          </w:p>
          <w:p w14:paraId="38EE270D"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r>
              <w:rPr>
                <w:rFonts w:ascii="Times New Roman" w:hAnsi="Times New Roman"/>
                <w:sz w:val="20"/>
              </w:rPr>
              <w:t xml:space="preserve"> </w:t>
            </w:r>
          </w:p>
          <w:p w14:paraId="235CF65D" w14:textId="77777777" w:rsidR="000A55AA" w:rsidRPr="008B3312" w:rsidRDefault="000A55AA" w:rsidP="00950116">
            <w:pPr>
              <w:ind w:left="50" w:right="175"/>
              <w:rPr>
                <w:rFonts w:ascii="Times New Roman" w:hAnsi="Times New Roman" w:cs="Times New Roman"/>
                <w:sz w:val="20"/>
                <w:szCs w:val="20"/>
              </w:rPr>
            </w:pPr>
            <w:r>
              <w:rPr>
                <w:rFonts w:ascii="Times New Roman" w:hAnsi="Times New Roman"/>
                <w:sz w:val="20"/>
              </w:rPr>
              <w:t>1 – Assureur vie direct</w:t>
            </w:r>
            <w:r w:rsidR="00FE79E2">
              <w:rPr>
                <w:rFonts w:ascii="Times New Roman" w:hAnsi="Times New Roman" w:cs="Times New Roman"/>
                <w:sz w:val="20"/>
                <w:szCs w:val="20"/>
              </w:rPr>
              <w:br/>
            </w:r>
            <w:r>
              <w:rPr>
                <w:rFonts w:ascii="Times New Roman" w:hAnsi="Times New Roman"/>
                <w:sz w:val="20"/>
              </w:rPr>
              <w:t>2 – Assureur non-vie direct</w:t>
            </w:r>
            <w:r w:rsidR="00FE79E2">
              <w:rPr>
                <w:rFonts w:ascii="Times New Roman" w:hAnsi="Times New Roman" w:cs="Times New Roman"/>
                <w:sz w:val="20"/>
                <w:szCs w:val="20"/>
              </w:rPr>
              <w:br/>
            </w:r>
            <w:r>
              <w:rPr>
                <w:rFonts w:ascii="Times New Roman" w:hAnsi="Times New Roman"/>
                <w:sz w:val="20"/>
              </w:rPr>
              <w:t xml:space="preserve">3 – Assureur </w:t>
            </w:r>
            <w:proofErr w:type="spellStart"/>
            <w:r>
              <w:rPr>
                <w:rFonts w:ascii="Times New Roman" w:hAnsi="Times New Roman"/>
                <w:sz w:val="20"/>
              </w:rPr>
              <w:t>multibranches</w:t>
            </w:r>
            <w:proofErr w:type="spellEnd"/>
            <w:r>
              <w:rPr>
                <w:rFonts w:ascii="Times New Roman" w:hAnsi="Times New Roman"/>
                <w:sz w:val="20"/>
              </w:rPr>
              <w:t xml:space="preserve"> direct</w:t>
            </w:r>
            <w:r w:rsidR="00FE79E2">
              <w:rPr>
                <w:rFonts w:ascii="Times New Roman" w:hAnsi="Times New Roman" w:cs="Times New Roman"/>
                <w:sz w:val="20"/>
                <w:szCs w:val="20"/>
              </w:rPr>
              <w:br/>
            </w:r>
            <w:r>
              <w:rPr>
                <w:rFonts w:ascii="Times New Roman" w:hAnsi="Times New Roman"/>
                <w:sz w:val="20"/>
              </w:rPr>
              <w:t xml:space="preserve">4 – Entreprise d’assurance captive </w:t>
            </w:r>
          </w:p>
          <w:p w14:paraId="4064230E" w14:textId="77777777" w:rsidR="000A55AA" w:rsidRPr="008B3312" w:rsidRDefault="000A55AA" w:rsidP="00950116">
            <w:pPr>
              <w:ind w:left="50" w:right="175"/>
              <w:rPr>
                <w:rFonts w:ascii="Times New Roman" w:hAnsi="Times New Roman" w:cs="Times New Roman"/>
                <w:sz w:val="20"/>
                <w:szCs w:val="20"/>
              </w:rPr>
            </w:pPr>
            <w:r>
              <w:rPr>
                <w:rFonts w:ascii="Times New Roman" w:hAnsi="Times New Roman"/>
                <w:sz w:val="20"/>
              </w:rPr>
              <w:t>5 – Réassureur interne (entreprise d’assurance dont la vocation principale est d’accepter des risques de la part des autres entreprises d’assurance du groupe)</w:t>
            </w:r>
            <w:r w:rsidR="00FE79E2">
              <w:rPr>
                <w:rFonts w:ascii="Times New Roman" w:hAnsi="Times New Roman" w:cs="Times New Roman"/>
                <w:sz w:val="20"/>
                <w:szCs w:val="20"/>
              </w:rPr>
              <w:br/>
            </w:r>
            <w:r>
              <w:rPr>
                <w:rFonts w:ascii="Times New Roman" w:hAnsi="Times New Roman"/>
                <w:sz w:val="20"/>
              </w:rPr>
              <w:t>6 – Réassureur externe (entreprise d’assurance qui accepte des risques de la part d’entreprises autres que les autres entreprises d’assurance du groupe)</w:t>
            </w:r>
            <w:r w:rsidR="00FE79E2">
              <w:rPr>
                <w:rFonts w:ascii="Times New Roman" w:hAnsi="Times New Roman" w:cs="Times New Roman"/>
                <w:sz w:val="20"/>
                <w:szCs w:val="20"/>
              </w:rPr>
              <w:br/>
            </w:r>
            <w:r>
              <w:rPr>
                <w:rFonts w:ascii="Times New Roman" w:hAnsi="Times New Roman"/>
                <w:sz w:val="20"/>
              </w:rPr>
              <w:t>7 – Entreprise de réassurance captive</w:t>
            </w:r>
            <w:r w:rsidR="00FE79E2">
              <w:rPr>
                <w:rFonts w:ascii="Times New Roman" w:hAnsi="Times New Roman" w:cs="Times New Roman"/>
                <w:sz w:val="20"/>
                <w:szCs w:val="20"/>
              </w:rPr>
              <w:br/>
            </w:r>
            <w:r>
              <w:rPr>
                <w:rFonts w:ascii="Times New Roman" w:hAnsi="Times New Roman"/>
                <w:sz w:val="20"/>
              </w:rPr>
              <w:t>8 – Véhicule de titrisation</w:t>
            </w:r>
            <w:r w:rsidR="00FE79E2">
              <w:rPr>
                <w:rFonts w:ascii="Times New Roman" w:hAnsi="Times New Roman" w:cs="Times New Roman"/>
                <w:sz w:val="20"/>
                <w:szCs w:val="20"/>
              </w:rPr>
              <w:br/>
            </w:r>
            <w:r>
              <w:rPr>
                <w:rFonts w:ascii="Times New Roman" w:hAnsi="Times New Roman"/>
                <w:sz w:val="20"/>
              </w:rPr>
              <w:t xml:space="preserve">9 – Entité de pool (à laquelle participent plusieurs entreprises d’assurance ou de réassurance) </w:t>
            </w:r>
          </w:p>
          <w:p w14:paraId="5CA19EAF" w14:textId="77777777" w:rsidR="000A55AA" w:rsidRDefault="000A55AA" w:rsidP="00166F34">
            <w:pPr>
              <w:ind w:left="50"/>
              <w:rPr>
                <w:rFonts w:ascii="Times New Roman" w:hAnsi="Times New Roman"/>
                <w:sz w:val="20"/>
              </w:rPr>
            </w:pPr>
            <w:r>
              <w:rPr>
                <w:rFonts w:ascii="Times New Roman" w:hAnsi="Times New Roman"/>
                <w:sz w:val="20"/>
              </w:rPr>
              <w:t xml:space="preserve">10 – Pool d’état </w:t>
            </w:r>
          </w:p>
          <w:p w14:paraId="3F518E2B" w14:textId="77777777" w:rsidR="00D16A51" w:rsidRPr="008B3312" w:rsidRDefault="00D16A51" w:rsidP="00166F34">
            <w:pPr>
              <w:ind w:left="50"/>
              <w:rPr>
                <w:rFonts w:ascii="Times New Roman" w:hAnsi="Times New Roman" w:cs="Times New Roman"/>
                <w:sz w:val="20"/>
                <w:szCs w:val="20"/>
              </w:rPr>
            </w:pPr>
            <w:r>
              <w:rPr>
                <w:rFonts w:ascii="Times New Roman" w:hAnsi="Times New Roman"/>
                <w:sz w:val="20"/>
              </w:rPr>
              <w:t>11 – FRPS/MRPS/URPS/IRPS</w:t>
            </w:r>
          </w:p>
        </w:tc>
      </w:tr>
      <w:tr w:rsidR="000A55AA" w:rsidRPr="008B3312" w14:paraId="17A59939" w14:textId="77777777" w:rsidTr="00950116">
        <w:trPr>
          <w:trHeight w:val="330"/>
        </w:trPr>
        <w:tc>
          <w:tcPr>
            <w:tcW w:w="1079" w:type="dxa"/>
            <w:hideMark/>
          </w:tcPr>
          <w:p w14:paraId="2DB6B6D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C0200</w:t>
            </w:r>
          </w:p>
        </w:tc>
        <w:tc>
          <w:tcPr>
            <w:tcW w:w="2290" w:type="dxa"/>
            <w:hideMark/>
          </w:tcPr>
          <w:p w14:paraId="559032D6" w14:textId="77777777" w:rsidR="000A55AA" w:rsidRPr="008B3312" w:rsidRDefault="000A55AA">
            <w:pPr>
              <w:rPr>
                <w:rFonts w:ascii="Times New Roman" w:hAnsi="Times New Roman" w:cs="Times New Roman"/>
                <w:sz w:val="20"/>
                <w:szCs w:val="20"/>
              </w:rPr>
            </w:pPr>
            <w:r>
              <w:rPr>
                <w:rFonts w:ascii="Times New Roman" w:hAnsi="Times New Roman"/>
                <w:sz w:val="20"/>
              </w:rPr>
              <w:t>Pays de résidence</w:t>
            </w:r>
          </w:p>
        </w:tc>
        <w:tc>
          <w:tcPr>
            <w:tcW w:w="6445" w:type="dxa"/>
            <w:hideMark/>
          </w:tcPr>
          <w:p w14:paraId="17FB1D74" w14:textId="77777777" w:rsidR="000A55AA" w:rsidRPr="008B3312" w:rsidRDefault="000A55AA" w:rsidP="00F37D39">
            <w:pPr>
              <w:rPr>
                <w:rFonts w:ascii="Times New Roman" w:hAnsi="Times New Roman" w:cs="Times New Roman"/>
                <w:sz w:val="20"/>
                <w:szCs w:val="20"/>
              </w:rPr>
            </w:pPr>
            <w:r>
              <w:rPr>
                <w:rFonts w:ascii="Times New Roman" w:hAnsi="Times New Roman"/>
                <w:sz w:val="20"/>
              </w:rPr>
              <w:t>Indiquer le code ISO 3166-1 alpha-2 du pays dans lequel le réassureur est juridiquement autorisé ou agréé.</w:t>
            </w:r>
          </w:p>
        </w:tc>
      </w:tr>
      <w:tr w:rsidR="000A55AA" w:rsidRPr="008B3312" w14:paraId="72CD0403" w14:textId="77777777" w:rsidTr="00950116">
        <w:trPr>
          <w:trHeight w:val="330"/>
        </w:trPr>
        <w:tc>
          <w:tcPr>
            <w:tcW w:w="1079" w:type="dxa"/>
            <w:hideMark/>
          </w:tcPr>
          <w:p w14:paraId="46F3EE62" w14:textId="26CBFDE9" w:rsidR="000A55AA" w:rsidRPr="008B3312" w:rsidRDefault="000A55AA" w:rsidP="00950116">
            <w:pPr>
              <w:rPr>
                <w:rFonts w:ascii="Times New Roman" w:hAnsi="Times New Roman" w:cs="Times New Roman"/>
                <w:sz w:val="20"/>
                <w:szCs w:val="20"/>
              </w:rPr>
            </w:pPr>
            <w:r>
              <w:rPr>
                <w:rFonts w:ascii="Times New Roman" w:hAnsi="Times New Roman"/>
                <w:sz w:val="20"/>
              </w:rPr>
              <w:t>C021</w:t>
            </w:r>
            <w:r w:rsidR="00D16A51">
              <w:rPr>
                <w:rFonts w:ascii="Times New Roman" w:hAnsi="Times New Roman"/>
                <w:sz w:val="20"/>
              </w:rPr>
              <w:t>1</w:t>
            </w:r>
          </w:p>
        </w:tc>
        <w:tc>
          <w:tcPr>
            <w:tcW w:w="2290" w:type="dxa"/>
            <w:hideMark/>
          </w:tcPr>
          <w:p w14:paraId="170CF4CE" w14:textId="7AD89D25" w:rsidR="000A55AA" w:rsidRPr="008B3312" w:rsidRDefault="00D16A51">
            <w:pPr>
              <w:rPr>
                <w:rFonts w:ascii="Times New Roman" w:hAnsi="Times New Roman" w:cs="Times New Roman"/>
                <w:sz w:val="20"/>
                <w:szCs w:val="20"/>
              </w:rPr>
            </w:pPr>
            <w:r>
              <w:rPr>
                <w:rFonts w:ascii="Times New Roman" w:hAnsi="Times New Roman"/>
                <w:sz w:val="20"/>
              </w:rPr>
              <w:t>Note de l’agence de notation</w:t>
            </w:r>
          </w:p>
        </w:tc>
        <w:tc>
          <w:tcPr>
            <w:tcW w:w="6445" w:type="dxa"/>
            <w:hideMark/>
          </w:tcPr>
          <w:p w14:paraId="67183616" w14:textId="5CBCA544" w:rsidR="000A55AA" w:rsidRDefault="000A55AA" w:rsidP="00D16A51">
            <w:pPr>
              <w:rPr>
                <w:rFonts w:ascii="Times New Roman" w:hAnsi="Times New Roman"/>
                <w:sz w:val="20"/>
              </w:rPr>
            </w:pPr>
            <w:r>
              <w:rPr>
                <w:rFonts w:ascii="Times New Roman" w:hAnsi="Times New Roman"/>
                <w:sz w:val="20"/>
              </w:rPr>
              <w:t xml:space="preserve">L’évaluation actuelle prise en compte par </w:t>
            </w:r>
            <w:r w:rsidR="003833AA">
              <w:rPr>
                <w:rFonts w:ascii="Times New Roman" w:hAnsi="Times New Roman"/>
                <w:sz w:val="20"/>
              </w:rPr>
              <w:t>l’O</w:t>
            </w:r>
            <w:r w:rsidR="00D16A51">
              <w:rPr>
                <w:rFonts w:ascii="Times New Roman" w:hAnsi="Times New Roman"/>
                <w:sz w:val="20"/>
              </w:rPr>
              <w:t>RPS</w:t>
            </w:r>
            <w:r>
              <w:rPr>
                <w:rFonts w:ascii="Times New Roman" w:hAnsi="Times New Roman"/>
                <w:sz w:val="20"/>
              </w:rPr>
              <w:t>.</w:t>
            </w:r>
          </w:p>
          <w:p w14:paraId="26DFCD20" w14:textId="77777777" w:rsidR="00E54DF8" w:rsidRPr="008B3312" w:rsidRDefault="00E54DF8" w:rsidP="00D16A51">
            <w:pPr>
              <w:rPr>
                <w:rFonts w:ascii="Times New Roman" w:hAnsi="Times New Roman" w:cs="Times New Roman"/>
                <w:sz w:val="20"/>
                <w:szCs w:val="20"/>
              </w:rPr>
            </w:pPr>
            <w:r>
              <w:rPr>
                <w:rFonts w:ascii="Times New Roman" w:hAnsi="Times New Roman"/>
                <w:sz w:val="20"/>
              </w:rPr>
              <w:t>Si une notation n’est pas attribuée, la cellule doit être laissée vide.</w:t>
            </w:r>
          </w:p>
        </w:tc>
      </w:tr>
      <w:tr w:rsidR="000A55AA" w:rsidRPr="008B3312" w14:paraId="5DE97F7C" w14:textId="77777777" w:rsidTr="00950116">
        <w:trPr>
          <w:trHeight w:val="330"/>
        </w:trPr>
        <w:tc>
          <w:tcPr>
            <w:tcW w:w="1079" w:type="dxa"/>
            <w:hideMark/>
          </w:tcPr>
          <w:p w14:paraId="3E1FDA8E" w14:textId="35972312" w:rsidR="000A55AA" w:rsidRPr="008B3312" w:rsidRDefault="000A55AA" w:rsidP="00950116">
            <w:pPr>
              <w:rPr>
                <w:rFonts w:ascii="Times New Roman" w:hAnsi="Times New Roman" w:cs="Times New Roman"/>
                <w:sz w:val="20"/>
                <w:szCs w:val="20"/>
              </w:rPr>
            </w:pPr>
            <w:r>
              <w:rPr>
                <w:rFonts w:ascii="Times New Roman" w:hAnsi="Times New Roman"/>
                <w:sz w:val="20"/>
              </w:rPr>
              <w:t>C022</w:t>
            </w:r>
            <w:r w:rsidR="00D16A51">
              <w:rPr>
                <w:rFonts w:ascii="Times New Roman" w:hAnsi="Times New Roman"/>
                <w:sz w:val="20"/>
              </w:rPr>
              <w:t>1</w:t>
            </w:r>
          </w:p>
        </w:tc>
        <w:tc>
          <w:tcPr>
            <w:tcW w:w="2290" w:type="dxa"/>
            <w:hideMark/>
          </w:tcPr>
          <w:p w14:paraId="67104FFA" w14:textId="022932D3" w:rsidR="000A55AA" w:rsidRPr="008B3312" w:rsidRDefault="00D16A51">
            <w:pPr>
              <w:rPr>
                <w:rFonts w:ascii="Times New Roman" w:hAnsi="Times New Roman" w:cs="Times New Roman"/>
                <w:sz w:val="20"/>
                <w:szCs w:val="20"/>
              </w:rPr>
            </w:pPr>
            <w:r>
              <w:rPr>
                <w:rFonts w:ascii="Times New Roman" w:hAnsi="Times New Roman"/>
                <w:sz w:val="20"/>
              </w:rPr>
              <w:t>Agence de notation</w:t>
            </w:r>
          </w:p>
        </w:tc>
        <w:tc>
          <w:tcPr>
            <w:tcW w:w="6445" w:type="dxa"/>
            <w:hideMark/>
          </w:tcPr>
          <w:p w14:paraId="77D91437" w14:textId="1FC3F4ED" w:rsidR="000A55AA" w:rsidRPr="008B3312" w:rsidRDefault="00E54DF8" w:rsidP="00E54DF8">
            <w:pPr>
              <w:rPr>
                <w:rFonts w:ascii="Times New Roman" w:hAnsi="Times New Roman" w:cs="Times New Roman"/>
                <w:sz w:val="20"/>
                <w:szCs w:val="20"/>
              </w:rPr>
            </w:pPr>
            <w:r>
              <w:rPr>
                <w:rFonts w:ascii="Times New Roman" w:hAnsi="Times New Roman"/>
                <w:sz w:val="20"/>
              </w:rPr>
              <w:t>Indiquer le nom de l</w:t>
            </w:r>
            <w:r w:rsidR="000A55AA">
              <w:rPr>
                <w:rFonts w:ascii="Times New Roman" w:hAnsi="Times New Roman"/>
                <w:sz w:val="20"/>
              </w:rPr>
              <w:t xml:space="preserve">’organisme qui évalue le réassureur et qui est pris en compte par </w:t>
            </w:r>
            <w:r w:rsidR="003833AA">
              <w:rPr>
                <w:rFonts w:ascii="Times New Roman" w:hAnsi="Times New Roman"/>
                <w:sz w:val="20"/>
              </w:rPr>
              <w:t>l’O</w:t>
            </w:r>
            <w:r w:rsidR="00D16A51">
              <w:rPr>
                <w:rFonts w:ascii="Times New Roman" w:hAnsi="Times New Roman"/>
                <w:sz w:val="20"/>
              </w:rPr>
              <w:t>RPS</w:t>
            </w:r>
            <w:r w:rsidR="000A55AA">
              <w:rPr>
                <w:rFonts w:ascii="Times New Roman" w:hAnsi="Times New Roman"/>
                <w:sz w:val="20"/>
              </w:rPr>
              <w:t>.</w:t>
            </w:r>
          </w:p>
        </w:tc>
      </w:tr>
    </w:tbl>
    <w:p w14:paraId="67991569" w14:textId="77777777" w:rsidR="000A55AA" w:rsidRPr="008B3312" w:rsidRDefault="000A55AA">
      <w:pPr>
        <w:rPr>
          <w:rFonts w:ascii="Times New Roman" w:hAnsi="Times New Roman" w:cs="Times New Roman"/>
          <w:sz w:val="20"/>
          <w:szCs w:val="20"/>
        </w:rPr>
      </w:pPr>
    </w:p>
    <w:p w14:paraId="53656652" w14:textId="25BE4ACB" w:rsidR="0046361A" w:rsidRDefault="003833AA" w:rsidP="00D16A51">
      <w:pPr>
        <w:rPr>
          <w:rFonts w:ascii="Times New Roman" w:hAnsi="Times New Roman"/>
          <w:b/>
          <w:sz w:val="20"/>
        </w:rPr>
      </w:pPr>
      <w:r>
        <w:rPr>
          <w:rFonts w:ascii="Times New Roman" w:hAnsi="Times New Roman"/>
          <w:b/>
          <w:sz w:val="20"/>
        </w:rPr>
        <w:t>Tableau de l’état</w:t>
      </w:r>
    </w:p>
    <w:p w14:paraId="36C2699A" w14:textId="6C9D2447" w:rsidR="003833AA" w:rsidRDefault="003833AA" w:rsidP="00D16A51">
      <w:pPr>
        <w:rPr>
          <w:rFonts w:ascii="Times New Roman" w:hAnsi="Times New Roman"/>
          <w:b/>
          <w:sz w:val="20"/>
        </w:rPr>
      </w:pPr>
      <w:r w:rsidRPr="003833AA">
        <w:rPr>
          <w:noProof/>
          <w:lang w:bidi="ar-SA"/>
        </w:rPr>
        <w:drawing>
          <wp:inline distT="0" distB="0" distL="0" distR="0" wp14:anchorId="6735049D" wp14:editId="6A3E3054">
            <wp:extent cx="6518565" cy="2667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3670" cy="2669089"/>
                    </a:xfrm>
                    <a:prstGeom prst="rect">
                      <a:avLst/>
                    </a:prstGeom>
                    <a:noFill/>
                    <a:ln>
                      <a:noFill/>
                    </a:ln>
                  </pic:spPr>
                </pic:pic>
              </a:graphicData>
            </a:graphic>
          </wp:inline>
        </w:drawing>
      </w:r>
    </w:p>
    <w:p w14:paraId="76C88871" w14:textId="77777777" w:rsidR="00637AB7" w:rsidRPr="00166F34" w:rsidRDefault="00637AB7" w:rsidP="0095672C">
      <w:pPr>
        <w:rPr>
          <w:rFonts w:ascii="Times New Roman" w:hAnsi="Times New Roman"/>
        </w:rPr>
      </w:pPr>
    </w:p>
    <w:sectPr w:rsidR="00637AB7"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C106E"/>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4EDB"/>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5A58"/>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33AA"/>
    <w:rsid w:val="0038399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663FD"/>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856BD"/>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F75071CF-B330-4921-9E23-BB6FFE14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67AA28DC-B731-4D3C-9CE9-C42B5CFD3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878</Words>
  <Characters>4834</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2024-03-12T09:06:00Z</dcterms:created>
  <dcterms:modified xsi:type="dcterms:W3CDTF">2024-03-12T09:06:00Z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