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B7112" w14:textId="77777777" w:rsidR="008161EF" w:rsidRDefault="008161EF" w:rsidP="00950116">
      <w:pPr>
        <w:rPr>
          <w:rFonts w:ascii="Times New Roman" w:hAnsi="Times New Roman"/>
          <w:b/>
          <w:sz w:val="20"/>
        </w:rPr>
      </w:pPr>
      <w:bookmarkStart w:id="0" w:name="_GoBack"/>
      <w:bookmarkEnd w:id="0"/>
    </w:p>
    <w:p w14:paraId="5CCC4E09" w14:textId="3E16C4B8" w:rsidR="0095672C" w:rsidRPr="008B3312" w:rsidRDefault="00940479" w:rsidP="00950116">
      <w:pPr>
        <w:rPr>
          <w:rFonts w:ascii="Times New Roman" w:hAnsi="Times New Roman" w:cs="Times New Roman"/>
          <w:b/>
          <w:sz w:val="20"/>
          <w:szCs w:val="20"/>
        </w:rPr>
      </w:pPr>
      <w:commentRangeStart w:id="1"/>
      <w:r>
        <w:rPr>
          <w:rFonts w:ascii="Times New Roman" w:hAnsi="Times New Roman"/>
          <w:b/>
          <w:sz w:val="20"/>
        </w:rPr>
        <w:t>RP.0</w:t>
      </w:r>
      <w:r w:rsidR="0095672C">
        <w:rPr>
          <w:rFonts w:ascii="Times New Roman" w:hAnsi="Times New Roman"/>
          <w:b/>
          <w:sz w:val="20"/>
        </w:rPr>
        <w:t>5.01</w:t>
      </w:r>
      <w:r w:rsidR="00CA57BB">
        <w:rPr>
          <w:rFonts w:ascii="Times New Roman" w:hAnsi="Times New Roman"/>
          <w:b/>
          <w:sz w:val="20"/>
        </w:rPr>
        <w:t>.01</w:t>
      </w:r>
      <w:r w:rsidR="0095672C">
        <w:rPr>
          <w:rFonts w:ascii="Times New Roman" w:hAnsi="Times New Roman"/>
          <w:b/>
          <w:sz w:val="20"/>
        </w:rPr>
        <w:t xml:space="preserve"> – Primes, sinistres et dépenses par </w:t>
      </w:r>
      <w:r w:rsidR="00144777">
        <w:rPr>
          <w:rFonts w:ascii="Times New Roman" w:hAnsi="Times New Roman"/>
          <w:b/>
          <w:sz w:val="20"/>
        </w:rPr>
        <w:t>type de risque</w:t>
      </w:r>
      <w:commentRangeEnd w:id="1"/>
      <w:r w:rsidR="00E866C7">
        <w:rPr>
          <w:rStyle w:val="Marquedecommentaire"/>
        </w:rPr>
        <w:commentReference w:id="1"/>
      </w:r>
    </w:p>
    <w:p w14:paraId="24DA9493" w14:textId="77777777" w:rsidR="0095672C" w:rsidRPr="008B3312" w:rsidRDefault="0095672C">
      <w:pPr>
        <w:rPr>
          <w:rFonts w:ascii="Times New Roman" w:hAnsi="Times New Roman" w:cs="Times New Roman"/>
          <w:b/>
          <w:sz w:val="20"/>
          <w:szCs w:val="20"/>
        </w:rPr>
      </w:pPr>
      <w:r>
        <w:rPr>
          <w:rFonts w:ascii="Times New Roman" w:hAnsi="Times New Roman"/>
          <w:b/>
          <w:sz w:val="20"/>
        </w:rPr>
        <w:t>Observations générales</w:t>
      </w:r>
    </w:p>
    <w:p w14:paraId="5C9D2921" w14:textId="5CA034F2" w:rsidR="0095672C" w:rsidRPr="008B3312" w:rsidRDefault="0095672C" w:rsidP="00950116">
      <w:pPr>
        <w:jc w:val="both"/>
        <w:rPr>
          <w:rFonts w:ascii="Times New Roman" w:hAnsi="Times New Roman" w:cs="Times New Roman"/>
          <w:sz w:val="20"/>
          <w:szCs w:val="20"/>
        </w:rPr>
      </w:pPr>
      <w:r>
        <w:rPr>
          <w:rFonts w:ascii="Times New Roman" w:hAnsi="Times New Roman"/>
          <w:sz w:val="20"/>
        </w:rPr>
        <w:t xml:space="preserve">Ce modèle doit être complété dans une perspective comptable, à </w:t>
      </w:r>
      <w:proofErr w:type="gramStart"/>
      <w:r>
        <w:rPr>
          <w:rFonts w:ascii="Times New Roman" w:hAnsi="Times New Roman"/>
          <w:sz w:val="20"/>
        </w:rPr>
        <w:t>savoir:</w:t>
      </w:r>
      <w:proofErr w:type="gramEnd"/>
      <w:r>
        <w:rPr>
          <w:rFonts w:ascii="Times New Roman" w:hAnsi="Times New Roman"/>
          <w:sz w:val="20"/>
        </w:rPr>
        <w:t xml:space="preserve"> référentiel comptable national ou IFRS si acceptées en tant que référentiel comptable national</w:t>
      </w:r>
      <w:r w:rsidR="00EB37FF">
        <w:rPr>
          <w:rFonts w:ascii="Times New Roman" w:hAnsi="Times New Roman"/>
          <w:sz w:val="20"/>
        </w:rPr>
        <w:t>.</w:t>
      </w:r>
      <w:r>
        <w:rPr>
          <w:rFonts w:ascii="Times New Roman" w:hAnsi="Times New Roman"/>
          <w:sz w:val="20"/>
        </w:rPr>
        <w:t xml:space="preserve"> </w:t>
      </w:r>
      <w:r w:rsidR="00D04203">
        <w:rPr>
          <w:rFonts w:ascii="Times New Roman" w:hAnsi="Times New Roman"/>
          <w:sz w:val="20"/>
        </w:rPr>
        <w:t>Les O</w:t>
      </w:r>
      <w:r w:rsidR="00EB37FF">
        <w:rPr>
          <w:rFonts w:ascii="Times New Roman" w:hAnsi="Times New Roman"/>
          <w:sz w:val="20"/>
        </w:rPr>
        <w:t xml:space="preserve">RPS </w:t>
      </w:r>
      <w:r>
        <w:rPr>
          <w:rFonts w:ascii="Times New Roman" w:hAnsi="Times New Roman"/>
          <w:sz w:val="20"/>
        </w:rPr>
        <w:t>doivent utiliser la même base de comptabilisation et de valorisation que dans leurs états financiers publiés et ne doivent donc pas procéder à une nouvelle comptabilisation ou valorisation. Les informations sont à présenter sur une base cumulée depuis le début de l’exercice.</w:t>
      </w:r>
    </w:p>
    <w:p w14:paraId="143FB853" w14:textId="5E156A8F" w:rsidR="0095672C" w:rsidRPr="008B3312" w:rsidRDefault="0095672C" w:rsidP="00950116">
      <w:pPr>
        <w:jc w:val="both"/>
        <w:rPr>
          <w:rFonts w:ascii="Times New Roman" w:hAnsi="Times New Roman"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953"/>
      </w:tblGrid>
      <w:tr w:rsidR="0095672C" w:rsidRPr="008B3312" w14:paraId="43CFF88C" w14:textId="77777777" w:rsidTr="00950116">
        <w:trPr>
          <w:tblHeader/>
        </w:trPr>
        <w:tc>
          <w:tcPr>
            <w:tcW w:w="1526" w:type="dxa"/>
            <w:tcBorders>
              <w:top w:val="single" w:sz="4" w:space="0" w:color="auto"/>
              <w:left w:val="single" w:sz="4" w:space="0" w:color="auto"/>
              <w:bottom w:val="single" w:sz="4" w:space="0" w:color="auto"/>
              <w:right w:val="single" w:sz="4" w:space="0" w:color="auto"/>
            </w:tcBorders>
          </w:tcPr>
          <w:p w14:paraId="6B8EF9C1" w14:textId="77777777" w:rsidR="0095672C" w:rsidRPr="008B3312" w:rsidRDefault="0095672C" w:rsidP="00950116">
            <w:pPr>
              <w:spacing w:after="0" w:line="240" w:lineRule="auto"/>
              <w:jc w:val="center"/>
              <w:rPr>
                <w:rFonts w:ascii="Times New Roman" w:hAnsi="Times New Roman" w:cs="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7104464" w14:textId="77777777" w:rsidR="0095672C" w:rsidRPr="008B3312" w:rsidRDefault="0095672C" w:rsidP="00950116">
            <w:pPr>
              <w:spacing w:after="0" w:line="240" w:lineRule="auto"/>
              <w:jc w:val="center"/>
              <w:rPr>
                <w:rFonts w:ascii="Times New Roman" w:hAnsi="Times New Roman" w:cs="Times New Roman"/>
                <w:b/>
                <w:sz w:val="20"/>
                <w:szCs w:val="20"/>
              </w:rPr>
            </w:pPr>
            <w:r>
              <w:rPr>
                <w:rFonts w:ascii="Times New Roman" w:hAnsi="Times New Roman"/>
                <w:b/>
                <w:sz w:val="20"/>
              </w:rPr>
              <w:t>ÉLÉMENT À DÉCLARER</w:t>
            </w:r>
          </w:p>
        </w:tc>
        <w:tc>
          <w:tcPr>
            <w:tcW w:w="5953" w:type="dxa"/>
            <w:tcBorders>
              <w:top w:val="single" w:sz="4" w:space="0" w:color="auto"/>
              <w:left w:val="single" w:sz="4" w:space="0" w:color="auto"/>
              <w:bottom w:val="single" w:sz="4" w:space="0" w:color="auto"/>
              <w:right w:val="single" w:sz="4" w:space="0" w:color="auto"/>
            </w:tcBorders>
            <w:vAlign w:val="center"/>
          </w:tcPr>
          <w:p w14:paraId="761CA417" w14:textId="77777777" w:rsidR="0095672C" w:rsidRPr="008B3312" w:rsidRDefault="0095672C" w:rsidP="00950116">
            <w:pPr>
              <w:spacing w:after="0" w:line="240" w:lineRule="auto"/>
              <w:jc w:val="center"/>
              <w:rPr>
                <w:rFonts w:ascii="Times New Roman" w:hAnsi="Times New Roman" w:cs="Times New Roman"/>
                <w:b/>
                <w:sz w:val="20"/>
                <w:szCs w:val="20"/>
              </w:rPr>
            </w:pPr>
            <w:r>
              <w:rPr>
                <w:rFonts w:ascii="Times New Roman" w:hAnsi="Times New Roman"/>
                <w:b/>
                <w:sz w:val="20"/>
              </w:rPr>
              <w:t>INSTRUCTIONS</w:t>
            </w:r>
          </w:p>
        </w:tc>
      </w:tr>
      <w:tr w:rsidR="0095672C" w:rsidRPr="008B3312" w14:paraId="4B42EC99" w14:textId="77777777" w:rsidTr="008161EF">
        <w:trPr>
          <w:trHeight w:val="558"/>
        </w:trPr>
        <w:tc>
          <w:tcPr>
            <w:tcW w:w="9180" w:type="dxa"/>
            <w:gridSpan w:val="3"/>
            <w:tcBorders>
              <w:top w:val="single" w:sz="4" w:space="0" w:color="auto"/>
              <w:left w:val="nil"/>
              <w:bottom w:val="single" w:sz="4" w:space="0" w:color="auto"/>
              <w:right w:val="nil"/>
            </w:tcBorders>
          </w:tcPr>
          <w:p w14:paraId="1C7EE5CF" w14:textId="3407E697" w:rsidR="0095672C" w:rsidRPr="008B3312" w:rsidRDefault="008161EF" w:rsidP="00A75F78">
            <w:pPr>
              <w:spacing w:before="120" w:after="120" w:line="240" w:lineRule="auto"/>
              <w:jc w:val="both"/>
              <w:rPr>
                <w:rFonts w:ascii="Times New Roman" w:hAnsi="Times New Roman" w:cs="Times New Roman"/>
                <w:b/>
                <w:sz w:val="20"/>
                <w:szCs w:val="20"/>
              </w:rPr>
            </w:pPr>
            <w:r>
              <w:rPr>
                <w:rFonts w:ascii="Times New Roman" w:hAnsi="Times New Roman"/>
                <w:b/>
                <w:sz w:val="20"/>
              </w:rPr>
              <w:t>Engagements de retraite</w:t>
            </w:r>
          </w:p>
        </w:tc>
      </w:tr>
      <w:tr w:rsidR="00A75F78" w:rsidRPr="008B3312" w14:paraId="32F98BD2" w14:textId="77777777" w:rsidTr="00950116">
        <w:tc>
          <w:tcPr>
            <w:tcW w:w="1526" w:type="dxa"/>
            <w:tcBorders>
              <w:top w:val="single" w:sz="4" w:space="0" w:color="auto"/>
              <w:left w:val="single" w:sz="4" w:space="0" w:color="auto"/>
              <w:bottom w:val="single" w:sz="4" w:space="0" w:color="auto"/>
              <w:right w:val="single" w:sz="4" w:space="0" w:color="auto"/>
            </w:tcBorders>
          </w:tcPr>
          <w:p w14:paraId="0327F8E3" w14:textId="3B5FD634"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C0550 à C0600/R1410</w:t>
            </w:r>
          </w:p>
        </w:tc>
        <w:tc>
          <w:tcPr>
            <w:tcW w:w="1701" w:type="dxa"/>
            <w:tcBorders>
              <w:top w:val="single" w:sz="4" w:space="0" w:color="auto"/>
              <w:left w:val="single" w:sz="4" w:space="0" w:color="auto"/>
              <w:bottom w:val="single" w:sz="4" w:space="0" w:color="auto"/>
              <w:right w:val="single" w:sz="4" w:space="0" w:color="auto"/>
            </w:tcBorders>
          </w:tcPr>
          <w:p w14:paraId="2F83CB72"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 xml:space="preserve">Primes émises – Brutes </w:t>
            </w:r>
          </w:p>
        </w:tc>
        <w:tc>
          <w:tcPr>
            <w:tcW w:w="5953" w:type="dxa"/>
            <w:tcBorders>
              <w:top w:val="single" w:sz="4" w:space="0" w:color="auto"/>
              <w:left w:val="single" w:sz="4" w:space="0" w:color="auto"/>
              <w:bottom w:val="single" w:sz="4" w:space="0" w:color="auto"/>
              <w:right w:val="single" w:sz="4" w:space="0" w:color="auto"/>
            </w:tcBorders>
          </w:tcPr>
          <w:p w14:paraId="6E20A9FB" w14:textId="77777777" w:rsidR="00A75F78" w:rsidRPr="008B3312" w:rsidRDefault="00A75F78" w:rsidP="00950116">
            <w:pPr>
              <w:spacing w:after="0" w:line="240" w:lineRule="auto"/>
              <w:jc w:val="both"/>
              <w:rPr>
                <w:rFonts w:ascii="Times New Roman" w:hAnsi="Times New Roman" w:cs="Times New Roman"/>
                <w:sz w:val="20"/>
                <w:szCs w:val="20"/>
              </w:rPr>
            </w:pPr>
            <w:r>
              <w:rPr>
                <w:rFonts w:ascii="Times New Roman" w:hAnsi="Times New Roman"/>
                <w:sz w:val="20"/>
              </w:rPr>
              <w:t xml:space="preserve">Primes émises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les primes brutes émises comprennent tous les montants échus pendant l’exercice pour les contrats d’assurance, indépendamment du fait que ces montants peuvent se rapporter entièrement ou en partie à un exercice ultérieur.</w:t>
            </w:r>
          </w:p>
          <w:p w14:paraId="762603A8" w14:textId="77777777" w:rsidR="00A75F78" w:rsidRPr="008B3312" w:rsidRDefault="00A75F78" w:rsidP="00950116">
            <w:pPr>
              <w:spacing w:after="0" w:line="240" w:lineRule="auto"/>
              <w:jc w:val="both"/>
              <w:rPr>
                <w:rFonts w:ascii="Times New Roman" w:hAnsi="Times New Roman" w:cs="Times New Roman"/>
                <w:sz w:val="20"/>
                <w:szCs w:val="20"/>
              </w:rPr>
            </w:pPr>
          </w:p>
          <w:p w14:paraId="2B673F71" w14:textId="77777777" w:rsidR="00A75F78" w:rsidRPr="008B3312" w:rsidRDefault="00A75F78" w:rsidP="00950116">
            <w:pPr>
              <w:spacing w:after="0" w:line="240" w:lineRule="auto"/>
              <w:jc w:val="both"/>
              <w:rPr>
                <w:rFonts w:ascii="Times New Roman" w:hAnsi="Times New Roman" w:cs="Times New Roman"/>
                <w:sz w:val="20"/>
                <w:szCs w:val="20"/>
              </w:rPr>
            </w:pPr>
            <w:r>
              <w:rPr>
                <w:rFonts w:ascii="Times New Roman" w:hAnsi="Times New Roman"/>
                <w:sz w:val="20"/>
              </w:rPr>
              <w:t>Sont ici visés les montants liés à la fois à l’assurance directe et à la réassurance.</w:t>
            </w:r>
          </w:p>
        </w:tc>
      </w:tr>
      <w:tr w:rsidR="00A75F78" w:rsidRPr="008B3312" w14:paraId="16BBAB21" w14:textId="77777777" w:rsidTr="00950116">
        <w:tc>
          <w:tcPr>
            <w:tcW w:w="1526" w:type="dxa"/>
            <w:tcBorders>
              <w:top w:val="single" w:sz="4" w:space="0" w:color="auto"/>
              <w:right w:val="single" w:sz="4" w:space="0" w:color="000000"/>
            </w:tcBorders>
          </w:tcPr>
          <w:p w14:paraId="2A75D2DA" w14:textId="66A95F5B"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C0550 à C0600/R1420</w:t>
            </w:r>
          </w:p>
          <w:p w14:paraId="0526CDB1" w14:textId="77777777" w:rsidR="00A75F78" w:rsidRPr="008B3312" w:rsidRDefault="00A75F78" w:rsidP="00950116">
            <w:pPr>
              <w:spacing w:after="0" w:line="240" w:lineRule="auto"/>
              <w:rPr>
                <w:rFonts w:ascii="Times New Roman" w:hAnsi="Times New Roman" w:cs="Times New Roman"/>
                <w:sz w:val="20"/>
                <w:szCs w:val="20"/>
              </w:rPr>
            </w:pPr>
          </w:p>
        </w:tc>
        <w:tc>
          <w:tcPr>
            <w:tcW w:w="1701" w:type="dxa"/>
            <w:tcBorders>
              <w:top w:val="single" w:sz="4" w:space="0" w:color="auto"/>
              <w:left w:val="single" w:sz="4" w:space="0" w:color="000000"/>
              <w:right w:val="single" w:sz="4" w:space="0" w:color="000000"/>
            </w:tcBorders>
          </w:tcPr>
          <w:p w14:paraId="3CADA045"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Primes émises – Part des réassureurs</w:t>
            </w:r>
          </w:p>
        </w:tc>
        <w:tc>
          <w:tcPr>
            <w:tcW w:w="5953" w:type="dxa"/>
            <w:tcBorders>
              <w:top w:val="single" w:sz="4" w:space="0" w:color="auto"/>
              <w:left w:val="single" w:sz="4" w:space="0" w:color="000000"/>
              <w:right w:val="single" w:sz="4" w:space="0" w:color="000000"/>
            </w:tcBorders>
          </w:tcPr>
          <w:p w14:paraId="6BEA4DE8" w14:textId="77777777" w:rsidR="00A75F78" w:rsidRPr="008B3312" w:rsidRDefault="00A75F78" w:rsidP="00950116">
            <w:pPr>
              <w:spacing w:after="0" w:line="240" w:lineRule="auto"/>
              <w:jc w:val="both"/>
              <w:rPr>
                <w:rFonts w:ascii="Times New Roman" w:hAnsi="Times New Roman" w:cs="Times New Roman"/>
                <w:sz w:val="20"/>
                <w:szCs w:val="20"/>
              </w:rPr>
            </w:pPr>
            <w:r>
              <w:rPr>
                <w:rFonts w:ascii="Times New Roman" w:hAnsi="Times New Roman"/>
                <w:sz w:val="20"/>
              </w:rPr>
              <w:t xml:space="preserve">Primes émises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est ici visé le montant total des primes brutes émises cédées aux réassureurs pendant l’exercice, indépendamment du fait que ces montants peuvent se rapporter entièrement ou en partie à un exercice ultérieur.</w:t>
            </w:r>
          </w:p>
        </w:tc>
      </w:tr>
      <w:tr w:rsidR="00A75F78" w:rsidRPr="008B3312" w14:paraId="750167EE" w14:textId="77777777" w:rsidTr="00950116">
        <w:tc>
          <w:tcPr>
            <w:tcW w:w="1526" w:type="dxa"/>
            <w:tcBorders>
              <w:right w:val="single" w:sz="4" w:space="0" w:color="000000"/>
            </w:tcBorders>
          </w:tcPr>
          <w:p w14:paraId="38A0CF8E" w14:textId="0ABC176E"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C0550 à C0600/R1500</w:t>
            </w:r>
          </w:p>
        </w:tc>
        <w:tc>
          <w:tcPr>
            <w:tcW w:w="1701" w:type="dxa"/>
            <w:tcBorders>
              <w:left w:val="single" w:sz="4" w:space="0" w:color="000000"/>
              <w:right w:val="single" w:sz="4" w:space="0" w:color="000000"/>
            </w:tcBorders>
          </w:tcPr>
          <w:p w14:paraId="0C4747C4"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Primes émises – Nettes</w:t>
            </w:r>
          </w:p>
        </w:tc>
        <w:tc>
          <w:tcPr>
            <w:tcW w:w="5953" w:type="dxa"/>
            <w:tcBorders>
              <w:left w:val="single" w:sz="4" w:space="0" w:color="000000"/>
              <w:right w:val="single" w:sz="4" w:space="0" w:color="000000"/>
            </w:tcBorders>
          </w:tcPr>
          <w:p w14:paraId="2598E121" w14:textId="77777777" w:rsidR="00A75F78" w:rsidRPr="008B3312" w:rsidRDefault="00A75F78" w:rsidP="00950116">
            <w:pPr>
              <w:spacing w:after="0" w:line="240" w:lineRule="auto"/>
              <w:jc w:val="both"/>
              <w:rPr>
                <w:rFonts w:ascii="Times New Roman" w:hAnsi="Times New Roman" w:cs="Times New Roman"/>
                <w:sz w:val="20"/>
                <w:szCs w:val="20"/>
              </w:rPr>
            </w:pPr>
            <w:r>
              <w:rPr>
                <w:rFonts w:ascii="Times New Roman" w:hAnsi="Times New Roman"/>
                <w:sz w:val="20"/>
              </w:rPr>
              <w:t xml:space="preserve">Primes émises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les primes nettes émises correspondent à la somme des primes brutes d’assurance directe et de réassurance acceptée, diminuée des primes cédées aux réassureurs. </w:t>
            </w:r>
          </w:p>
        </w:tc>
      </w:tr>
      <w:tr w:rsidR="00A75F78" w:rsidRPr="008B3312" w14:paraId="0050A54B" w14:textId="77777777" w:rsidTr="00950116">
        <w:tc>
          <w:tcPr>
            <w:tcW w:w="1526" w:type="dxa"/>
            <w:tcBorders>
              <w:right w:val="single" w:sz="4" w:space="0" w:color="000000"/>
            </w:tcBorders>
          </w:tcPr>
          <w:p w14:paraId="51FD1776" w14:textId="6CDB839E"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C0550 à C0600/R1510</w:t>
            </w:r>
          </w:p>
        </w:tc>
        <w:tc>
          <w:tcPr>
            <w:tcW w:w="1701" w:type="dxa"/>
            <w:tcBorders>
              <w:left w:val="single" w:sz="4" w:space="0" w:color="000000"/>
              <w:right w:val="single" w:sz="4" w:space="0" w:color="000000"/>
            </w:tcBorders>
          </w:tcPr>
          <w:p w14:paraId="7579E966"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 xml:space="preserve">Primes acquises – Brutes </w:t>
            </w:r>
          </w:p>
          <w:p w14:paraId="60FBDE98" w14:textId="77777777" w:rsidR="00A75F78" w:rsidRPr="008B3312" w:rsidRDefault="00A75F78" w:rsidP="00950116">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399766D4" w14:textId="77777777" w:rsidR="00A75F78" w:rsidRPr="008B3312" w:rsidRDefault="00A75F78" w:rsidP="00950116">
            <w:pPr>
              <w:spacing w:after="0" w:line="240" w:lineRule="auto"/>
              <w:jc w:val="both"/>
              <w:rPr>
                <w:rFonts w:ascii="Times New Roman" w:hAnsi="Times New Roman" w:cs="Times New Roman"/>
                <w:sz w:val="20"/>
                <w:szCs w:val="20"/>
                <w:highlight w:val="yellow"/>
              </w:rPr>
            </w:pPr>
            <w:r>
              <w:rPr>
                <w:rFonts w:ascii="Times New Roman" w:hAnsi="Times New Roman"/>
                <w:sz w:val="20"/>
              </w:rPr>
              <w:t xml:space="preserve">Primes acquises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correspond à la somme des primes brutes émises, diminuée de la variation de la provision brute pour primes non acquises. Sont ici visés les montants liés à l’assurance directe et à la réassurance acceptée.</w:t>
            </w:r>
          </w:p>
        </w:tc>
      </w:tr>
      <w:tr w:rsidR="00A75F78" w:rsidRPr="008B3312" w14:paraId="234DD536" w14:textId="77777777" w:rsidTr="00950116">
        <w:tc>
          <w:tcPr>
            <w:tcW w:w="1526" w:type="dxa"/>
            <w:tcBorders>
              <w:right w:val="single" w:sz="4" w:space="0" w:color="000000"/>
            </w:tcBorders>
          </w:tcPr>
          <w:p w14:paraId="30E1CC4B" w14:textId="3C552821"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C0550 à C0600/R1520</w:t>
            </w:r>
          </w:p>
        </w:tc>
        <w:tc>
          <w:tcPr>
            <w:tcW w:w="1701" w:type="dxa"/>
            <w:tcBorders>
              <w:left w:val="single" w:sz="4" w:space="0" w:color="000000"/>
              <w:right w:val="single" w:sz="4" w:space="0" w:color="000000"/>
            </w:tcBorders>
          </w:tcPr>
          <w:p w14:paraId="61672CDE"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Primes acquises – Part des réassureurs</w:t>
            </w:r>
          </w:p>
          <w:p w14:paraId="4E311DC9" w14:textId="77777777" w:rsidR="00A75F78" w:rsidRPr="008B3312" w:rsidRDefault="00A75F78" w:rsidP="00950116">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4D507964" w14:textId="77777777" w:rsidR="00A75F78" w:rsidRPr="008B3312" w:rsidRDefault="00A75F78" w:rsidP="00950116">
            <w:pPr>
              <w:spacing w:after="0" w:line="240" w:lineRule="auto"/>
              <w:jc w:val="both"/>
              <w:rPr>
                <w:rFonts w:ascii="Times New Roman" w:hAnsi="Times New Roman" w:cs="Times New Roman"/>
                <w:sz w:val="20"/>
                <w:szCs w:val="20"/>
                <w:highlight w:val="yellow"/>
              </w:rPr>
            </w:pPr>
            <w:r>
              <w:rPr>
                <w:rFonts w:ascii="Times New Roman" w:hAnsi="Times New Roman"/>
                <w:sz w:val="20"/>
              </w:rPr>
              <w:t xml:space="preserve">Primes acquises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correspond à la part des réassureurs dans les primes brutes émises, diminuée de la variation de la part des réassureurs dans la provision pour primes non acquises.</w:t>
            </w:r>
          </w:p>
        </w:tc>
      </w:tr>
      <w:tr w:rsidR="00A75F78" w:rsidRPr="008B3312" w14:paraId="039C0F52" w14:textId="77777777" w:rsidTr="00950116">
        <w:tc>
          <w:tcPr>
            <w:tcW w:w="1526" w:type="dxa"/>
            <w:tcBorders>
              <w:right w:val="single" w:sz="4" w:space="0" w:color="000000"/>
            </w:tcBorders>
          </w:tcPr>
          <w:p w14:paraId="7BF930F6" w14:textId="29F14AD6"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C0550 à C0600/R1600</w:t>
            </w:r>
          </w:p>
        </w:tc>
        <w:tc>
          <w:tcPr>
            <w:tcW w:w="1701" w:type="dxa"/>
            <w:tcBorders>
              <w:left w:val="single" w:sz="4" w:space="0" w:color="000000"/>
              <w:right w:val="single" w:sz="4" w:space="0" w:color="000000"/>
            </w:tcBorders>
          </w:tcPr>
          <w:p w14:paraId="21D83DFD"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Primes acquises – Nettes</w:t>
            </w:r>
          </w:p>
          <w:p w14:paraId="7FCEC6AF" w14:textId="77777777" w:rsidR="00A75F78" w:rsidRPr="008B3312" w:rsidRDefault="00A75F78" w:rsidP="00950116">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3AA9151F" w14:textId="77777777" w:rsidR="00A75F78" w:rsidRPr="008B3312" w:rsidRDefault="00A75F78" w:rsidP="00950116">
            <w:pPr>
              <w:spacing w:after="0" w:line="240" w:lineRule="auto"/>
              <w:jc w:val="both"/>
              <w:rPr>
                <w:rFonts w:ascii="Times New Roman" w:hAnsi="Times New Roman" w:cs="Times New Roman"/>
                <w:sz w:val="20"/>
                <w:szCs w:val="20"/>
                <w:highlight w:val="yellow"/>
              </w:rPr>
            </w:pPr>
            <w:r>
              <w:rPr>
                <w:rFonts w:ascii="Times New Roman" w:hAnsi="Times New Roman"/>
                <w:sz w:val="20"/>
              </w:rPr>
              <w:t xml:space="preserve">Primes acquises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correspond à la somme des primes brutes émises, diminuée de la variation de la provision brute pour primes non acquises. Est ici visée la somme des montants liés à l’assurance directe et à la réassurance acceptée, diminuée des montants cédés aux réassureurs. </w:t>
            </w:r>
          </w:p>
        </w:tc>
      </w:tr>
      <w:tr w:rsidR="00A75F78" w:rsidRPr="008B3312" w14:paraId="6C14B1EE" w14:textId="77777777" w:rsidTr="00950116">
        <w:tc>
          <w:tcPr>
            <w:tcW w:w="1526" w:type="dxa"/>
            <w:tcBorders>
              <w:right w:val="single" w:sz="4" w:space="0" w:color="000000"/>
            </w:tcBorders>
          </w:tcPr>
          <w:p w14:paraId="15047417" w14:textId="28D0CD35"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C0550 à C0600/R1610</w:t>
            </w:r>
          </w:p>
        </w:tc>
        <w:tc>
          <w:tcPr>
            <w:tcW w:w="1701" w:type="dxa"/>
            <w:tcBorders>
              <w:left w:val="single" w:sz="4" w:space="0" w:color="000000"/>
              <w:right w:val="single" w:sz="4" w:space="0" w:color="000000"/>
            </w:tcBorders>
          </w:tcPr>
          <w:p w14:paraId="66E64BC7"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 xml:space="preserve">Charge des sinistres – Brute </w:t>
            </w:r>
          </w:p>
          <w:p w14:paraId="2BF5FEB1" w14:textId="77777777" w:rsidR="00A75F78" w:rsidRPr="008B3312" w:rsidDel="00864227" w:rsidRDefault="00A75F78" w:rsidP="00950116">
            <w:pPr>
              <w:spacing w:after="0" w:line="240" w:lineRule="auto"/>
              <w:rPr>
                <w:rFonts w:ascii="Times New Roman" w:hAnsi="Times New Roman" w:cs="Times New Roman"/>
                <w:sz w:val="20"/>
                <w:szCs w:val="20"/>
              </w:rPr>
            </w:pPr>
          </w:p>
          <w:p w14:paraId="17388746" w14:textId="77777777" w:rsidR="00A75F78" w:rsidRPr="008B3312" w:rsidDel="00864227" w:rsidRDefault="00A75F78" w:rsidP="00950116">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6EAA3A08" w14:textId="77777777" w:rsidR="00A75F78" w:rsidRPr="008B3312" w:rsidRDefault="00A75F78" w:rsidP="00950116">
            <w:pPr>
              <w:spacing w:after="0" w:line="240" w:lineRule="auto"/>
              <w:jc w:val="both"/>
              <w:rPr>
                <w:rFonts w:ascii="Times New Roman" w:hAnsi="Times New Roman" w:cs="Times New Roman"/>
                <w:sz w:val="20"/>
                <w:szCs w:val="20"/>
              </w:rPr>
            </w:pPr>
            <w:r>
              <w:rPr>
                <w:rFonts w:ascii="Times New Roman" w:hAnsi="Times New Roman"/>
                <w:sz w:val="20"/>
              </w:rPr>
              <w:t>Charge des sinistres au titre de l’exercice, au sens de la directive 91/674/</w:t>
            </w:r>
            <w:proofErr w:type="gramStart"/>
            <w:r>
              <w:rPr>
                <w:rFonts w:ascii="Times New Roman" w:hAnsi="Times New Roman"/>
                <w:sz w:val="20"/>
              </w:rPr>
              <w:t>CEE:</w:t>
            </w:r>
            <w:proofErr w:type="gramEnd"/>
            <w:r>
              <w:rPr>
                <w:rFonts w:ascii="Times New Roman" w:hAnsi="Times New Roman"/>
                <w:sz w:val="20"/>
              </w:rPr>
              <w:t xml:space="preserve"> la charge des sinistres est égale au total des indemnités versées au titre de l’exercice et de la variation de la provision pour sinistres durant cet exercice. Sont ici visés les montants liés à l’assurance directe et à la réassurance.</w:t>
            </w:r>
          </w:p>
          <w:p w14:paraId="13812830" w14:textId="77777777" w:rsidR="00A75F78" w:rsidRPr="008B3312" w:rsidRDefault="00A75F78" w:rsidP="00950116">
            <w:pPr>
              <w:spacing w:after="0" w:line="240" w:lineRule="auto"/>
              <w:jc w:val="both"/>
              <w:rPr>
                <w:rFonts w:ascii="Times New Roman" w:hAnsi="Times New Roman" w:cs="Times New Roman"/>
                <w:sz w:val="20"/>
                <w:szCs w:val="20"/>
              </w:rPr>
            </w:pPr>
          </w:p>
          <w:p w14:paraId="5CEF86D6" w14:textId="77777777" w:rsidR="00A75F78" w:rsidRPr="008B3312" w:rsidDel="00864227" w:rsidRDefault="00A75F78" w:rsidP="00950116">
            <w:pPr>
              <w:spacing w:after="0" w:line="240" w:lineRule="auto"/>
              <w:jc w:val="both"/>
              <w:rPr>
                <w:rFonts w:ascii="Times New Roman" w:hAnsi="Times New Roman" w:cs="Times New Roman"/>
                <w:sz w:val="20"/>
                <w:szCs w:val="20"/>
                <w:highlight w:val="yellow"/>
              </w:rPr>
            </w:pPr>
            <w:r>
              <w:rPr>
                <w:rFonts w:ascii="Times New Roman" w:hAnsi="Times New Roman"/>
                <w:sz w:val="20"/>
              </w:rPr>
              <w:t>Exclut les frais de gestion des sinistres et la variation des provisions pour frais de gestion des sinistres.</w:t>
            </w:r>
          </w:p>
        </w:tc>
      </w:tr>
      <w:tr w:rsidR="00A75F78" w:rsidRPr="008B3312" w14:paraId="547643C8" w14:textId="77777777" w:rsidTr="00950116">
        <w:tc>
          <w:tcPr>
            <w:tcW w:w="1526" w:type="dxa"/>
            <w:tcBorders>
              <w:right w:val="single" w:sz="4" w:space="0" w:color="000000"/>
            </w:tcBorders>
          </w:tcPr>
          <w:p w14:paraId="70FAF0C4" w14:textId="6D5D3F72"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C0550 à C0600/R1620</w:t>
            </w:r>
          </w:p>
        </w:tc>
        <w:tc>
          <w:tcPr>
            <w:tcW w:w="1701" w:type="dxa"/>
            <w:tcBorders>
              <w:left w:val="single" w:sz="4" w:space="0" w:color="000000"/>
              <w:right w:val="single" w:sz="4" w:space="0" w:color="000000"/>
            </w:tcBorders>
          </w:tcPr>
          <w:p w14:paraId="65F39267"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Charge des sinistres – Part des réassureurs</w:t>
            </w:r>
          </w:p>
          <w:p w14:paraId="4C44555B" w14:textId="77777777" w:rsidR="00A75F78" w:rsidRPr="008B3312" w:rsidDel="00864227" w:rsidRDefault="00A75F78" w:rsidP="00950116">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748B5906" w14:textId="77777777" w:rsidR="00A75F78" w:rsidRPr="008B3312" w:rsidRDefault="00A75F78" w:rsidP="00950116">
            <w:pPr>
              <w:spacing w:after="0" w:line="240" w:lineRule="auto"/>
              <w:jc w:val="both"/>
              <w:rPr>
                <w:rFonts w:ascii="Times New Roman" w:hAnsi="Times New Roman" w:cs="Times New Roman"/>
                <w:sz w:val="20"/>
                <w:szCs w:val="20"/>
              </w:rPr>
            </w:pPr>
            <w:r>
              <w:rPr>
                <w:rFonts w:ascii="Times New Roman" w:hAnsi="Times New Roman"/>
                <w:sz w:val="20"/>
              </w:rPr>
              <w:lastRenderedPageBreak/>
              <w:t>Charge des sinistres au titre de l’exercice, au sens de la directive 91/674/</w:t>
            </w:r>
            <w:proofErr w:type="gramStart"/>
            <w:r>
              <w:rPr>
                <w:rFonts w:ascii="Times New Roman" w:hAnsi="Times New Roman"/>
                <w:sz w:val="20"/>
              </w:rPr>
              <w:t>CEE:</w:t>
            </w:r>
            <w:proofErr w:type="gramEnd"/>
            <w:r>
              <w:rPr>
                <w:rFonts w:ascii="Times New Roman" w:hAnsi="Times New Roman"/>
                <w:sz w:val="20"/>
              </w:rPr>
              <w:t xml:space="preserve"> part des réassureurs dans le total des indemnités versées au titre de l’exercice et de la variation de la provision pour sinistres </w:t>
            </w:r>
            <w:r>
              <w:rPr>
                <w:rFonts w:ascii="Times New Roman" w:hAnsi="Times New Roman"/>
                <w:sz w:val="20"/>
              </w:rPr>
              <w:lastRenderedPageBreak/>
              <w:t>durant cet exercice.</w:t>
            </w:r>
          </w:p>
          <w:p w14:paraId="20E33AA3" w14:textId="77777777" w:rsidR="00A75F78" w:rsidRPr="008B3312" w:rsidRDefault="00A75F78" w:rsidP="00950116">
            <w:pPr>
              <w:spacing w:after="0" w:line="240" w:lineRule="auto"/>
              <w:jc w:val="both"/>
              <w:rPr>
                <w:rFonts w:ascii="Times New Roman" w:hAnsi="Times New Roman" w:cs="Times New Roman"/>
                <w:sz w:val="20"/>
                <w:szCs w:val="20"/>
              </w:rPr>
            </w:pPr>
          </w:p>
          <w:p w14:paraId="484D31A4" w14:textId="77777777" w:rsidR="00A75F78" w:rsidRPr="008B3312" w:rsidDel="00864227" w:rsidRDefault="00A75F78" w:rsidP="00950116">
            <w:pPr>
              <w:spacing w:after="0" w:line="240" w:lineRule="auto"/>
              <w:jc w:val="both"/>
              <w:rPr>
                <w:rFonts w:ascii="Times New Roman" w:hAnsi="Times New Roman" w:cs="Times New Roman"/>
                <w:sz w:val="20"/>
                <w:szCs w:val="20"/>
                <w:highlight w:val="yellow"/>
              </w:rPr>
            </w:pPr>
            <w:r>
              <w:rPr>
                <w:rFonts w:ascii="Times New Roman" w:hAnsi="Times New Roman"/>
                <w:sz w:val="20"/>
              </w:rPr>
              <w:t>Exclut les frais de gestion des sinistres et la variation des provisions pour frais de gestion des sinistres.</w:t>
            </w:r>
          </w:p>
        </w:tc>
      </w:tr>
      <w:tr w:rsidR="00A75F78" w:rsidRPr="008B3312" w14:paraId="1FD4E9E5" w14:textId="77777777" w:rsidTr="00950116">
        <w:tc>
          <w:tcPr>
            <w:tcW w:w="1526" w:type="dxa"/>
            <w:tcBorders>
              <w:right w:val="single" w:sz="4" w:space="0" w:color="000000"/>
            </w:tcBorders>
          </w:tcPr>
          <w:p w14:paraId="58133C60" w14:textId="2D57E669"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lastRenderedPageBreak/>
              <w:t>C0550 à C0600/R1700</w:t>
            </w:r>
          </w:p>
        </w:tc>
        <w:tc>
          <w:tcPr>
            <w:tcW w:w="1701" w:type="dxa"/>
            <w:tcBorders>
              <w:left w:val="single" w:sz="4" w:space="0" w:color="000000"/>
              <w:right w:val="single" w:sz="4" w:space="0" w:color="000000"/>
            </w:tcBorders>
          </w:tcPr>
          <w:p w14:paraId="75001E37" w14:textId="77777777" w:rsidR="00A75F78" w:rsidRPr="008B3312" w:rsidDel="00864227" w:rsidRDefault="00A75F78" w:rsidP="00950116">
            <w:pPr>
              <w:spacing w:after="0" w:line="240" w:lineRule="auto"/>
              <w:rPr>
                <w:rFonts w:ascii="Times New Roman" w:hAnsi="Times New Roman" w:cs="Times New Roman"/>
                <w:sz w:val="20"/>
                <w:szCs w:val="20"/>
              </w:rPr>
            </w:pPr>
            <w:r>
              <w:rPr>
                <w:rFonts w:ascii="Times New Roman" w:hAnsi="Times New Roman"/>
                <w:sz w:val="20"/>
              </w:rPr>
              <w:t>Charge des sinistres – Nette</w:t>
            </w:r>
          </w:p>
        </w:tc>
        <w:tc>
          <w:tcPr>
            <w:tcW w:w="5953" w:type="dxa"/>
            <w:tcBorders>
              <w:left w:val="single" w:sz="4" w:space="0" w:color="000000"/>
              <w:right w:val="single" w:sz="4" w:space="0" w:color="000000"/>
            </w:tcBorders>
          </w:tcPr>
          <w:p w14:paraId="2094210A" w14:textId="77777777" w:rsidR="00A75F78" w:rsidRPr="008B3312" w:rsidRDefault="00A75F78" w:rsidP="00950116">
            <w:pPr>
              <w:spacing w:after="0" w:line="240" w:lineRule="auto"/>
              <w:jc w:val="both"/>
              <w:rPr>
                <w:rFonts w:ascii="Times New Roman" w:hAnsi="Times New Roman" w:cs="Times New Roman"/>
                <w:sz w:val="20"/>
                <w:szCs w:val="20"/>
              </w:rPr>
            </w:pPr>
            <w:r>
              <w:rPr>
                <w:rFonts w:ascii="Times New Roman" w:hAnsi="Times New Roman"/>
                <w:sz w:val="20"/>
              </w:rPr>
              <w:t>Charge des sinistres au titre de l’exercice, au sens de la directive 91/674/</w:t>
            </w:r>
            <w:proofErr w:type="gramStart"/>
            <w:r>
              <w:rPr>
                <w:rFonts w:ascii="Times New Roman" w:hAnsi="Times New Roman"/>
                <w:sz w:val="20"/>
              </w:rPr>
              <w:t>CEE:</w:t>
            </w:r>
            <w:proofErr w:type="gramEnd"/>
            <w:r>
              <w:rPr>
                <w:rFonts w:ascii="Times New Roman" w:hAnsi="Times New Roman"/>
                <w:sz w:val="20"/>
              </w:rPr>
              <w:t xml:space="preserve"> la charge des sinistres est égale au total des indemnités versées au titre de l’exercice et de la variation de la provision pour sinistres durant cet exercice. Est ici visée la somme des montants liés à l’assurance directe et à la réassurance acceptée, diminuée des montants cédés aux réassureurs. </w:t>
            </w:r>
          </w:p>
          <w:p w14:paraId="6DC43640" w14:textId="77777777" w:rsidR="00A75F78" w:rsidRPr="008B3312" w:rsidRDefault="00A75F78" w:rsidP="00950116">
            <w:pPr>
              <w:spacing w:after="0" w:line="240" w:lineRule="auto"/>
              <w:jc w:val="both"/>
              <w:rPr>
                <w:rFonts w:ascii="Times New Roman" w:hAnsi="Times New Roman" w:cs="Times New Roman"/>
                <w:sz w:val="20"/>
                <w:szCs w:val="20"/>
              </w:rPr>
            </w:pPr>
          </w:p>
          <w:p w14:paraId="1B62293E" w14:textId="77777777" w:rsidR="00A75F78" w:rsidRPr="008B3312" w:rsidDel="00864227" w:rsidRDefault="00A75F78" w:rsidP="00950116">
            <w:pPr>
              <w:spacing w:after="0" w:line="240" w:lineRule="auto"/>
              <w:jc w:val="both"/>
              <w:rPr>
                <w:rFonts w:ascii="Times New Roman" w:hAnsi="Times New Roman" w:cs="Times New Roman"/>
                <w:sz w:val="20"/>
                <w:szCs w:val="20"/>
                <w:highlight w:val="yellow"/>
              </w:rPr>
            </w:pPr>
            <w:r>
              <w:rPr>
                <w:rFonts w:ascii="Times New Roman" w:hAnsi="Times New Roman"/>
                <w:sz w:val="20"/>
              </w:rPr>
              <w:t>Exclut les frais de gestion des sinistres et la variation des provisions pour frais de gestion des sinistres.</w:t>
            </w:r>
          </w:p>
        </w:tc>
      </w:tr>
      <w:tr w:rsidR="00A75F78" w:rsidRPr="008B3312" w14:paraId="7AE62765" w14:textId="77777777" w:rsidTr="00950116">
        <w:tc>
          <w:tcPr>
            <w:tcW w:w="1526" w:type="dxa"/>
            <w:tcBorders>
              <w:right w:val="single" w:sz="4" w:space="0" w:color="000000"/>
            </w:tcBorders>
          </w:tcPr>
          <w:p w14:paraId="461DBCC6" w14:textId="202F1680"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C0550 à C0600/R1710</w:t>
            </w:r>
          </w:p>
        </w:tc>
        <w:tc>
          <w:tcPr>
            <w:tcW w:w="1701" w:type="dxa"/>
            <w:tcBorders>
              <w:left w:val="single" w:sz="4" w:space="0" w:color="000000"/>
              <w:right w:val="single" w:sz="4" w:space="0" w:color="000000"/>
            </w:tcBorders>
          </w:tcPr>
          <w:p w14:paraId="7DDFD5D0"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 xml:space="preserve">Variation des autres provisions techniques – Brute </w:t>
            </w:r>
          </w:p>
          <w:p w14:paraId="0F1A7D42" w14:textId="77777777" w:rsidR="00A75F78" w:rsidRPr="008B3312" w:rsidRDefault="00A75F78" w:rsidP="00950116">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0A584E3A" w14:textId="77777777" w:rsidR="00A75F78" w:rsidRDefault="00A75F78" w:rsidP="00950116">
            <w:pPr>
              <w:spacing w:after="0" w:line="240" w:lineRule="auto"/>
              <w:jc w:val="both"/>
              <w:rPr>
                <w:rFonts w:ascii="Times New Roman" w:hAnsi="Times New Roman"/>
                <w:sz w:val="20"/>
              </w:rPr>
            </w:pPr>
            <w:r>
              <w:rPr>
                <w:rFonts w:ascii="Times New Roman" w:hAnsi="Times New Roman"/>
                <w:sz w:val="20"/>
              </w:rPr>
              <w:t xml:space="preserve">Variation des autres provisions techniques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variation des autres provisions techniques. Sont ici visés les montants bruts liés à l’assurance directe et à la réassurance.</w:t>
            </w:r>
          </w:p>
          <w:p w14:paraId="78BDB992" w14:textId="77777777" w:rsidR="00C42C88" w:rsidRDefault="00C42C88" w:rsidP="00950116">
            <w:pPr>
              <w:spacing w:after="0" w:line="240" w:lineRule="auto"/>
              <w:jc w:val="both"/>
              <w:rPr>
                <w:rFonts w:ascii="Times New Roman" w:hAnsi="Times New Roman"/>
                <w:sz w:val="20"/>
              </w:rPr>
            </w:pPr>
          </w:p>
          <w:p w14:paraId="064407A6" w14:textId="21850037" w:rsidR="00C42C88" w:rsidRPr="008B3312" w:rsidRDefault="00C42C88" w:rsidP="00950116">
            <w:pPr>
              <w:spacing w:after="0" w:line="240" w:lineRule="auto"/>
              <w:jc w:val="both"/>
              <w:rPr>
                <w:rFonts w:ascii="Times New Roman" w:hAnsi="Times New Roman" w:cs="Times New Roman"/>
                <w:sz w:val="20"/>
                <w:szCs w:val="20"/>
              </w:rPr>
            </w:pPr>
            <w:r w:rsidRPr="00C64670">
              <w:rPr>
                <w:rFonts w:ascii="Times New Roman" w:hAnsi="Times New Roman"/>
                <w:sz w:val="20"/>
              </w:rPr>
              <w:t>La valeur indiquée doit être positive si la variation est négative (baisse des autres provisions techniques contribuant positivement au résultat technique), et doit être négative si la variation est positive (hausse des autres provisions techniques contribuant négativement au résultat technique).</w:t>
            </w:r>
          </w:p>
        </w:tc>
      </w:tr>
      <w:tr w:rsidR="00A75F78" w:rsidRPr="008B3312" w14:paraId="721D114D" w14:textId="77777777" w:rsidTr="00950116">
        <w:tc>
          <w:tcPr>
            <w:tcW w:w="1526" w:type="dxa"/>
            <w:tcBorders>
              <w:bottom w:val="single" w:sz="4" w:space="0" w:color="000000"/>
              <w:right w:val="single" w:sz="4" w:space="0" w:color="000000"/>
            </w:tcBorders>
          </w:tcPr>
          <w:p w14:paraId="6A824174" w14:textId="497EE37F"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C0550 à C0600/R1720</w:t>
            </w:r>
          </w:p>
        </w:tc>
        <w:tc>
          <w:tcPr>
            <w:tcW w:w="1701" w:type="dxa"/>
            <w:tcBorders>
              <w:left w:val="single" w:sz="4" w:space="0" w:color="000000"/>
              <w:bottom w:val="single" w:sz="4" w:space="0" w:color="000000"/>
              <w:right w:val="single" w:sz="4" w:space="0" w:color="000000"/>
            </w:tcBorders>
          </w:tcPr>
          <w:p w14:paraId="2215F169"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Variation des autres provisions techniques – Part des réassureurs</w:t>
            </w:r>
          </w:p>
        </w:tc>
        <w:tc>
          <w:tcPr>
            <w:tcW w:w="5953" w:type="dxa"/>
            <w:tcBorders>
              <w:left w:val="single" w:sz="4" w:space="0" w:color="000000"/>
              <w:bottom w:val="single" w:sz="4" w:space="0" w:color="000000"/>
              <w:right w:val="single" w:sz="4" w:space="0" w:color="000000"/>
            </w:tcBorders>
          </w:tcPr>
          <w:p w14:paraId="12260D93" w14:textId="77777777" w:rsidR="00A75F78" w:rsidRDefault="00A75F78" w:rsidP="00950116">
            <w:pPr>
              <w:spacing w:after="0" w:line="240" w:lineRule="auto"/>
              <w:jc w:val="both"/>
              <w:rPr>
                <w:rFonts w:ascii="Times New Roman" w:hAnsi="Times New Roman"/>
                <w:sz w:val="20"/>
              </w:rPr>
            </w:pPr>
            <w:r>
              <w:rPr>
                <w:rFonts w:ascii="Times New Roman" w:hAnsi="Times New Roman"/>
                <w:sz w:val="20"/>
              </w:rPr>
              <w:t xml:space="preserve">Variation des autres provisions techniques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part des réassureurs dans la variation des autres provisions techniques.</w:t>
            </w:r>
          </w:p>
          <w:p w14:paraId="58E36916" w14:textId="77777777" w:rsidR="00C42C88" w:rsidRDefault="00C42C88" w:rsidP="00950116">
            <w:pPr>
              <w:spacing w:after="0" w:line="240" w:lineRule="auto"/>
              <w:jc w:val="both"/>
              <w:rPr>
                <w:rFonts w:ascii="Times New Roman" w:hAnsi="Times New Roman"/>
                <w:sz w:val="20"/>
              </w:rPr>
            </w:pPr>
          </w:p>
          <w:p w14:paraId="3EDAFCB2" w14:textId="27436309" w:rsidR="00C42C88" w:rsidRPr="008B3312" w:rsidRDefault="00C42C88" w:rsidP="00950116">
            <w:pPr>
              <w:spacing w:after="0" w:line="240" w:lineRule="auto"/>
              <w:jc w:val="both"/>
              <w:rPr>
                <w:rFonts w:ascii="Times New Roman" w:hAnsi="Times New Roman" w:cs="Times New Roman"/>
                <w:sz w:val="20"/>
                <w:szCs w:val="20"/>
              </w:rPr>
            </w:pPr>
            <w:r>
              <w:rPr>
                <w:rFonts w:ascii="Times New Roman" w:hAnsi="Times New Roman"/>
                <w:sz w:val="20"/>
              </w:rPr>
              <w:t>La valeur indiquée doit être positive si la variation est négative (baisse des autres provisions techniques contribuant positivement au résultat technique), et doit être négative si la variation est positive (hausse des autres provisions techniques contribuant négativement au résultat technique).</w:t>
            </w:r>
          </w:p>
        </w:tc>
      </w:tr>
      <w:tr w:rsidR="00A75F78" w:rsidRPr="008B3312" w14:paraId="17A1AEE5" w14:textId="77777777" w:rsidTr="00950116">
        <w:tc>
          <w:tcPr>
            <w:tcW w:w="1526" w:type="dxa"/>
            <w:tcBorders>
              <w:right w:val="single" w:sz="4" w:space="0" w:color="000000"/>
            </w:tcBorders>
          </w:tcPr>
          <w:p w14:paraId="602DB29A" w14:textId="23EA656A"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C0550 à C0600/R1800</w:t>
            </w:r>
          </w:p>
        </w:tc>
        <w:tc>
          <w:tcPr>
            <w:tcW w:w="1701" w:type="dxa"/>
            <w:tcBorders>
              <w:left w:val="single" w:sz="4" w:space="0" w:color="000000"/>
              <w:right w:val="single" w:sz="4" w:space="0" w:color="000000"/>
            </w:tcBorders>
          </w:tcPr>
          <w:p w14:paraId="5429B30F"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Variation des autres provisions techniques – Nette</w:t>
            </w:r>
          </w:p>
        </w:tc>
        <w:tc>
          <w:tcPr>
            <w:tcW w:w="5953" w:type="dxa"/>
            <w:tcBorders>
              <w:left w:val="single" w:sz="4" w:space="0" w:color="000000"/>
              <w:right w:val="single" w:sz="4" w:space="0" w:color="000000"/>
            </w:tcBorders>
          </w:tcPr>
          <w:p w14:paraId="78AC29CB" w14:textId="77777777" w:rsidR="00A75F78" w:rsidRDefault="00A75F78" w:rsidP="00950116">
            <w:pPr>
              <w:spacing w:after="0" w:line="240" w:lineRule="auto"/>
              <w:jc w:val="both"/>
              <w:rPr>
                <w:rFonts w:ascii="Times New Roman" w:hAnsi="Times New Roman"/>
                <w:sz w:val="20"/>
              </w:rPr>
            </w:pPr>
            <w:r>
              <w:rPr>
                <w:rFonts w:ascii="Times New Roman" w:hAnsi="Times New Roman"/>
                <w:sz w:val="20"/>
              </w:rPr>
              <w:t xml:space="preserve">Variation des autres provisions techniques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la variation nette des autres provisions techniques représente la somme des montants liés à l’assurance directe et à la réassurance acceptée, diminuée des montants cédés aux réassureurs. </w:t>
            </w:r>
          </w:p>
          <w:p w14:paraId="7FCC4B40" w14:textId="77777777" w:rsidR="00C42C88" w:rsidRDefault="00C42C88" w:rsidP="00950116">
            <w:pPr>
              <w:spacing w:after="0" w:line="240" w:lineRule="auto"/>
              <w:jc w:val="both"/>
              <w:rPr>
                <w:rFonts w:ascii="Times New Roman" w:hAnsi="Times New Roman"/>
                <w:sz w:val="20"/>
              </w:rPr>
            </w:pPr>
          </w:p>
          <w:p w14:paraId="5EC71C9D" w14:textId="5B6FD5DA" w:rsidR="00C42C88" w:rsidRPr="008B3312" w:rsidRDefault="00C42C88" w:rsidP="00950116">
            <w:pPr>
              <w:spacing w:after="0" w:line="240" w:lineRule="auto"/>
              <w:jc w:val="both"/>
              <w:rPr>
                <w:rFonts w:ascii="Times New Roman" w:hAnsi="Times New Roman" w:cs="Times New Roman"/>
                <w:sz w:val="20"/>
                <w:szCs w:val="20"/>
              </w:rPr>
            </w:pPr>
            <w:r>
              <w:rPr>
                <w:rFonts w:ascii="Times New Roman" w:hAnsi="Times New Roman"/>
                <w:sz w:val="20"/>
              </w:rPr>
              <w:t>La valeur indiquée doit être positive si la variation est négative (baisse des autres provisions techniques contribuant positivement au résultat technique), et doit être négative si la variation est positive (hausse des autres provisions techniques contribuant négativement au résultat technique).</w:t>
            </w:r>
          </w:p>
        </w:tc>
      </w:tr>
      <w:tr w:rsidR="00A75F78" w:rsidRPr="008B3312" w14:paraId="38246319" w14:textId="77777777" w:rsidTr="00950116">
        <w:tc>
          <w:tcPr>
            <w:tcW w:w="1526" w:type="dxa"/>
            <w:tcBorders>
              <w:right w:val="single" w:sz="4" w:space="0" w:color="000000"/>
            </w:tcBorders>
          </w:tcPr>
          <w:p w14:paraId="30BF4456" w14:textId="72416B05"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C0550 à C0600/R1900</w:t>
            </w:r>
          </w:p>
        </w:tc>
        <w:tc>
          <w:tcPr>
            <w:tcW w:w="1701" w:type="dxa"/>
            <w:tcBorders>
              <w:left w:val="single" w:sz="4" w:space="0" w:color="000000"/>
              <w:right w:val="single" w:sz="4" w:space="0" w:color="000000"/>
            </w:tcBorders>
          </w:tcPr>
          <w:p w14:paraId="34AD531C"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Dépenses engagées</w:t>
            </w:r>
          </w:p>
        </w:tc>
        <w:tc>
          <w:tcPr>
            <w:tcW w:w="5953" w:type="dxa"/>
            <w:tcBorders>
              <w:left w:val="single" w:sz="4" w:space="0" w:color="000000"/>
              <w:right w:val="single" w:sz="4" w:space="0" w:color="000000"/>
            </w:tcBorders>
          </w:tcPr>
          <w:p w14:paraId="785A3807" w14:textId="4E7A127F" w:rsidR="00A75F78" w:rsidRPr="008B3312" w:rsidRDefault="00A75F78" w:rsidP="00950116">
            <w:pPr>
              <w:spacing w:after="0" w:line="240" w:lineRule="auto"/>
              <w:jc w:val="both"/>
              <w:rPr>
                <w:rFonts w:ascii="Times New Roman" w:hAnsi="Times New Roman" w:cs="Times New Roman"/>
                <w:sz w:val="20"/>
                <w:szCs w:val="20"/>
                <w:highlight w:val="yellow"/>
              </w:rPr>
            </w:pPr>
            <w:r>
              <w:rPr>
                <w:rFonts w:ascii="Times New Roman" w:hAnsi="Times New Roman"/>
                <w:sz w:val="20"/>
              </w:rPr>
              <w:t>Toutes les dépen</w:t>
            </w:r>
            <w:r w:rsidR="00D04203">
              <w:rPr>
                <w:rFonts w:ascii="Times New Roman" w:hAnsi="Times New Roman"/>
                <w:sz w:val="20"/>
              </w:rPr>
              <w:t>ses techniques engagées par l’O</w:t>
            </w:r>
            <w:r>
              <w:rPr>
                <w:rFonts w:ascii="Times New Roman" w:hAnsi="Times New Roman"/>
                <w:sz w:val="20"/>
              </w:rPr>
              <w:t>RPS durant la période de référence, en comptabilité d’exercice.</w:t>
            </w:r>
          </w:p>
        </w:tc>
      </w:tr>
      <w:tr w:rsidR="00A75F78" w:rsidRPr="008B3312" w14:paraId="4F590B12" w14:textId="77777777" w:rsidTr="00950116">
        <w:tc>
          <w:tcPr>
            <w:tcW w:w="1526" w:type="dxa"/>
            <w:tcBorders>
              <w:right w:val="single" w:sz="4" w:space="0" w:color="000000"/>
            </w:tcBorders>
          </w:tcPr>
          <w:p w14:paraId="0F03F340" w14:textId="77777777" w:rsidR="00A75F78" w:rsidDel="00A75F78" w:rsidRDefault="00A75F78" w:rsidP="00A75F78">
            <w:pPr>
              <w:spacing w:after="0" w:line="240" w:lineRule="auto"/>
              <w:rPr>
                <w:rFonts w:ascii="Times New Roman" w:hAnsi="Times New Roman"/>
                <w:sz w:val="20"/>
              </w:rPr>
            </w:pPr>
            <w:r>
              <w:rPr>
                <w:rFonts w:ascii="Times New Roman" w:hAnsi="Times New Roman"/>
                <w:sz w:val="20"/>
              </w:rPr>
              <w:t>C0550/R1410–R1900</w:t>
            </w:r>
          </w:p>
        </w:tc>
        <w:tc>
          <w:tcPr>
            <w:tcW w:w="1701" w:type="dxa"/>
            <w:tcBorders>
              <w:left w:val="single" w:sz="4" w:space="0" w:color="000000"/>
              <w:right w:val="single" w:sz="4" w:space="0" w:color="000000"/>
            </w:tcBorders>
          </w:tcPr>
          <w:p w14:paraId="259793AD" w14:textId="77777777" w:rsidR="00A75F78" w:rsidRDefault="00A75F78" w:rsidP="00950116">
            <w:pPr>
              <w:spacing w:after="0" w:line="240" w:lineRule="auto"/>
              <w:rPr>
                <w:rFonts w:ascii="Times New Roman" w:hAnsi="Times New Roman"/>
                <w:sz w:val="20"/>
              </w:rPr>
            </w:pPr>
            <w:r>
              <w:rPr>
                <w:rFonts w:ascii="Times New Roman" w:hAnsi="Times New Roman"/>
                <w:sz w:val="20"/>
              </w:rPr>
              <w:t>Branche 26</w:t>
            </w:r>
          </w:p>
        </w:tc>
        <w:tc>
          <w:tcPr>
            <w:tcW w:w="5953" w:type="dxa"/>
            <w:tcBorders>
              <w:left w:val="single" w:sz="4" w:space="0" w:color="000000"/>
              <w:right w:val="single" w:sz="4" w:space="0" w:color="000000"/>
            </w:tcBorders>
          </w:tcPr>
          <w:p w14:paraId="43091AE1" w14:textId="77777777" w:rsidR="00A75F78" w:rsidRDefault="00A75F78" w:rsidP="00A75F78">
            <w:pPr>
              <w:spacing w:after="0" w:line="240" w:lineRule="auto"/>
              <w:jc w:val="both"/>
              <w:rPr>
                <w:rFonts w:ascii="Times New Roman" w:hAnsi="Times New Roman"/>
                <w:sz w:val="20"/>
              </w:rPr>
            </w:pPr>
            <w:r>
              <w:rPr>
                <w:rFonts w:ascii="Times New Roman" w:hAnsi="Times New Roman"/>
                <w:sz w:val="20"/>
              </w:rPr>
              <w:t>Valeurs prises par les différents postes pour les engagements relevant de l’article L.441-1 du code des assurances (branche 26)</w:t>
            </w:r>
          </w:p>
        </w:tc>
      </w:tr>
      <w:tr w:rsidR="00A75F78" w:rsidRPr="008B3312" w14:paraId="6BC4E76C" w14:textId="77777777" w:rsidTr="00950116">
        <w:tc>
          <w:tcPr>
            <w:tcW w:w="1526" w:type="dxa"/>
            <w:tcBorders>
              <w:right w:val="single" w:sz="4" w:space="0" w:color="000000"/>
            </w:tcBorders>
          </w:tcPr>
          <w:p w14:paraId="260A8982" w14:textId="77777777" w:rsidR="00A75F78" w:rsidDel="00A75F78" w:rsidRDefault="00A75F78" w:rsidP="00A75F78">
            <w:pPr>
              <w:spacing w:after="0" w:line="240" w:lineRule="auto"/>
              <w:rPr>
                <w:rFonts w:ascii="Times New Roman" w:hAnsi="Times New Roman"/>
                <w:sz w:val="20"/>
              </w:rPr>
            </w:pPr>
            <w:r>
              <w:rPr>
                <w:rFonts w:ascii="Times New Roman" w:hAnsi="Times New Roman"/>
                <w:sz w:val="20"/>
              </w:rPr>
              <w:t>C0560/R1410–R1900</w:t>
            </w:r>
          </w:p>
        </w:tc>
        <w:tc>
          <w:tcPr>
            <w:tcW w:w="1701" w:type="dxa"/>
            <w:tcBorders>
              <w:left w:val="single" w:sz="4" w:space="0" w:color="000000"/>
              <w:right w:val="single" w:sz="4" w:space="0" w:color="000000"/>
            </w:tcBorders>
          </w:tcPr>
          <w:p w14:paraId="7D49FD24" w14:textId="77777777" w:rsidR="00A75F78" w:rsidRDefault="00A75F78" w:rsidP="00950116">
            <w:pPr>
              <w:spacing w:after="0" w:line="240" w:lineRule="auto"/>
              <w:rPr>
                <w:rFonts w:ascii="Times New Roman" w:hAnsi="Times New Roman"/>
                <w:sz w:val="20"/>
              </w:rPr>
            </w:pPr>
            <w:proofErr w:type="spellStart"/>
            <w:r>
              <w:rPr>
                <w:rFonts w:ascii="Times New Roman" w:hAnsi="Times New Roman"/>
                <w:sz w:val="20"/>
              </w:rPr>
              <w:t>Eurocroissance</w:t>
            </w:r>
            <w:proofErr w:type="spellEnd"/>
          </w:p>
        </w:tc>
        <w:tc>
          <w:tcPr>
            <w:tcW w:w="5953" w:type="dxa"/>
            <w:tcBorders>
              <w:left w:val="single" w:sz="4" w:space="0" w:color="000000"/>
              <w:right w:val="single" w:sz="4" w:space="0" w:color="000000"/>
            </w:tcBorders>
          </w:tcPr>
          <w:p w14:paraId="1A8141C5" w14:textId="77777777" w:rsidR="00A75F78" w:rsidRDefault="00A75F78" w:rsidP="00A75F78">
            <w:pPr>
              <w:spacing w:after="0" w:line="240" w:lineRule="auto"/>
              <w:jc w:val="both"/>
              <w:rPr>
                <w:rFonts w:ascii="Times New Roman" w:hAnsi="Times New Roman"/>
                <w:sz w:val="20"/>
              </w:rPr>
            </w:pPr>
            <w:r>
              <w:rPr>
                <w:rFonts w:ascii="Times New Roman" w:hAnsi="Times New Roman"/>
                <w:sz w:val="20"/>
              </w:rPr>
              <w:t>Valeurs prises par les différents postes pour les engagements relevant de l’article L.134-1 du code des assurances (« </w:t>
            </w:r>
            <w:proofErr w:type="spellStart"/>
            <w:r>
              <w:rPr>
                <w:rFonts w:ascii="Times New Roman" w:hAnsi="Times New Roman"/>
                <w:sz w:val="20"/>
              </w:rPr>
              <w:t>eurocroissance</w:t>
            </w:r>
            <w:proofErr w:type="spellEnd"/>
            <w:r>
              <w:rPr>
                <w:rFonts w:ascii="Times New Roman" w:hAnsi="Times New Roman"/>
                <w:sz w:val="20"/>
              </w:rPr>
              <w:t> »)</w:t>
            </w:r>
          </w:p>
        </w:tc>
      </w:tr>
      <w:tr w:rsidR="00A75F78" w:rsidRPr="008B3312" w14:paraId="7B585BEF" w14:textId="77777777" w:rsidTr="00950116">
        <w:tc>
          <w:tcPr>
            <w:tcW w:w="1526" w:type="dxa"/>
            <w:tcBorders>
              <w:right w:val="single" w:sz="4" w:space="0" w:color="000000"/>
            </w:tcBorders>
          </w:tcPr>
          <w:p w14:paraId="7BEF17A9" w14:textId="77777777" w:rsidR="00A75F78" w:rsidDel="00A75F78" w:rsidRDefault="00A75F78" w:rsidP="00A75F78">
            <w:pPr>
              <w:spacing w:after="0" w:line="240" w:lineRule="auto"/>
              <w:rPr>
                <w:rFonts w:ascii="Times New Roman" w:hAnsi="Times New Roman"/>
                <w:sz w:val="20"/>
              </w:rPr>
            </w:pPr>
            <w:r>
              <w:rPr>
                <w:rFonts w:ascii="Times New Roman" w:hAnsi="Times New Roman"/>
                <w:sz w:val="20"/>
              </w:rPr>
              <w:t>C0570/R1410–R1900</w:t>
            </w:r>
          </w:p>
        </w:tc>
        <w:tc>
          <w:tcPr>
            <w:tcW w:w="1701" w:type="dxa"/>
            <w:tcBorders>
              <w:left w:val="single" w:sz="4" w:space="0" w:color="000000"/>
              <w:right w:val="single" w:sz="4" w:space="0" w:color="000000"/>
            </w:tcBorders>
          </w:tcPr>
          <w:p w14:paraId="1E6BB14C" w14:textId="77777777" w:rsidR="00A75F78" w:rsidRDefault="00A75F78" w:rsidP="00950116">
            <w:pPr>
              <w:spacing w:after="0" w:line="240" w:lineRule="auto"/>
              <w:rPr>
                <w:rFonts w:ascii="Times New Roman" w:hAnsi="Times New Roman"/>
                <w:sz w:val="20"/>
              </w:rPr>
            </w:pPr>
            <w:r>
              <w:rPr>
                <w:rFonts w:ascii="Times New Roman" w:hAnsi="Times New Roman"/>
                <w:sz w:val="20"/>
              </w:rPr>
              <w:t>Euro – comptabilité auxiliaire d’affectation</w:t>
            </w:r>
          </w:p>
        </w:tc>
        <w:tc>
          <w:tcPr>
            <w:tcW w:w="5953" w:type="dxa"/>
            <w:tcBorders>
              <w:left w:val="single" w:sz="4" w:space="0" w:color="000000"/>
              <w:right w:val="single" w:sz="4" w:space="0" w:color="000000"/>
            </w:tcBorders>
          </w:tcPr>
          <w:p w14:paraId="247D70AD" w14:textId="77777777" w:rsidR="00A75F78" w:rsidRDefault="00A75F78" w:rsidP="00A75F78">
            <w:pPr>
              <w:spacing w:after="0" w:line="240" w:lineRule="auto"/>
              <w:jc w:val="both"/>
              <w:rPr>
                <w:rFonts w:ascii="Times New Roman" w:hAnsi="Times New Roman"/>
                <w:sz w:val="20"/>
              </w:rPr>
            </w:pPr>
            <w:r>
              <w:rPr>
                <w:rFonts w:ascii="Times New Roman" w:hAnsi="Times New Roman"/>
                <w:sz w:val="20"/>
              </w:rPr>
              <w:t>Valeurs prises par les différents postes pour les engagements « euros » faisant l’objet d’une comptabilité auxiliaire d’affectation</w:t>
            </w:r>
          </w:p>
        </w:tc>
      </w:tr>
      <w:tr w:rsidR="00A75F78" w:rsidRPr="008B3312" w14:paraId="4948178B" w14:textId="77777777" w:rsidTr="00950116">
        <w:tc>
          <w:tcPr>
            <w:tcW w:w="1526" w:type="dxa"/>
            <w:tcBorders>
              <w:right w:val="single" w:sz="4" w:space="0" w:color="000000"/>
            </w:tcBorders>
          </w:tcPr>
          <w:p w14:paraId="07CBDDC8" w14:textId="77777777" w:rsidR="00A75F78" w:rsidDel="00A75F78" w:rsidRDefault="00A75F78" w:rsidP="00A75F78">
            <w:pPr>
              <w:spacing w:after="0" w:line="240" w:lineRule="auto"/>
              <w:rPr>
                <w:rFonts w:ascii="Times New Roman" w:hAnsi="Times New Roman"/>
                <w:sz w:val="20"/>
              </w:rPr>
            </w:pPr>
            <w:r>
              <w:rPr>
                <w:rFonts w:ascii="Times New Roman" w:hAnsi="Times New Roman"/>
                <w:sz w:val="20"/>
              </w:rPr>
              <w:t>C0580/R1410–R1900</w:t>
            </w:r>
          </w:p>
        </w:tc>
        <w:tc>
          <w:tcPr>
            <w:tcW w:w="1701" w:type="dxa"/>
            <w:tcBorders>
              <w:left w:val="single" w:sz="4" w:space="0" w:color="000000"/>
              <w:right w:val="single" w:sz="4" w:space="0" w:color="000000"/>
            </w:tcBorders>
          </w:tcPr>
          <w:p w14:paraId="3308022C" w14:textId="77777777" w:rsidR="00A75F78" w:rsidRDefault="00A75F78" w:rsidP="00950116">
            <w:pPr>
              <w:spacing w:after="0" w:line="240" w:lineRule="auto"/>
              <w:rPr>
                <w:rFonts w:ascii="Times New Roman" w:hAnsi="Times New Roman"/>
                <w:sz w:val="20"/>
              </w:rPr>
            </w:pPr>
            <w:r>
              <w:rPr>
                <w:rFonts w:ascii="Times New Roman" w:hAnsi="Times New Roman"/>
                <w:sz w:val="20"/>
              </w:rPr>
              <w:t>UC – comptabilité auxiliaire d’affectation</w:t>
            </w:r>
          </w:p>
        </w:tc>
        <w:tc>
          <w:tcPr>
            <w:tcW w:w="5953" w:type="dxa"/>
            <w:tcBorders>
              <w:left w:val="single" w:sz="4" w:space="0" w:color="000000"/>
              <w:right w:val="single" w:sz="4" w:space="0" w:color="000000"/>
            </w:tcBorders>
          </w:tcPr>
          <w:p w14:paraId="55481485" w14:textId="77777777" w:rsidR="00A75F78" w:rsidRDefault="00A75F78" w:rsidP="00A75F78">
            <w:pPr>
              <w:spacing w:after="0" w:line="240" w:lineRule="auto"/>
              <w:jc w:val="both"/>
              <w:rPr>
                <w:rFonts w:ascii="Times New Roman" w:hAnsi="Times New Roman"/>
                <w:sz w:val="20"/>
              </w:rPr>
            </w:pPr>
            <w:r>
              <w:rPr>
                <w:rFonts w:ascii="Times New Roman" w:hAnsi="Times New Roman"/>
                <w:sz w:val="20"/>
              </w:rPr>
              <w:t>Valeurs prises par les différents postes pour les engagements en unités de compte faisant l’objet d’une comptabilité auxiliaire d’affectation</w:t>
            </w:r>
          </w:p>
        </w:tc>
      </w:tr>
      <w:tr w:rsidR="00A75F78" w:rsidRPr="008B3312" w14:paraId="398D1350" w14:textId="77777777" w:rsidTr="00950116">
        <w:tc>
          <w:tcPr>
            <w:tcW w:w="1526" w:type="dxa"/>
            <w:tcBorders>
              <w:right w:val="single" w:sz="4" w:space="0" w:color="000000"/>
            </w:tcBorders>
          </w:tcPr>
          <w:p w14:paraId="6DBC188B" w14:textId="77777777" w:rsidR="00A75F78" w:rsidDel="00A75F78" w:rsidRDefault="00A75F78" w:rsidP="00A75F78">
            <w:pPr>
              <w:spacing w:after="0" w:line="240" w:lineRule="auto"/>
              <w:rPr>
                <w:rFonts w:ascii="Times New Roman" w:hAnsi="Times New Roman"/>
                <w:sz w:val="20"/>
              </w:rPr>
            </w:pPr>
            <w:r>
              <w:rPr>
                <w:rFonts w:ascii="Times New Roman" w:hAnsi="Times New Roman"/>
                <w:sz w:val="20"/>
              </w:rPr>
              <w:t>C0590/R1410–R1900</w:t>
            </w:r>
          </w:p>
        </w:tc>
        <w:tc>
          <w:tcPr>
            <w:tcW w:w="1701" w:type="dxa"/>
            <w:tcBorders>
              <w:left w:val="single" w:sz="4" w:space="0" w:color="000000"/>
              <w:right w:val="single" w:sz="4" w:space="0" w:color="000000"/>
            </w:tcBorders>
          </w:tcPr>
          <w:p w14:paraId="64067FA9" w14:textId="77777777" w:rsidR="00A75F78" w:rsidRDefault="00A75F78" w:rsidP="00A75F78">
            <w:pPr>
              <w:spacing w:after="0" w:line="240" w:lineRule="auto"/>
              <w:rPr>
                <w:rFonts w:ascii="Times New Roman" w:hAnsi="Times New Roman"/>
                <w:sz w:val="20"/>
              </w:rPr>
            </w:pPr>
            <w:r>
              <w:rPr>
                <w:rFonts w:ascii="Times New Roman" w:hAnsi="Times New Roman"/>
                <w:sz w:val="20"/>
              </w:rPr>
              <w:t>Euro - Autre</w:t>
            </w:r>
          </w:p>
        </w:tc>
        <w:tc>
          <w:tcPr>
            <w:tcW w:w="5953" w:type="dxa"/>
            <w:tcBorders>
              <w:left w:val="single" w:sz="4" w:space="0" w:color="000000"/>
              <w:right w:val="single" w:sz="4" w:space="0" w:color="000000"/>
            </w:tcBorders>
          </w:tcPr>
          <w:p w14:paraId="685C5746" w14:textId="77777777" w:rsidR="00A75F78" w:rsidRDefault="00A75F78" w:rsidP="00A75F78">
            <w:pPr>
              <w:spacing w:after="0" w:line="240" w:lineRule="auto"/>
              <w:jc w:val="both"/>
              <w:rPr>
                <w:rFonts w:ascii="Times New Roman" w:hAnsi="Times New Roman"/>
                <w:sz w:val="20"/>
              </w:rPr>
            </w:pPr>
            <w:r>
              <w:rPr>
                <w:rFonts w:ascii="Times New Roman" w:hAnsi="Times New Roman"/>
                <w:sz w:val="20"/>
              </w:rPr>
              <w:t>Valeurs prises par les différents postes pour les engagements « euros » ne faisant pas l’objet d’une comptabilité auxiliaire d’affectation</w:t>
            </w:r>
          </w:p>
        </w:tc>
      </w:tr>
      <w:tr w:rsidR="00A75F78" w:rsidRPr="008B3312" w14:paraId="20189D80" w14:textId="77777777" w:rsidTr="00950116">
        <w:tc>
          <w:tcPr>
            <w:tcW w:w="1526" w:type="dxa"/>
            <w:tcBorders>
              <w:right w:val="single" w:sz="4" w:space="0" w:color="000000"/>
            </w:tcBorders>
          </w:tcPr>
          <w:p w14:paraId="742AB9B4" w14:textId="77777777" w:rsidR="00A75F78" w:rsidDel="00A75F78" w:rsidRDefault="00A75F78" w:rsidP="00A75F78">
            <w:pPr>
              <w:spacing w:after="0" w:line="240" w:lineRule="auto"/>
              <w:rPr>
                <w:rFonts w:ascii="Times New Roman" w:hAnsi="Times New Roman"/>
                <w:sz w:val="20"/>
              </w:rPr>
            </w:pPr>
            <w:r>
              <w:rPr>
                <w:rFonts w:ascii="Times New Roman" w:hAnsi="Times New Roman"/>
                <w:sz w:val="20"/>
              </w:rPr>
              <w:lastRenderedPageBreak/>
              <w:t>C0600/R1410–R1900</w:t>
            </w:r>
          </w:p>
        </w:tc>
        <w:tc>
          <w:tcPr>
            <w:tcW w:w="1701" w:type="dxa"/>
            <w:tcBorders>
              <w:left w:val="single" w:sz="4" w:space="0" w:color="000000"/>
              <w:right w:val="single" w:sz="4" w:space="0" w:color="000000"/>
            </w:tcBorders>
          </w:tcPr>
          <w:p w14:paraId="26231FD5" w14:textId="77777777" w:rsidR="00A75F78" w:rsidRDefault="00A75F78" w:rsidP="00950116">
            <w:pPr>
              <w:spacing w:after="0" w:line="240" w:lineRule="auto"/>
              <w:rPr>
                <w:rFonts w:ascii="Times New Roman" w:hAnsi="Times New Roman"/>
                <w:sz w:val="20"/>
              </w:rPr>
            </w:pPr>
            <w:r>
              <w:rPr>
                <w:rFonts w:ascii="Times New Roman" w:hAnsi="Times New Roman"/>
                <w:sz w:val="20"/>
              </w:rPr>
              <w:t>UC - Autre</w:t>
            </w:r>
          </w:p>
        </w:tc>
        <w:tc>
          <w:tcPr>
            <w:tcW w:w="5953" w:type="dxa"/>
            <w:tcBorders>
              <w:left w:val="single" w:sz="4" w:space="0" w:color="000000"/>
              <w:right w:val="single" w:sz="4" w:space="0" w:color="000000"/>
            </w:tcBorders>
          </w:tcPr>
          <w:p w14:paraId="2C890885" w14:textId="77777777" w:rsidR="00A75F78" w:rsidRDefault="00A75F78" w:rsidP="00A75F78">
            <w:pPr>
              <w:spacing w:after="0" w:line="240" w:lineRule="auto"/>
              <w:jc w:val="both"/>
              <w:rPr>
                <w:rFonts w:ascii="Times New Roman" w:hAnsi="Times New Roman"/>
                <w:sz w:val="20"/>
              </w:rPr>
            </w:pPr>
            <w:r>
              <w:rPr>
                <w:rFonts w:ascii="Times New Roman" w:hAnsi="Times New Roman"/>
                <w:sz w:val="20"/>
              </w:rPr>
              <w:t>Valeurs prises par les différents postes pour les engagements en unités de compte ne faisant pas l’objet d’une comptabilité auxiliaire d’affectation</w:t>
            </w:r>
          </w:p>
        </w:tc>
      </w:tr>
      <w:tr w:rsidR="00A75F78" w:rsidRPr="008B3312" w14:paraId="29EABC7A" w14:textId="77777777" w:rsidTr="00950116">
        <w:tc>
          <w:tcPr>
            <w:tcW w:w="1526" w:type="dxa"/>
            <w:tcBorders>
              <w:right w:val="single" w:sz="4" w:space="0" w:color="000000"/>
            </w:tcBorders>
          </w:tcPr>
          <w:p w14:paraId="6B5F0067" w14:textId="15020FED" w:rsidR="00A75F78" w:rsidRPr="008B3312" w:rsidRDefault="00A75F78" w:rsidP="00A75F78">
            <w:pPr>
              <w:spacing w:after="0" w:line="240" w:lineRule="auto"/>
              <w:rPr>
                <w:rFonts w:ascii="Times New Roman" w:hAnsi="Times New Roman" w:cs="Times New Roman"/>
                <w:sz w:val="20"/>
                <w:szCs w:val="20"/>
              </w:rPr>
            </w:pPr>
            <w:r>
              <w:rPr>
                <w:rFonts w:ascii="Times New Roman" w:hAnsi="Times New Roman"/>
                <w:sz w:val="20"/>
              </w:rPr>
              <w:t>C0610/R1410–R1900</w:t>
            </w:r>
          </w:p>
        </w:tc>
        <w:tc>
          <w:tcPr>
            <w:tcW w:w="1701" w:type="dxa"/>
            <w:tcBorders>
              <w:left w:val="single" w:sz="4" w:space="0" w:color="000000"/>
              <w:right w:val="single" w:sz="4" w:space="0" w:color="000000"/>
            </w:tcBorders>
          </w:tcPr>
          <w:p w14:paraId="369F6581" w14:textId="77777777" w:rsidR="00A75F78" w:rsidRPr="008B3312" w:rsidRDefault="00A75F78" w:rsidP="00950116">
            <w:pPr>
              <w:spacing w:after="0" w:line="240" w:lineRule="auto"/>
              <w:rPr>
                <w:rFonts w:ascii="Times New Roman" w:hAnsi="Times New Roman" w:cs="Times New Roman"/>
                <w:sz w:val="20"/>
                <w:szCs w:val="20"/>
              </w:rPr>
            </w:pPr>
            <w:r>
              <w:rPr>
                <w:rFonts w:ascii="Times New Roman" w:hAnsi="Times New Roman"/>
                <w:sz w:val="20"/>
              </w:rPr>
              <w:t>Total</w:t>
            </w:r>
          </w:p>
        </w:tc>
        <w:tc>
          <w:tcPr>
            <w:tcW w:w="5953" w:type="dxa"/>
            <w:tcBorders>
              <w:left w:val="single" w:sz="4" w:space="0" w:color="000000"/>
              <w:right w:val="single" w:sz="4" w:space="0" w:color="000000"/>
            </w:tcBorders>
          </w:tcPr>
          <w:p w14:paraId="1C05E9E5" w14:textId="0B29B8D0" w:rsidR="00A75F78" w:rsidRPr="008B3312" w:rsidRDefault="00A75F78" w:rsidP="00A75F78">
            <w:pPr>
              <w:spacing w:after="0" w:line="240" w:lineRule="auto"/>
              <w:jc w:val="both"/>
              <w:rPr>
                <w:rFonts w:ascii="Times New Roman" w:hAnsi="Times New Roman" w:cs="Times New Roman"/>
                <w:sz w:val="20"/>
                <w:szCs w:val="20"/>
              </w:rPr>
            </w:pPr>
            <w:r>
              <w:rPr>
                <w:rFonts w:ascii="Times New Roman" w:hAnsi="Times New Roman"/>
                <w:sz w:val="20"/>
              </w:rPr>
              <w:t xml:space="preserve">Total des différents postes pour toutes les activités de retraite </w:t>
            </w:r>
          </w:p>
        </w:tc>
      </w:tr>
    </w:tbl>
    <w:p w14:paraId="30BD8141" w14:textId="77777777" w:rsidR="0095672C" w:rsidRPr="008B3312" w:rsidRDefault="0095672C" w:rsidP="00950116">
      <w:pPr>
        <w:spacing w:after="0"/>
        <w:rPr>
          <w:rFonts w:ascii="Times New Roman" w:hAnsi="Times New Roman"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953"/>
      </w:tblGrid>
      <w:tr w:rsidR="008161EF" w:rsidRPr="008B3312" w14:paraId="6BA47FFA" w14:textId="77777777" w:rsidTr="008161EF">
        <w:trPr>
          <w:trHeight w:val="326"/>
        </w:trPr>
        <w:tc>
          <w:tcPr>
            <w:tcW w:w="9180" w:type="dxa"/>
            <w:gridSpan w:val="3"/>
            <w:tcBorders>
              <w:top w:val="nil"/>
              <w:left w:val="nil"/>
              <w:bottom w:val="single" w:sz="4" w:space="0" w:color="auto"/>
              <w:right w:val="nil"/>
            </w:tcBorders>
          </w:tcPr>
          <w:p w14:paraId="632A5FA7" w14:textId="77777777" w:rsidR="008161EF" w:rsidRPr="008B3312" w:rsidRDefault="008161EF" w:rsidP="001441D4">
            <w:pPr>
              <w:spacing w:after="0" w:line="240" w:lineRule="auto"/>
              <w:jc w:val="both"/>
              <w:rPr>
                <w:rFonts w:ascii="Times New Roman" w:hAnsi="Times New Roman" w:cs="Times New Roman"/>
                <w:b/>
                <w:sz w:val="20"/>
                <w:szCs w:val="20"/>
              </w:rPr>
            </w:pPr>
            <w:r>
              <w:rPr>
                <w:rFonts w:ascii="Times New Roman" w:hAnsi="Times New Roman"/>
                <w:b/>
                <w:sz w:val="20"/>
              </w:rPr>
              <w:t>Engagements correspondant à des garanties accessoires</w:t>
            </w:r>
          </w:p>
        </w:tc>
      </w:tr>
      <w:tr w:rsidR="008161EF" w:rsidRPr="008B3312" w:rsidDel="00864227" w14:paraId="605F7D35" w14:textId="77777777" w:rsidTr="001441D4">
        <w:tc>
          <w:tcPr>
            <w:tcW w:w="1526" w:type="dxa"/>
            <w:tcBorders>
              <w:top w:val="single" w:sz="4" w:space="0" w:color="auto"/>
              <w:left w:val="single" w:sz="4" w:space="0" w:color="auto"/>
              <w:bottom w:val="single" w:sz="4" w:space="0" w:color="auto"/>
              <w:right w:val="single" w:sz="4" w:space="0" w:color="auto"/>
            </w:tcBorders>
          </w:tcPr>
          <w:p w14:paraId="20CE92C2"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C0530/R0110</w:t>
            </w:r>
          </w:p>
          <w:p w14:paraId="2FE0D68C"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F9389EE" w14:textId="77777777" w:rsidR="008161EF" w:rsidRPr="008B3312" w:rsidDel="00864227" w:rsidRDefault="008161EF" w:rsidP="001441D4">
            <w:pPr>
              <w:spacing w:after="0" w:line="240" w:lineRule="auto"/>
              <w:rPr>
                <w:rFonts w:ascii="Times New Roman" w:hAnsi="Times New Roman" w:cs="Times New Roman"/>
                <w:sz w:val="20"/>
                <w:szCs w:val="20"/>
              </w:rPr>
            </w:pPr>
            <w:r>
              <w:rPr>
                <w:rFonts w:ascii="Times New Roman" w:hAnsi="Times New Roman"/>
                <w:sz w:val="20"/>
              </w:rPr>
              <w:t>Primes émises – Brutes – Assurance directe</w:t>
            </w:r>
          </w:p>
        </w:tc>
        <w:tc>
          <w:tcPr>
            <w:tcW w:w="5953" w:type="dxa"/>
            <w:tcBorders>
              <w:top w:val="single" w:sz="4" w:space="0" w:color="auto"/>
              <w:left w:val="single" w:sz="4" w:space="0" w:color="auto"/>
              <w:bottom w:val="single" w:sz="4" w:space="0" w:color="auto"/>
              <w:right w:val="single" w:sz="4" w:space="0" w:color="auto"/>
            </w:tcBorders>
          </w:tcPr>
          <w:p w14:paraId="3A1F5DD5" w14:textId="77777777" w:rsidR="008161EF" w:rsidRPr="008B3312" w:rsidDel="00864227"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t xml:space="preserve">Primes émises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les primes brutes émises comprennent tous les montants échus pendant l’exercice pour les contrats d’assurance, indépendamment du fait que ces montants peuvent se rapporter entièrement ou en partie à un exercice ultérieur. Sont ici visés les montants liés à l’assurance directe. </w:t>
            </w:r>
          </w:p>
        </w:tc>
      </w:tr>
      <w:tr w:rsidR="008161EF" w:rsidRPr="008B3312" w:rsidDel="00864227" w14:paraId="71A94AF4" w14:textId="77777777" w:rsidTr="001441D4">
        <w:tc>
          <w:tcPr>
            <w:tcW w:w="1526" w:type="dxa"/>
            <w:tcBorders>
              <w:top w:val="single" w:sz="4" w:space="0" w:color="auto"/>
              <w:bottom w:val="single" w:sz="4" w:space="0" w:color="000000"/>
              <w:right w:val="single" w:sz="4" w:space="0" w:color="000000"/>
            </w:tcBorders>
          </w:tcPr>
          <w:p w14:paraId="4A53495F"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C0530/R0120</w:t>
            </w:r>
          </w:p>
          <w:p w14:paraId="7832A9A9"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top w:val="single" w:sz="4" w:space="0" w:color="auto"/>
              <w:left w:val="single" w:sz="4" w:space="0" w:color="000000"/>
              <w:bottom w:val="single" w:sz="4" w:space="0" w:color="000000"/>
              <w:right w:val="single" w:sz="4" w:space="0" w:color="000000"/>
            </w:tcBorders>
          </w:tcPr>
          <w:p w14:paraId="4AA3A4AA" w14:textId="77777777" w:rsidR="008161EF" w:rsidRPr="008B3312" w:rsidDel="00864227" w:rsidRDefault="008161EF" w:rsidP="001441D4">
            <w:pPr>
              <w:spacing w:after="0" w:line="240" w:lineRule="auto"/>
              <w:rPr>
                <w:rFonts w:ascii="Times New Roman" w:hAnsi="Times New Roman" w:cs="Times New Roman"/>
                <w:sz w:val="20"/>
                <w:szCs w:val="20"/>
              </w:rPr>
            </w:pPr>
            <w:r>
              <w:rPr>
                <w:rFonts w:ascii="Times New Roman" w:hAnsi="Times New Roman"/>
                <w:sz w:val="20"/>
              </w:rPr>
              <w:t>Primes émises – Brutes – Réassurance proportionnelle acceptée</w:t>
            </w:r>
          </w:p>
        </w:tc>
        <w:tc>
          <w:tcPr>
            <w:tcW w:w="5953" w:type="dxa"/>
            <w:tcBorders>
              <w:top w:val="single" w:sz="4" w:space="0" w:color="auto"/>
              <w:left w:val="single" w:sz="4" w:space="0" w:color="000000"/>
              <w:bottom w:val="single" w:sz="4" w:space="0" w:color="000000"/>
              <w:right w:val="single" w:sz="4" w:space="0" w:color="000000"/>
            </w:tcBorders>
          </w:tcPr>
          <w:p w14:paraId="02F0F9BC" w14:textId="77777777" w:rsidR="008161EF" w:rsidRPr="008B3312" w:rsidDel="00864227"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t xml:space="preserve">Primes émises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les primes brutes émises comprennent tous les montants échus pendant l’exercice pour les contrats d’assurance, indépendamment du fait que ces montants peuvent se rapporter entièrement ou en partie à un exercice ultérieur. Sont ici visés les montants liés à la réassurance proportionnelle acceptée.</w:t>
            </w:r>
          </w:p>
        </w:tc>
      </w:tr>
      <w:tr w:rsidR="008161EF" w:rsidRPr="008B3312" w:rsidDel="00864227" w14:paraId="3E24C9D1" w14:textId="77777777" w:rsidTr="001441D4">
        <w:tc>
          <w:tcPr>
            <w:tcW w:w="1526" w:type="dxa"/>
            <w:tcBorders>
              <w:right w:val="single" w:sz="4" w:space="0" w:color="000000"/>
            </w:tcBorders>
          </w:tcPr>
          <w:p w14:paraId="06AD728D"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C0530/R0140</w:t>
            </w:r>
          </w:p>
          <w:p w14:paraId="471031A9"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14:paraId="534E0133" w14:textId="77777777" w:rsidR="008161EF" w:rsidRPr="008B3312" w:rsidDel="00864227" w:rsidRDefault="008161EF" w:rsidP="001441D4">
            <w:pPr>
              <w:spacing w:after="0" w:line="240" w:lineRule="auto"/>
              <w:rPr>
                <w:rFonts w:ascii="Times New Roman" w:hAnsi="Times New Roman" w:cs="Times New Roman"/>
                <w:sz w:val="20"/>
                <w:szCs w:val="20"/>
              </w:rPr>
            </w:pPr>
            <w:r>
              <w:rPr>
                <w:rFonts w:ascii="Times New Roman" w:hAnsi="Times New Roman"/>
                <w:sz w:val="20"/>
              </w:rPr>
              <w:t>Primes émises – Part des réassureurs</w:t>
            </w:r>
          </w:p>
        </w:tc>
        <w:tc>
          <w:tcPr>
            <w:tcW w:w="5953" w:type="dxa"/>
            <w:tcBorders>
              <w:left w:val="single" w:sz="4" w:space="0" w:color="000000"/>
              <w:right w:val="single" w:sz="4" w:space="0" w:color="000000"/>
            </w:tcBorders>
          </w:tcPr>
          <w:p w14:paraId="7290F570" w14:textId="77777777" w:rsidR="008161EF" w:rsidRPr="008B3312" w:rsidDel="00864227"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t xml:space="preserve">Primes émises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est ici visé le montant total des primes brutes émises cédées aux réassureurs pendant l’exercice, indépendamment du fait que ces montants peuvent se rapporter entièrement ou en partie à un exercice ultérieur.</w:t>
            </w:r>
          </w:p>
        </w:tc>
      </w:tr>
      <w:tr w:rsidR="008161EF" w:rsidRPr="008B3312" w:rsidDel="00864227" w14:paraId="4B8498C9" w14:textId="77777777" w:rsidTr="001441D4">
        <w:tc>
          <w:tcPr>
            <w:tcW w:w="1526" w:type="dxa"/>
            <w:tcBorders>
              <w:right w:val="single" w:sz="4" w:space="0" w:color="000000"/>
            </w:tcBorders>
          </w:tcPr>
          <w:p w14:paraId="245F21C8"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C0530/R0200</w:t>
            </w:r>
          </w:p>
          <w:p w14:paraId="709FBABD"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14:paraId="3ACBD0A2" w14:textId="77777777" w:rsidR="008161EF" w:rsidRPr="008B3312" w:rsidDel="00864227" w:rsidRDefault="008161EF" w:rsidP="001441D4">
            <w:pPr>
              <w:spacing w:after="0" w:line="240" w:lineRule="auto"/>
              <w:rPr>
                <w:rFonts w:ascii="Times New Roman" w:hAnsi="Times New Roman" w:cs="Times New Roman"/>
                <w:sz w:val="20"/>
                <w:szCs w:val="20"/>
              </w:rPr>
            </w:pPr>
            <w:r>
              <w:rPr>
                <w:rFonts w:ascii="Times New Roman" w:hAnsi="Times New Roman"/>
                <w:sz w:val="20"/>
              </w:rPr>
              <w:t>Primes émises – Nettes</w:t>
            </w:r>
          </w:p>
        </w:tc>
        <w:tc>
          <w:tcPr>
            <w:tcW w:w="5953" w:type="dxa"/>
            <w:tcBorders>
              <w:left w:val="single" w:sz="4" w:space="0" w:color="000000"/>
              <w:right w:val="single" w:sz="4" w:space="0" w:color="000000"/>
            </w:tcBorders>
          </w:tcPr>
          <w:p w14:paraId="380FA6F3" w14:textId="77777777" w:rsidR="008161EF" w:rsidRPr="008B3312" w:rsidDel="00864227"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t xml:space="preserve">Primes émises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les primes nettes émises correspondent à la somme des primes brutes d’assurance directe et de réassurance acceptée, diminuée des primes cédées aux réassureurs. </w:t>
            </w:r>
          </w:p>
        </w:tc>
      </w:tr>
      <w:tr w:rsidR="008161EF" w:rsidRPr="008B3312" w:rsidDel="00864227" w14:paraId="6DA6DA39" w14:textId="77777777" w:rsidTr="001441D4">
        <w:tc>
          <w:tcPr>
            <w:tcW w:w="1526" w:type="dxa"/>
            <w:tcBorders>
              <w:right w:val="single" w:sz="4" w:space="0" w:color="000000"/>
            </w:tcBorders>
          </w:tcPr>
          <w:p w14:paraId="38E62F10"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C0530/R0210</w:t>
            </w:r>
          </w:p>
          <w:p w14:paraId="71A83CB2"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14:paraId="5E2D683B"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Primes acquises – Brutes – Assurance directe</w:t>
            </w:r>
          </w:p>
          <w:p w14:paraId="0F048B1C" w14:textId="77777777" w:rsidR="008161EF" w:rsidRPr="008B3312" w:rsidDel="00864227" w:rsidRDefault="008161EF" w:rsidP="001441D4">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3C596553" w14:textId="77777777" w:rsidR="008161EF" w:rsidRPr="008B3312"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t xml:space="preserve">Primes acquises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correspond à la somme des primes brutes émises, diminuée de la variation de la provision brute pour primes non acquises. Sont ici visés les montants liés à l’assurance directe.</w:t>
            </w:r>
          </w:p>
          <w:p w14:paraId="4C90E4D0" w14:textId="77777777" w:rsidR="008161EF" w:rsidRPr="008B3312" w:rsidDel="00864227" w:rsidRDefault="008161EF" w:rsidP="001441D4">
            <w:pPr>
              <w:spacing w:after="0" w:line="240" w:lineRule="auto"/>
              <w:jc w:val="both"/>
              <w:rPr>
                <w:rFonts w:ascii="Times New Roman" w:hAnsi="Times New Roman" w:cs="Times New Roman"/>
                <w:sz w:val="20"/>
                <w:szCs w:val="20"/>
              </w:rPr>
            </w:pPr>
          </w:p>
        </w:tc>
      </w:tr>
      <w:tr w:rsidR="008161EF" w:rsidRPr="008B3312" w:rsidDel="00864227" w14:paraId="48CCEC3E" w14:textId="77777777" w:rsidTr="001441D4">
        <w:tc>
          <w:tcPr>
            <w:tcW w:w="1526" w:type="dxa"/>
            <w:tcBorders>
              <w:right w:val="single" w:sz="4" w:space="0" w:color="000000"/>
            </w:tcBorders>
          </w:tcPr>
          <w:p w14:paraId="350EB4AB"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C0530/R0220</w:t>
            </w:r>
          </w:p>
          <w:p w14:paraId="1035D69F"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14:paraId="7C7744B6"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Primes acquises – Brutes – Réassurance proportionnelle acceptée</w:t>
            </w:r>
          </w:p>
          <w:p w14:paraId="0693E7BE" w14:textId="77777777" w:rsidR="008161EF" w:rsidRPr="008B3312" w:rsidDel="00864227" w:rsidRDefault="008161EF" w:rsidP="001441D4">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732E0D9B" w14:textId="77777777" w:rsidR="008161EF" w:rsidRPr="008B3312" w:rsidDel="00864227" w:rsidRDefault="008161EF" w:rsidP="001441D4">
            <w:pPr>
              <w:spacing w:after="0" w:line="240" w:lineRule="auto"/>
              <w:jc w:val="both"/>
              <w:rPr>
                <w:rFonts w:ascii="Times New Roman" w:hAnsi="Times New Roman" w:cs="Times New Roman"/>
                <w:sz w:val="20"/>
                <w:szCs w:val="20"/>
                <w:highlight w:val="yellow"/>
              </w:rPr>
            </w:pPr>
            <w:r>
              <w:rPr>
                <w:rFonts w:ascii="Times New Roman" w:hAnsi="Times New Roman"/>
                <w:sz w:val="20"/>
              </w:rPr>
              <w:t xml:space="preserve">Primes acquises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correspond à la somme des primes brutes émises, diminuée de la variation de la provision brute pour primes non acquises. Sont ici visés les montants liés à la réassurance proportionnelle acceptée.</w:t>
            </w:r>
          </w:p>
        </w:tc>
      </w:tr>
      <w:tr w:rsidR="008161EF" w:rsidRPr="008B3312" w:rsidDel="00864227" w14:paraId="29489747" w14:textId="77777777" w:rsidTr="001441D4">
        <w:tc>
          <w:tcPr>
            <w:tcW w:w="1526" w:type="dxa"/>
            <w:tcBorders>
              <w:right w:val="single" w:sz="4" w:space="0" w:color="000000"/>
            </w:tcBorders>
          </w:tcPr>
          <w:p w14:paraId="788FE6F4"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C0530/R0240</w:t>
            </w:r>
          </w:p>
          <w:p w14:paraId="439C1614"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14:paraId="5607C56C"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Primes acquises – Part des réassureurs</w:t>
            </w:r>
          </w:p>
          <w:p w14:paraId="032D9701" w14:textId="77777777" w:rsidR="008161EF" w:rsidRPr="008B3312" w:rsidDel="00864227" w:rsidRDefault="008161EF" w:rsidP="001441D4">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0706C1E1" w14:textId="77777777" w:rsidR="008161EF" w:rsidRPr="008B3312" w:rsidDel="00864227" w:rsidRDefault="008161EF" w:rsidP="001441D4">
            <w:pPr>
              <w:spacing w:after="0" w:line="240" w:lineRule="auto"/>
              <w:jc w:val="both"/>
              <w:rPr>
                <w:rFonts w:ascii="Times New Roman" w:hAnsi="Times New Roman" w:cs="Times New Roman"/>
                <w:sz w:val="20"/>
                <w:szCs w:val="20"/>
                <w:highlight w:val="yellow"/>
              </w:rPr>
            </w:pPr>
            <w:r>
              <w:rPr>
                <w:rFonts w:ascii="Times New Roman" w:hAnsi="Times New Roman"/>
                <w:sz w:val="20"/>
              </w:rPr>
              <w:t xml:space="preserve">Primes acquises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correspond à la part des réassureurs dans les primes brutes émises, diminuée de la variation de la part des réassureurs dans la provision pour primes non acquises.</w:t>
            </w:r>
          </w:p>
        </w:tc>
      </w:tr>
      <w:tr w:rsidR="008161EF" w:rsidRPr="008B3312" w:rsidDel="00864227" w14:paraId="27392B45" w14:textId="77777777" w:rsidTr="001441D4">
        <w:tc>
          <w:tcPr>
            <w:tcW w:w="1526" w:type="dxa"/>
            <w:tcBorders>
              <w:right w:val="single" w:sz="4" w:space="0" w:color="000000"/>
            </w:tcBorders>
          </w:tcPr>
          <w:p w14:paraId="60E054A6"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C0530/R0300</w:t>
            </w:r>
          </w:p>
          <w:p w14:paraId="191C5B68"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14:paraId="6FEB6092"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Primes acquises – Nettes</w:t>
            </w:r>
          </w:p>
          <w:p w14:paraId="33E4BF4B" w14:textId="77777777" w:rsidR="008161EF" w:rsidRPr="008B3312" w:rsidDel="00864227" w:rsidRDefault="008161EF" w:rsidP="001441D4">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698B7CA1" w14:textId="77777777" w:rsidR="008161EF" w:rsidRPr="008B3312" w:rsidDel="00864227" w:rsidRDefault="008161EF" w:rsidP="001441D4">
            <w:pPr>
              <w:spacing w:after="0" w:line="240" w:lineRule="auto"/>
              <w:jc w:val="both"/>
              <w:rPr>
                <w:rFonts w:ascii="Times New Roman" w:hAnsi="Times New Roman" w:cs="Times New Roman"/>
                <w:sz w:val="20"/>
                <w:szCs w:val="20"/>
                <w:highlight w:val="yellow"/>
              </w:rPr>
            </w:pPr>
            <w:r>
              <w:rPr>
                <w:rFonts w:ascii="Times New Roman" w:hAnsi="Times New Roman"/>
                <w:sz w:val="20"/>
              </w:rPr>
              <w:t xml:space="preserve">Primes acquises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correspond à la somme des primes brutes émises, diminuée de la variation de la provision brute pour primes non acquises. Est ici visée la somme des montants liés à l’assurance directe et à la réassurance acceptée, diminuée des montants cédés aux réassureurs. </w:t>
            </w:r>
          </w:p>
        </w:tc>
      </w:tr>
      <w:tr w:rsidR="008161EF" w:rsidRPr="008B3312" w:rsidDel="00864227" w14:paraId="04695C7E" w14:textId="77777777" w:rsidTr="001441D4">
        <w:tc>
          <w:tcPr>
            <w:tcW w:w="1526" w:type="dxa"/>
            <w:tcBorders>
              <w:right w:val="single" w:sz="4" w:space="0" w:color="000000"/>
            </w:tcBorders>
          </w:tcPr>
          <w:p w14:paraId="573DB66E"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C0530/R0310</w:t>
            </w:r>
          </w:p>
          <w:p w14:paraId="758C74EC"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14:paraId="286E6F35" w14:textId="77777777" w:rsidR="008161EF" w:rsidRPr="008B3312" w:rsidDel="00864227" w:rsidRDefault="008161EF" w:rsidP="001441D4">
            <w:pPr>
              <w:spacing w:after="0" w:line="240" w:lineRule="auto"/>
              <w:rPr>
                <w:rFonts w:ascii="Times New Roman" w:hAnsi="Times New Roman" w:cs="Times New Roman"/>
                <w:sz w:val="20"/>
                <w:szCs w:val="20"/>
              </w:rPr>
            </w:pPr>
            <w:r>
              <w:rPr>
                <w:rFonts w:ascii="Times New Roman" w:hAnsi="Times New Roman"/>
                <w:sz w:val="20"/>
              </w:rPr>
              <w:t xml:space="preserve">Charge des sinistres – Brute – Assurance directe </w:t>
            </w:r>
          </w:p>
        </w:tc>
        <w:tc>
          <w:tcPr>
            <w:tcW w:w="5953" w:type="dxa"/>
            <w:tcBorders>
              <w:left w:val="single" w:sz="4" w:space="0" w:color="000000"/>
              <w:right w:val="single" w:sz="4" w:space="0" w:color="000000"/>
            </w:tcBorders>
          </w:tcPr>
          <w:p w14:paraId="2FAD0644" w14:textId="77777777" w:rsidR="008161EF" w:rsidRPr="008B3312"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t xml:space="preserve">Charge des sinistres au titre de l’exercice,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la charge des sinistres est égale au total des indemnités versées au titre de l’exercice et de la variation de la provision pour sinistres durant cet exercice. Sont ici visés les montants liés à l’assurance directe. </w:t>
            </w:r>
          </w:p>
          <w:p w14:paraId="1BD63985" w14:textId="77777777" w:rsidR="008161EF" w:rsidRPr="008B3312" w:rsidDel="00864227" w:rsidRDefault="008161EF" w:rsidP="001441D4">
            <w:pPr>
              <w:spacing w:after="0" w:line="240" w:lineRule="auto"/>
              <w:jc w:val="both"/>
              <w:rPr>
                <w:rFonts w:ascii="Times New Roman" w:hAnsi="Times New Roman" w:cs="Times New Roman"/>
                <w:sz w:val="20"/>
                <w:szCs w:val="20"/>
                <w:highlight w:val="yellow"/>
              </w:rPr>
            </w:pPr>
            <w:r>
              <w:rPr>
                <w:rFonts w:ascii="Times New Roman" w:hAnsi="Times New Roman"/>
                <w:sz w:val="20"/>
              </w:rPr>
              <w:t>Exclut les frais de gestion des sinistres et la variation des provisions pour frais de gestion des sinistres.</w:t>
            </w:r>
          </w:p>
        </w:tc>
      </w:tr>
      <w:tr w:rsidR="008161EF" w:rsidRPr="008B3312" w:rsidDel="00864227" w14:paraId="69844736" w14:textId="77777777" w:rsidTr="001441D4">
        <w:tc>
          <w:tcPr>
            <w:tcW w:w="1526" w:type="dxa"/>
            <w:tcBorders>
              <w:right w:val="single" w:sz="4" w:space="0" w:color="000000"/>
            </w:tcBorders>
          </w:tcPr>
          <w:p w14:paraId="590DF197"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C0530/R0320</w:t>
            </w:r>
          </w:p>
          <w:p w14:paraId="06FA00F4"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14:paraId="400354FA"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 xml:space="preserve">Charge des sinistres – Brute – Réassurance </w:t>
            </w:r>
            <w:r>
              <w:rPr>
                <w:rFonts w:ascii="Times New Roman" w:hAnsi="Times New Roman"/>
                <w:sz w:val="20"/>
              </w:rPr>
              <w:lastRenderedPageBreak/>
              <w:t>proportionnelle acceptée</w:t>
            </w:r>
          </w:p>
          <w:p w14:paraId="5ADFC778" w14:textId="77777777" w:rsidR="008161EF" w:rsidRPr="008B3312" w:rsidDel="00864227" w:rsidRDefault="008161EF" w:rsidP="001441D4">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55F43FD4" w14:textId="77777777" w:rsidR="008161EF" w:rsidRPr="008B3312"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lastRenderedPageBreak/>
              <w:t xml:space="preserve">Charge des sinistres au titre de l’exercice,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la charge des sinistres est égale au total des indemnités versées au titre de l’exercice et de la variation de la </w:t>
            </w:r>
            <w:r>
              <w:rPr>
                <w:rFonts w:ascii="Times New Roman" w:hAnsi="Times New Roman"/>
                <w:sz w:val="20"/>
              </w:rPr>
              <w:lastRenderedPageBreak/>
              <w:t>provision pour sinistres durant cet exercice. Sont ici visés les montants bruts liés à la réassurance proportionnelle acceptée.</w:t>
            </w:r>
          </w:p>
          <w:p w14:paraId="16417DD0" w14:textId="77777777" w:rsidR="008161EF" w:rsidRPr="008B3312" w:rsidDel="00864227" w:rsidRDefault="008161EF" w:rsidP="001441D4">
            <w:pPr>
              <w:spacing w:after="0" w:line="240" w:lineRule="auto"/>
              <w:jc w:val="both"/>
              <w:rPr>
                <w:rFonts w:ascii="Times New Roman" w:hAnsi="Times New Roman" w:cs="Times New Roman"/>
                <w:sz w:val="20"/>
                <w:szCs w:val="20"/>
                <w:highlight w:val="yellow"/>
              </w:rPr>
            </w:pPr>
            <w:r>
              <w:rPr>
                <w:rFonts w:ascii="Times New Roman" w:hAnsi="Times New Roman"/>
                <w:sz w:val="20"/>
              </w:rPr>
              <w:t>Exclut les frais de gestion des sinistres et la variation des provisions pour frais de gestion des sinistres.</w:t>
            </w:r>
          </w:p>
        </w:tc>
      </w:tr>
      <w:tr w:rsidR="008161EF" w:rsidRPr="008B3312" w:rsidDel="00864227" w14:paraId="3958BE13" w14:textId="77777777" w:rsidTr="001441D4">
        <w:tc>
          <w:tcPr>
            <w:tcW w:w="1526" w:type="dxa"/>
            <w:tcBorders>
              <w:right w:val="single" w:sz="4" w:space="0" w:color="000000"/>
            </w:tcBorders>
          </w:tcPr>
          <w:p w14:paraId="12ACDABB"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lastRenderedPageBreak/>
              <w:t>C0500 à C0530/R0340</w:t>
            </w:r>
          </w:p>
          <w:p w14:paraId="0C4FF1EE"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14:paraId="72010190"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Charge des sinistres – Part des réassureurs</w:t>
            </w:r>
          </w:p>
          <w:p w14:paraId="2BA5E3CE" w14:textId="77777777" w:rsidR="008161EF" w:rsidRPr="008B3312" w:rsidDel="00864227" w:rsidRDefault="008161EF" w:rsidP="001441D4">
            <w:pPr>
              <w:spacing w:after="0" w:line="240" w:lineRule="auto"/>
              <w:rPr>
                <w:rFonts w:ascii="Times New Roman" w:hAnsi="Times New Roman" w:cs="Times New Roman"/>
                <w:sz w:val="20"/>
                <w:szCs w:val="20"/>
              </w:rPr>
            </w:pPr>
          </w:p>
        </w:tc>
        <w:tc>
          <w:tcPr>
            <w:tcW w:w="5953" w:type="dxa"/>
            <w:tcBorders>
              <w:left w:val="single" w:sz="4" w:space="0" w:color="000000"/>
              <w:right w:val="single" w:sz="4" w:space="0" w:color="000000"/>
            </w:tcBorders>
          </w:tcPr>
          <w:p w14:paraId="16211E4B" w14:textId="77777777" w:rsidR="008161EF" w:rsidRPr="008B3312"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t xml:space="preserve">Charge des sinistres au titre de l’exercice,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part des réassureurs dans le total des indemnités versées au titre de l’exercice et de la variation de la provision pour sinistres durant cet exercice.</w:t>
            </w:r>
          </w:p>
          <w:p w14:paraId="0F93EF87" w14:textId="77777777" w:rsidR="008161EF" w:rsidRPr="008B3312" w:rsidDel="00864227" w:rsidRDefault="008161EF" w:rsidP="001441D4">
            <w:pPr>
              <w:spacing w:after="0" w:line="240" w:lineRule="auto"/>
              <w:jc w:val="both"/>
              <w:rPr>
                <w:rFonts w:ascii="Times New Roman" w:hAnsi="Times New Roman" w:cs="Times New Roman"/>
                <w:sz w:val="20"/>
                <w:szCs w:val="20"/>
                <w:highlight w:val="yellow"/>
              </w:rPr>
            </w:pPr>
            <w:r>
              <w:rPr>
                <w:rFonts w:ascii="Times New Roman" w:hAnsi="Times New Roman"/>
                <w:sz w:val="20"/>
              </w:rPr>
              <w:t>Exclut les frais de gestion des sinistres et la variation des provisions pour frais de gestion des sinistres.</w:t>
            </w:r>
          </w:p>
        </w:tc>
      </w:tr>
      <w:tr w:rsidR="008161EF" w:rsidRPr="008B3312" w:rsidDel="00864227" w14:paraId="72E56FBE" w14:textId="77777777" w:rsidTr="001441D4">
        <w:tc>
          <w:tcPr>
            <w:tcW w:w="1526" w:type="dxa"/>
            <w:tcBorders>
              <w:right w:val="single" w:sz="4" w:space="0" w:color="000000"/>
            </w:tcBorders>
          </w:tcPr>
          <w:p w14:paraId="1C80A2F1"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C0530/R0400</w:t>
            </w:r>
          </w:p>
          <w:p w14:paraId="0DF7A855"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14:paraId="710181DE" w14:textId="77777777" w:rsidR="008161EF" w:rsidRPr="008B3312" w:rsidDel="00864227" w:rsidRDefault="008161EF" w:rsidP="001441D4">
            <w:pPr>
              <w:spacing w:after="0" w:line="240" w:lineRule="auto"/>
              <w:rPr>
                <w:rFonts w:ascii="Times New Roman" w:hAnsi="Times New Roman" w:cs="Times New Roman"/>
                <w:sz w:val="20"/>
                <w:szCs w:val="20"/>
              </w:rPr>
            </w:pPr>
            <w:r>
              <w:rPr>
                <w:rFonts w:ascii="Times New Roman" w:hAnsi="Times New Roman"/>
                <w:sz w:val="20"/>
              </w:rPr>
              <w:t>Charge des sinistres – Nette</w:t>
            </w:r>
          </w:p>
        </w:tc>
        <w:tc>
          <w:tcPr>
            <w:tcW w:w="5953" w:type="dxa"/>
            <w:tcBorders>
              <w:left w:val="single" w:sz="4" w:space="0" w:color="000000"/>
              <w:right w:val="single" w:sz="4" w:space="0" w:color="000000"/>
            </w:tcBorders>
          </w:tcPr>
          <w:p w14:paraId="61E01C4E" w14:textId="77777777" w:rsidR="008161EF" w:rsidRPr="008B3312"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t xml:space="preserve">Charge des sinistres au titre de l’exercice,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la charge des sinistres est égale au total des indemnités versées au titre de l’exercice et de la variation de la provision pour sinistres durant cet exercice. Est ici visée la somme des montants liés à l’assurance directe et à la réassurance acceptée, diminuée des montants cédés aux réassureurs. </w:t>
            </w:r>
          </w:p>
          <w:p w14:paraId="6DAAC382" w14:textId="77777777" w:rsidR="008161EF" w:rsidRPr="008B3312"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t>Exclut les frais de gestion des sinistres et la variation des provisions pour frais de gestion des sinistres.</w:t>
            </w:r>
          </w:p>
          <w:p w14:paraId="4B1B5700" w14:textId="77777777" w:rsidR="008161EF" w:rsidRPr="008B3312" w:rsidDel="00864227" w:rsidRDefault="008161EF" w:rsidP="001441D4">
            <w:pPr>
              <w:spacing w:after="0" w:line="240" w:lineRule="auto"/>
              <w:jc w:val="both"/>
              <w:rPr>
                <w:rFonts w:ascii="Times New Roman" w:hAnsi="Times New Roman" w:cs="Times New Roman"/>
                <w:sz w:val="20"/>
                <w:szCs w:val="20"/>
                <w:highlight w:val="yellow"/>
              </w:rPr>
            </w:pPr>
          </w:p>
        </w:tc>
      </w:tr>
      <w:tr w:rsidR="008161EF" w:rsidRPr="008B3312" w14:paraId="369BC57A" w14:textId="77777777" w:rsidTr="001441D4">
        <w:tc>
          <w:tcPr>
            <w:tcW w:w="1526" w:type="dxa"/>
            <w:tcBorders>
              <w:right w:val="single" w:sz="4" w:space="0" w:color="000000"/>
            </w:tcBorders>
          </w:tcPr>
          <w:p w14:paraId="66FCB692"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C0530/R0410</w:t>
            </w:r>
          </w:p>
        </w:tc>
        <w:tc>
          <w:tcPr>
            <w:tcW w:w="1701" w:type="dxa"/>
            <w:tcBorders>
              <w:left w:val="single" w:sz="4" w:space="0" w:color="000000"/>
              <w:right w:val="single" w:sz="4" w:space="0" w:color="000000"/>
            </w:tcBorders>
          </w:tcPr>
          <w:p w14:paraId="07F4E445"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 xml:space="preserve">Variation des autres provisions techniques – Brute – Assurance directe </w:t>
            </w:r>
          </w:p>
        </w:tc>
        <w:tc>
          <w:tcPr>
            <w:tcW w:w="5953" w:type="dxa"/>
            <w:tcBorders>
              <w:left w:val="single" w:sz="4" w:space="0" w:color="000000"/>
              <w:right w:val="single" w:sz="4" w:space="0" w:color="000000"/>
            </w:tcBorders>
          </w:tcPr>
          <w:p w14:paraId="58E5EDC0" w14:textId="77777777" w:rsidR="008161EF" w:rsidRDefault="008161EF" w:rsidP="001441D4">
            <w:pPr>
              <w:spacing w:after="0" w:line="240" w:lineRule="auto"/>
              <w:jc w:val="both"/>
              <w:rPr>
                <w:rFonts w:ascii="Times New Roman" w:hAnsi="Times New Roman"/>
                <w:sz w:val="20"/>
              </w:rPr>
            </w:pPr>
            <w:r>
              <w:rPr>
                <w:rFonts w:ascii="Times New Roman" w:hAnsi="Times New Roman"/>
                <w:sz w:val="20"/>
              </w:rPr>
              <w:t xml:space="preserve">Variation des autres provisions techniques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variation des autres provisions techniques. Sont ici visés les montants bruts liés à l’assurance directe.</w:t>
            </w:r>
          </w:p>
          <w:p w14:paraId="07DED1EB" w14:textId="77777777" w:rsidR="008161EF" w:rsidRDefault="008161EF" w:rsidP="001441D4">
            <w:pPr>
              <w:spacing w:after="0" w:line="240" w:lineRule="auto"/>
              <w:jc w:val="both"/>
              <w:rPr>
                <w:rFonts w:ascii="Times New Roman" w:hAnsi="Times New Roman"/>
                <w:sz w:val="20"/>
              </w:rPr>
            </w:pPr>
          </w:p>
          <w:p w14:paraId="0A27DED2" w14:textId="77777777" w:rsidR="008161EF" w:rsidRPr="008B3312" w:rsidRDefault="008161EF" w:rsidP="001441D4">
            <w:pPr>
              <w:spacing w:after="0" w:line="240" w:lineRule="auto"/>
              <w:jc w:val="both"/>
              <w:rPr>
                <w:rFonts w:ascii="Times New Roman" w:hAnsi="Times New Roman" w:cs="Times New Roman"/>
                <w:sz w:val="20"/>
                <w:szCs w:val="20"/>
                <w:highlight w:val="yellow"/>
              </w:rPr>
            </w:pPr>
            <w:r>
              <w:rPr>
                <w:rFonts w:ascii="Times New Roman" w:hAnsi="Times New Roman"/>
                <w:sz w:val="20"/>
              </w:rPr>
              <w:t>La valeur indiquée doit être positive si la variation est négative (baisse des autres provisions techniques contribuant positivement au résultat technique), et doit être négative si la variation est positive (hausse des autres provisions techniques contribuant négativement au résultat technique).</w:t>
            </w:r>
          </w:p>
        </w:tc>
      </w:tr>
      <w:tr w:rsidR="008161EF" w:rsidRPr="008B3312" w14:paraId="6D02AB0E" w14:textId="77777777" w:rsidTr="001441D4">
        <w:tc>
          <w:tcPr>
            <w:tcW w:w="1526" w:type="dxa"/>
            <w:tcBorders>
              <w:right w:val="single" w:sz="4" w:space="0" w:color="000000"/>
            </w:tcBorders>
          </w:tcPr>
          <w:p w14:paraId="10F3B316"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C0530/R0420</w:t>
            </w:r>
          </w:p>
        </w:tc>
        <w:tc>
          <w:tcPr>
            <w:tcW w:w="1701" w:type="dxa"/>
            <w:tcBorders>
              <w:left w:val="single" w:sz="4" w:space="0" w:color="000000"/>
              <w:right w:val="single" w:sz="4" w:space="0" w:color="000000"/>
            </w:tcBorders>
          </w:tcPr>
          <w:p w14:paraId="702A1DB1"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Variation des autres provisions techniques – Brute – Réassurance proportionnelle acceptée</w:t>
            </w:r>
          </w:p>
        </w:tc>
        <w:tc>
          <w:tcPr>
            <w:tcW w:w="5953" w:type="dxa"/>
            <w:tcBorders>
              <w:left w:val="single" w:sz="4" w:space="0" w:color="000000"/>
              <w:right w:val="single" w:sz="4" w:space="0" w:color="000000"/>
            </w:tcBorders>
          </w:tcPr>
          <w:p w14:paraId="1AC2132D" w14:textId="77777777" w:rsidR="008161EF" w:rsidRPr="008B3312"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t xml:space="preserve">Variation des autres provisions techniques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variation des autres provisions techniques. Sont ici visés les montants bruts liés à la réassurance proportionnelle acceptée.</w:t>
            </w:r>
          </w:p>
          <w:p w14:paraId="22667333" w14:textId="77777777" w:rsidR="008161EF" w:rsidRDefault="008161EF" w:rsidP="001441D4">
            <w:pPr>
              <w:spacing w:after="0" w:line="240" w:lineRule="auto"/>
              <w:jc w:val="both"/>
              <w:rPr>
                <w:rFonts w:ascii="Times New Roman" w:hAnsi="Times New Roman" w:cs="Times New Roman"/>
                <w:sz w:val="20"/>
                <w:szCs w:val="20"/>
                <w:highlight w:val="yellow"/>
              </w:rPr>
            </w:pPr>
          </w:p>
          <w:p w14:paraId="4F5E3ACD" w14:textId="77777777" w:rsidR="008161EF" w:rsidRPr="008B3312" w:rsidRDefault="008161EF" w:rsidP="001441D4">
            <w:pPr>
              <w:spacing w:after="0" w:line="240" w:lineRule="auto"/>
              <w:jc w:val="both"/>
              <w:rPr>
                <w:rFonts w:ascii="Times New Roman" w:hAnsi="Times New Roman" w:cs="Times New Roman"/>
                <w:sz w:val="20"/>
                <w:szCs w:val="20"/>
                <w:highlight w:val="yellow"/>
              </w:rPr>
            </w:pPr>
            <w:r>
              <w:rPr>
                <w:rFonts w:ascii="Times New Roman" w:hAnsi="Times New Roman"/>
                <w:sz w:val="20"/>
              </w:rPr>
              <w:t>La valeur indiquée doit être positive si la variation est négative (baisse des autres provisions techniques contribuant positivement au résultat technique), et doit être négative si la variation est positive (hausse des autres provisions techniques contribuant négativement au résultat technique).</w:t>
            </w:r>
          </w:p>
        </w:tc>
      </w:tr>
      <w:tr w:rsidR="008161EF" w:rsidRPr="008B3312" w14:paraId="5971A1F5" w14:textId="77777777" w:rsidTr="001441D4">
        <w:tc>
          <w:tcPr>
            <w:tcW w:w="1526" w:type="dxa"/>
            <w:tcBorders>
              <w:right w:val="single" w:sz="4" w:space="0" w:color="000000"/>
            </w:tcBorders>
          </w:tcPr>
          <w:p w14:paraId="1A691719"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C0530/R0440</w:t>
            </w:r>
          </w:p>
        </w:tc>
        <w:tc>
          <w:tcPr>
            <w:tcW w:w="1701" w:type="dxa"/>
            <w:tcBorders>
              <w:left w:val="single" w:sz="4" w:space="0" w:color="000000"/>
              <w:right w:val="single" w:sz="4" w:space="0" w:color="000000"/>
            </w:tcBorders>
          </w:tcPr>
          <w:p w14:paraId="4CA7D9D8"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Variation des autres provisions techniques – Part des réassureurs</w:t>
            </w:r>
          </w:p>
        </w:tc>
        <w:tc>
          <w:tcPr>
            <w:tcW w:w="5953" w:type="dxa"/>
            <w:tcBorders>
              <w:left w:val="single" w:sz="4" w:space="0" w:color="000000"/>
              <w:right w:val="single" w:sz="4" w:space="0" w:color="000000"/>
            </w:tcBorders>
          </w:tcPr>
          <w:p w14:paraId="5E5D2369" w14:textId="77777777" w:rsidR="008161EF" w:rsidRDefault="008161EF" w:rsidP="001441D4">
            <w:pPr>
              <w:spacing w:after="0" w:line="240" w:lineRule="auto"/>
              <w:jc w:val="both"/>
              <w:rPr>
                <w:rFonts w:ascii="Times New Roman" w:hAnsi="Times New Roman"/>
                <w:sz w:val="20"/>
              </w:rPr>
            </w:pPr>
            <w:r>
              <w:rPr>
                <w:rFonts w:ascii="Times New Roman" w:hAnsi="Times New Roman"/>
                <w:sz w:val="20"/>
              </w:rPr>
              <w:t xml:space="preserve">Variation des autres provisions techniques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variation des autres provisions techniques. Sont ici visés les montants liés aux cessions en réassurance.</w:t>
            </w:r>
          </w:p>
          <w:p w14:paraId="36245B39" w14:textId="77777777" w:rsidR="008161EF" w:rsidRDefault="008161EF" w:rsidP="001441D4">
            <w:pPr>
              <w:spacing w:after="0" w:line="240" w:lineRule="auto"/>
              <w:jc w:val="both"/>
              <w:rPr>
                <w:rFonts w:ascii="Times New Roman" w:hAnsi="Times New Roman"/>
                <w:sz w:val="20"/>
              </w:rPr>
            </w:pPr>
          </w:p>
          <w:p w14:paraId="2BCC58A6" w14:textId="77777777" w:rsidR="008161EF" w:rsidRPr="008B3312" w:rsidRDefault="008161EF" w:rsidP="001441D4">
            <w:pPr>
              <w:spacing w:after="0" w:line="240" w:lineRule="auto"/>
              <w:jc w:val="both"/>
              <w:rPr>
                <w:rFonts w:ascii="Times New Roman" w:hAnsi="Times New Roman" w:cs="Times New Roman"/>
                <w:sz w:val="20"/>
                <w:szCs w:val="20"/>
                <w:highlight w:val="yellow"/>
              </w:rPr>
            </w:pPr>
            <w:r>
              <w:rPr>
                <w:rFonts w:ascii="Times New Roman" w:hAnsi="Times New Roman"/>
                <w:sz w:val="20"/>
              </w:rPr>
              <w:t>La valeur indiquée doit être positive si la variation est négative, et doit être négative si la variation est positive.</w:t>
            </w:r>
          </w:p>
        </w:tc>
      </w:tr>
      <w:tr w:rsidR="008161EF" w:rsidRPr="008B3312" w14:paraId="7BAEACB2" w14:textId="77777777" w:rsidTr="001441D4">
        <w:tc>
          <w:tcPr>
            <w:tcW w:w="1526" w:type="dxa"/>
            <w:tcBorders>
              <w:right w:val="single" w:sz="4" w:space="0" w:color="000000"/>
            </w:tcBorders>
          </w:tcPr>
          <w:p w14:paraId="775F230B"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C0530/R0500</w:t>
            </w:r>
          </w:p>
        </w:tc>
        <w:tc>
          <w:tcPr>
            <w:tcW w:w="1701" w:type="dxa"/>
            <w:tcBorders>
              <w:left w:val="single" w:sz="4" w:space="0" w:color="000000"/>
              <w:right w:val="single" w:sz="4" w:space="0" w:color="000000"/>
            </w:tcBorders>
          </w:tcPr>
          <w:p w14:paraId="17D0648B"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Variation des autres provisions techniques – Nette</w:t>
            </w:r>
          </w:p>
        </w:tc>
        <w:tc>
          <w:tcPr>
            <w:tcW w:w="5953" w:type="dxa"/>
            <w:tcBorders>
              <w:left w:val="single" w:sz="4" w:space="0" w:color="000000"/>
              <w:right w:val="single" w:sz="4" w:space="0" w:color="000000"/>
            </w:tcBorders>
          </w:tcPr>
          <w:p w14:paraId="30ADF29A" w14:textId="77777777" w:rsidR="008161EF" w:rsidRDefault="008161EF" w:rsidP="001441D4">
            <w:pPr>
              <w:spacing w:after="0" w:line="240" w:lineRule="auto"/>
              <w:jc w:val="both"/>
              <w:rPr>
                <w:rFonts w:ascii="Times New Roman" w:hAnsi="Times New Roman"/>
                <w:sz w:val="20"/>
              </w:rPr>
            </w:pPr>
            <w:r>
              <w:rPr>
                <w:rFonts w:ascii="Times New Roman" w:hAnsi="Times New Roman"/>
                <w:sz w:val="20"/>
              </w:rPr>
              <w:t xml:space="preserve">Variation des autres provisions techniques au sens de la directive 91/674/CEE, </w:t>
            </w:r>
            <w:proofErr w:type="gramStart"/>
            <w:r>
              <w:rPr>
                <w:rFonts w:ascii="Times New Roman" w:hAnsi="Times New Roman"/>
                <w:sz w:val="20"/>
              </w:rPr>
              <w:t>lorsqu’applicable:</w:t>
            </w:r>
            <w:proofErr w:type="gramEnd"/>
            <w:r>
              <w:rPr>
                <w:rFonts w:ascii="Times New Roman" w:hAnsi="Times New Roman"/>
                <w:sz w:val="20"/>
              </w:rPr>
              <w:t xml:space="preserve"> la variation nette des autres provisions techniques représente la somme des montants liés à l’assurance directe et à la réassurance acceptée, diminuée des montants cédés aux réassureurs. </w:t>
            </w:r>
          </w:p>
          <w:p w14:paraId="1C40CA13" w14:textId="77777777" w:rsidR="008161EF" w:rsidRDefault="008161EF" w:rsidP="001441D4">
            <w:pPr>
              <w:spacing w:after="0" w:line="240" w:lineRule="auto"/>
              <w:jc w:val="both"/>
              <w:rPr>
                <w:rFonts w:ascii="Times New Roman" w:hAnsi="Times New Roman"/>
                <w:sz w:val="20"/>
              </w:rPr>
            </w:pPr>
          </w:p>
          <w:p w14:paraId="7C95035B" w14:textId="77777777" w:rsidR="008161EF" w:rsidRPr="008B3312" w:rsidRDefault="008161EF" w:rsidP="001441D4">
            <w:pPr>
              <w:spacing w:after="0" w:line="240" w:lineRule="auto"/>
              <w:jc w:val="both"/>
              <w:rPr>
                <w:rFonts w:ascii="Times New Roman" w:hAnsi="Times New Roman" w:cs="Times New Roman"/>
                <w:sz w:val="20"/>
                <w:szCs w:val="20"/>
                <w:highlight w:val="yellow"/>
              </w:rPr>
            </w:pPr>
            <w:r>
              <w:rPr>
                <w:rFonts w:ascii="Times New Roman" w:hAnsi="Times New Roman"/>
                <w:sz w:val="20"/>
              </w:rPr>
              <w:t>La valeur indiquée doit être positive si la variation est négative (baisse des autres provisions techniques contribuant positivement au résultat technique), et doit être négative si la variation est positive (hausse des autres provisions techniques contribuant négativement au résultat technique).</w:t>
            </w:r>
          </w:p>
        </w:tc>
      </w:tr>
      <w:tr w:rsidR="008161EF" w:rsidRPr="008B3312" w14:paraId="751C39F4" w14:textId="77777777" w:rsidTr="001441D4">
        <w:tc>
          <w:tcPr>
            <w:tcW w:w="1526" w:type="dxa"/>
            <w:tcBorders>
              <w:right w:val="single" w:sz="4" w:space="0" w:color="000000"/>
            </w:tcBorders>
          </w:tcPr>
          <w:p w14:paraId="77242591"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C0500 à C0530/R0550</w:t>
            </w:r>
          </w:p>
          <w:p w14:paraId="40C22416" w14:textId="77777777" w:rsidR="008161EF" w:rsidRPr="008B3312" w:rsidRDefault="008161EF" w:rsidP="001441D4">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14:paraId="72EF35EF"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Dépenses engagées</w:t>
            </w:r>
          </w:p>
        </w:tc>
        <w:tc>
          <w:tcPr>
            <w:tcW w:w="5953" w:type="dxa"/>
            <w:tcBorders>
              <w:left w:val="single" w:sz="4" w:space="0" w:color="000000"/>
              <w:right w:val="single" w:sz="4" w:space="0" w:color="000000"/>
            </w:tcBorders>
          </w:tcPr>
          <w:p w14:paraId="5DF4F8C6" w14:textId="24B4B54B" w:rsidR="008161EF" w:rsidRPr="008B3312"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t>Toutes les dépen</w:t>
            </w:r>
            <w:r w:rsidR="00D04203">
              <w:rPr>
                <w:rFonts w:ascii="Times New Roman" w:hAnsi="Times New Roman"/>
                <w:sz w:val="20"/>
              </w:rPr>
              <w:t>ses techniques engagées par l’O</w:t>
            </w:r>
            <w:r>
              <w:rPr>
                <w:rFonts w:ascii="Times New Roman" w:hAnsi="Times New Roman"/>
                <w:sz w:val="20"/>
              </w:rPr>
              <w:t>RPS durant la période de référence, en comptabilité d’exercice.</w:t>
            </w:r>
          </w:p>
          <w:p w14:paraId="19F8B3F3" w14:textId="77777777" w:rsidR="008161EF" w:rsidRPr="008B3312" w:rsidRDefault="008161EF" w:rsidP="001441D4">
            <w:pPr>
              <w:spacing w:after="0" w:line="240" w:lineRule="auto"/>
              <w:jc w:val="both"/>
              <w:rPr>
                <w:rFonts w:ascii="Times New Roman" w:hAnsi="Times New Roman" w:cs="Times New Roman"/>
                <w:sz w:val="20"/>
                <w:szCs w:val="20"/>
                <w:highlight w:val="yellow"/>
              </w:rPr>
            </w:pPr>
          </w:p>
        </w:tc>
      </w:tr>
      <w:tr w:rsidR="008161EF" w14:paraId="61CC7694" w14:textId="77777777" w:rsidTr="001441D4">
        <w:tc>
          <w:tcPr>
            <w:tcW w:w="1526" w:type="dxa"/>
            <w:tcBorders>
              <w:top w:val="single" w:sz="4" w:space="0" w:color="auto"/>
              <w:left w:val="single" w:sz="4" w:space="0" w:color="auto"/>
              <w:bottom w:val="single" w:sz="4" w:space="0" w:color="auto"/>
              <w:right w:val="single" w:sz="4" w:space="0" w:color="auto"/>
            </w:tcBorders>
          </w:tcPr>
          <w:p w14:paraId="56E84D2F" w14:textId="77777777" w:rsidR="008161EF" w:rsidDel="00A75F78" w:rsidRDefault="008161EF" w:rsidP="001441D4">
            <w:pPr>
              <w:spacing w:after="0" w:line="240" w:lineRule="auto"/>
              <w:rPr>
                <w:rFonts w:ascii="Times New Roman" w:hAnsi="Times New Roman"/>
                <w:sz w:val="20"/>
              </w:rPr>
            </w:pPr>
            <w:r>
              <w:rPr>
                <w:rFonts w:ascii="Times New Roman" w:hAnsi="Times New Roman"/>
                <w:sz w:val="20"/>
              </w:rPr>
              <w:t>C0500/R0110–R550</w:t>
            </w:r>
          </w:p>
        </w:tc>
        <w:tc>
          <w:tcPr>
            <w:tcW w:w="1701" w:type="dxa"/>
            <w:tcBorders>
              <w:top w:val="single" w:sz="4" w:space="0" w:color="auto"/>
              <w:left w:val="single" w:sz="4" w:space="0" w:color="auto"/>
              <w:bottom w:val="single" w:sz="4" w:space="0" w:color="auto"/>
              <w:right w:val="single" w:sz="4" w:space="0" w:color="auto"/>
            </w:tcBorders>
          </w:tcPr>
          <w:p w14:paraId="28E5F48B" w14:textId="77777777" w:rsidR="008161EF" w:rsidRDefault="008161EF" w:rsidP="001441D4">
            <w:pPr>
              <w:spacing w:after="0" w:line="240" w:lineRule="auto"/>
              <w:rPr>
                <w:rFonts w:ascii="Times New Roman" w:hAnsi="Times New Roman"/>
                <w:sz w:val="20"/>
              </w:rPr>
            </w:pPr>
            <w:r>
              <w:rPr>
                <w:rFonts w:ascii="Times New Roman" w:hAnsi="Times New Roman"/>
                <w:sz w:val="20"/>
              </w:rPr>
              <w:t>Incapacité - Invalidité</w:t>
            </w:r>
          </w:p>
        </w:tc>
        <w:tc>
          <w:tcPr>
            <w:tcW w:w="5953" w:type="dxa"/>
            <w:tcBorders>
              <w:top w:val="single" w:sz="4" w:space="0" w:color="auto"/>
              <w:left w:val="single" w:sz="4" w:space="0" w:color="auto"/>
              <w:bottom w:val="single" w:sz="4" w:space="0" w:color="auto"/>
              <w:right w:val="single" w:sz="4" w:space="0" w:color="auto"/>
            </w:tcBorders>
          </w:tcPr>
          <w:p w14:paraId="18E344A0" w14:textId="77777777" w:rsidR="008161EF" w:rsidRDefault="008161EF" w:rsidP="001441D4">
            <w:pPr>
              <w:spacing w:after="0" w:line="240" w:lineRule="auto"/>
              <w:jc w:val="both"/>
              <w:rPr>
                <w:rFonts w:ascii="Times New Roman" w:hAnsi="Times New Roman"/>
                <w:sz w:val="20"/>
              </w:rPr>
            </w:pPr>
            <w:r>
              <w:rPr>
                <w:rFonts w:ascii="Times New Roman" w:hAnsi="Times New Roman"/>
                <w:sz w:val="20"/>
              </w:rPr>
              <w:t>Valeurs prises par les différents postes pour les garanties accessoires (hors acceptations) d’incapacité et invalidité</w:t>
            </w:r>
          </w:p>
        </w:tc>
      </w:tr>
      <w:tr w:rsidR="008161EF" w14:paraId="63A362B0" w14:textId="77777777" w:rsidTr="001441D4">
        <w:tc>
          <w:tcPr>
            <w:tcW w:w="1526" w:type="dxa"/>
            <w:tcBorders>
              <w:top w:val="single" w:sz="4" w:space="0" w:color="auto"/>
              <w:left w:val="single" w:sz="4" w:space="0" w:color="auto"/>
              <w:bottom w:val="single" w:sz="4" w:space="0" w:color="auto"/>
              <w:right w:val="single" w:sz="4" w:space="0" w:color="auto"/>
            </w:tcBorders>
          </w:tcPr>
          <w:p w14:paraId="7BEDFE67" w14:textId="77777777" w:rsidR="008161EF" w:rsidDel="00A75F78" w:rsidRDefault="008161EF" w:rsidP="001441D4">
            <w:pPr>
              <w:spacing w:after="0" w:line="240" w:lineRule="auto"/>
              <w:rPr>
                <w:rFonts w:ascii="Times New Roman" w:hAnsi="Times New Roman"/>
                <w:sz w:val="20"/>
              </w:rPr>
            </w:pPr>
            <w:r>
              <w:rPr>
                <w:rFonts w:ascii="Times New Roman" w:hAnsi="Times New Roman"/>
                <w:sz w:val="20"/>
              </w:rPr>
              <w:lastRenderedPageBreak/>
              <w:t>C0510/R0110–R550</w:t>
            </w:r>
          </w:p>
        </w:tc>
        <w:tc>
          <w:tcPr>
            <w:tcW w:w="1701" w:type="dxa"/>
            <w:tcBorders>
              <w:top w:val="single" w:sz="4" w:space="0" w:color="auto"/>
              <w:left w:val="single" w:sz="4" w:space="0" w:color="auto"/>
              <w:bottom w:val="single" w:sz="4" w:space="0" w:color="auto"/>
              <w:right w:val="single" w:sz="4" w:space="0" w:color="auto"/>
            </w:tcBorders>
          </w:tcPr>
          <w:p w14:paraId="7445B22C" w14:textId="77777777" w:rsidR="008161EF" w:rsidRDefault="008161EF" w:rsidP="001441D4">
            <w:pPr>
              <w:spacing w:after="0" w:line="240" w:lineRule="auto"/>
              <w:rPr>
                <w:rFonts w:ascii="Times New Roman" w:hAnsi="Times New Roman"/>
                <w:sz w:val="20"/>
              </w:rPr>
            </w:pPr>
            <w:r>
              <w:rPr>
                <w:rFonts w:ascii="Times New Roman" w:hAnsi="Times New Roman"/>
                <w:sz w:val="20"/>
              </w:rPr>
              <w:t>Autres</w:t>
            </w:r>
          </w:p>
        </w:tc>
        <w:tc>
          <w:tcPr>
            <w:tcW w:w="5953" w:type="dxa"/>
            <w:tcBorders>
              <w:top w:val="single" w:sz="4" w:space="0" w:color="auto"/>
              <w:left w:val="single" w:sz="4" w:space="0" w:color="auto"/>
              <w:bottom w:val="single" w:sz="4" w:space="0" w:color="auto"/>
              <w:right w:val="single" w:sz="4" w:space="0" w:color="auto"/>
            </w:tcBorders>
          </w:tcPr>
          <w:p w14:paraId="30D12C75" w14:textId="77777777" w:rsidR="008161EF" w:rsidRDefault="008161EF" w:rsidP="001441D4">
            <w:pPr>
              <w:spacing w:after="0" w:line="240" w:lineRule="auto"/>
              <w:jc w:val="both"/>
              <w:rPr>
                <w:rFonts w:ascii="Times New Roman" w:hAnsi="Times New Roman"/>
                <w:sz w:val="20"/>
              </w:rPr>
            </w:pPr>
            <w:r>
              <w:rPr>
                <w:rFonts w:ascii="Times New Roman" w:hAnsi="Times New Roman"/>
                <w:sz w:val="20"/>
              </w:rPr>
              <w:t>Valeurs prises par les différents postes pour les autres garanties accessoires (hors acceptation)</w:t>
            </w:r>
          </w:p>
        </w:tc>
      </w:tr>
      <w:tr w:rsidR="008161EF" w14:paraId="6B1A87F1" w14:textId="77777777" w:rsidTr="001441D4">
        <w:tc>
          <w:tcPr>
            <w:tcW w:w="1526" w:type="dxa"/>
            <w:tcBorders>
              <w:top w:val="single" w:sz="4" w:space="0" w:color="auto"/>
              <w:left w:val="single" w:sz="4" w:space="0" w:color="auto"/>
              <w:bottom w:val="single" w:sz="4" w:space="0" w:color="auto"/>
              <w:right w:val="single" w:sz="4" w:space="0" w:color="auto"/>
            </w:tcBorders>
          </w:tcPr>
          <w:p w14:paraId="0E0DE025" w14:textId="77777777" w:rsidR="008161EF" w:rsidDel="00A75F78" w:rsidRDefault="008161EF" w:rsidP="001441D4">
            <w:pPr>
              <w:spacing w:after="0" w:line="240" w:lineRule="auto"/>
              <w:rPr>
                <w:rFonts w:ascii="Times New Roman" w:hAnsi="Times New Roman"/>
                <w:sz w:val="20"/>
              </w:rPr>
            </w:pPr>
            <w:r>
              <w:rPr>
                <w:rFonts w:ascii="Times New Roman" w:hAnsi="Times New Roman"/>
                <w:sz w:val="20"/>
              </w:rPr>
              <w:t>C0520/R0110–R550</w:t>
            </w:r>
          </w:p>
        </w:tc>
        <w:tc>
          <w:tcPr>
            <w:tcW w:w="1701" w:type="dxa"/>
            <w:tcBorders>
              <w:top w:val="single" w:sz="4" w:space="0" w:color="auto"/>
              <w:left w:val="single" w:sz="4" w:space="0" w:color="auto"/>
              <w:bottom w:val="single" w:sz="4" w:space="0" w:color="auto"/>
              <w:right w:val="single" w:sz="4" w:space="0" w:color="auto"/>
            </w:tcBorders>
          </w:tcPr>
          <w:p w14:paraId="455C95A0" w14:textId="77777777" w:rsidR="008161EF" w:rsidRDefault="008161EF" w:rsidP="001441D4">
            <w:pPr>
              <w:spacing w:after="0" w:line="240" w:lineRule="auto"/>
              <w:rPr>
                <w:rFonts w:ascii="Times New Roman" w:hAnsi="Times New Roman"/>
                <w:sz w:val="20"/>
              </w:rPr>
            </w:pPr>
            <w:r>
              <w:rPr>
                <w:rFonts w:ascii="Times New Roman" w:hAnsi="Times New Roman"/>
                <w:sz w:val="20"/>
              </w:rPr>
              <w:t xml:space="preserve">Acceptations – Incapacité – Invalidité </w:t>
            </w:r>
          </w:p>
        </w:tc>
        <w:tc>
          <w:tcPr>
            <w:tcW w:w="5953" w:type="dxa"/>
            <w:tcBorders>
              <w:top w:val="single" w:sz="4" w:space="0" w:color="auto"/>
              <w:left w:val="single" w:sz="4" w:space="0" w:color="auto"/>
              <w:bottom w:val="single" w:sz="4" w:space="0" w:color="auto"/>
              <w:right w:val="single" w:sz="4" w:space="0" w:color="auto"/>
            </w:tcBorders>
          </w:tcPr>
          <w:p w14:paraId="0BE4FF15" w14:textId="77777777" w:rsidR="008161EF" w:rsidRDefault="008161EF" w:rsidP="001441D4">
            <w:pPr>
              <w:spacing w:after="0" w:line="240" w:lineRule="auto"/>
              <w:jc w:val="both"/>
              <w:rPr>
                <w:rFonts w:ascii="Times New Roman" w:hAnsi="Times New Roman"/>
                <w:sz w:val="20"/>
              </w:rPr>
            </w:pPr>
            <w:r>
              <w:rPr>
                <w:rFonts w:ascii="Times New Roman" w:hAnsi="Times New Roman"/>
                <w:sz w:val="20"/>
              </w:rPr>
              <w:t>Valeurs prises par les différents postes pour les acceptations de garanties accessoires d’incapacité et invalidité</w:t>
            </w:r>
          </w:p>
        </w:tc>
      </w:tr>
      <w:tr w:rsidR="008161EF" w14:paraId="690A49E9" w14:textId="77777777" w:rsidTr="001441D4">
        <w:tc>
          <w:tcPr>
            <w:tcW w:w="1526" w:type="dxa"/>
            <w:tcBorders>
              <w:top w:val="single" w:sz="4" w:space="0" w:color="auto"/>
              <w:left w:val="single" w:sz="4" w:space="0" w:color="auto"/>
              <w:bottom w:val="single" w:sz="4" w:space="0" w:color="auto"/>
              <w:right w:val="single" w:sz="4" w:space="0" w:color="auto"/>
            </w:tcBorders>
          </w:tcPr>
          <w:p w14:paraId="73DE150B" w14:textId="77777777" w:rsidR="008161EF" w:rsidDel="00A75F78" w:rsidRDefault="008161EF" w:rsidP="001441D4">
            <w:pPr>
              <w:spacing w:after="0" w:line="240" w:lineRule="auto"/>
              <w:rPr>
                <w:rFonts w:ascii="Times New Roman" w:hAnsi="Times New Roman"/>
                <w:sz w:val="20"/>
              </w:rPr>
            </w:pPr>
            <w:r>
              <w:rPr>
                <w:rFonts w:ascii="Times New Roman" w:hAnsi="Times New Roman"/>
                <w:sz w:val="20"/>
              </w:rPr>
              <w:t>C0530/R0110–R550</w:t>
            </w:r>
          </w:p>
        </w:tc>
        <w:tc>
          <w:tcPr>
            <w:tcW w:w="1701" w:type="dxa"/>
            <w:tcBorders>
              <w:top w:val="single" w:sz="4" w:space="0" w:color="auto"/>
              <w:left w:val="single" w:sz="4" w:space="0" w:color="auto"/>
              <w:bottom w:val="single" w:sz="4" w:space="0" w:color="auto"/>
              <w:right w:val="single" w:sz="4" w:space="0" w:color="auto"/>
            </w:tcBorders>
          </w:tcPr>
          <w:p w14:paraId="29DA47CD" w14:textId="77777777" w:rsidR="008161EF" w:rsidRDefault="008161EF" w:rsidP="001441D4">
            <w:pPr>
              <w:spacing w:after="0" w:line="240" w:lineRule="auto"/>
              <w:rPr>
                <w:rFonts w:ascii="Times New Roman" w:hAnsi="Times New Roman"/>
                <w:sz w:val="20"/>
              </w:rPr>
            </w:pPr>
            <w:r>
              <w:rPr>
                <w:rFonts w:ascii="Times New Roman" w:hAnsi="Times New Roman"/>
                <w:sz w:val="20"/>
              </w:rPr>
              <w:t xml:space="preserve">Acceptations – autres </w:t>
            </w:r>
          </w:p>
        </w:tc>
        <w:tc>
          <w:tcPr>
            <w:tcW w:w="5953" w:type="dxa"/>
            <w:tcBorders>
              <w:top w:val="single" w:sz="4" w:space="0" w:color="auto"/>
              <w:left w:val="single" w:sz="4" w:space="0" w:color="auto"/>
              <w:bottom w:val="single" w:sz="4" w:space="0" w:color="auto"/>
              <w:right w:val="single" w:sz="4" w:space="0" w:color="auto"/>
            </w:tcBorders>
          </w:tcPr>
          <w:p w14:paraId="3601403E" w14:textId="513FE255" w:rsidR="008161EF" w:rsidRDefault="008161EF" w:rsidP="001441D4">
            <w:pPr>
              <w:spacing w:after="0" w:line="240" w:lineRule="auto"/>
              <w:jc w:val="both"/>
              <w:rPr>
                <w:rFonts w:ascii="Times New Roman" w:hAnsi="Times New Roman"/>
                <w:sz w:val="20"/>
              </w:rPr>
            </w:pPr>
            <w:r>
              <w:rPr>
                <w:rFonts w:ascii="Times New Roman" w:hAnsi="Times New Roman"/>
                <w:sz w:val="20"/>
              </w:rPr>
              <w:t>Valeurs prises par les différents postes pour les acceptation</w:t>
            </w:r>
            <w:r w:rsidR="00C42C88">
              <w:rPr>
                <w:rFonts w:ascii="Times New Roman" w:hAnsi="Times New Roman"/>
                <w:sz w:val="20"/>
              </w:rPr>
              <w:t>s</w:t>
            </w:r>
            <w:r>
              <w:rPr>
                <w:rFonts w:ascii="Times New Roman" w:hAnsi="Times New Roman"/>
                <w:sz w:val="20"/>
              </w:rPr>
              <w:t xml:space="preserve"> d’autres garanties accessoires </w:t>
            </w:r>
          </w:p>
        </w:tc>
      </w:tr>
      <w:tr w:rsidR="008161EF" w:rsidRPr="008B3312" w14:paraId="5E88B05E" w14:textId="77777777" w:rsidTr="001441D4">
        <w:tc>
          <w:tcPr>
            <w:tcW w:w="1526" w:type="dxa"/>
            <w:tcBorders>
              <w:top w:val="single" w:sz="4" w:space="0" w:color="auto"/>
              <w:left w:val="single" w:sz="4" w:space="0" w:color="auto"/>
              <w:bottom w:val="single" w:sz="4" w:space="0" w:color="auto"/>
              <w:right w:val="single" w:sz="4" w:space="0" w:color="auto"/>
            </w:tcBorders>
          </w:tcPr>
          <w:p w14:paraId="4AC2631C"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C0540/R0110–R550</w:t>
            </w:r>
          </w:p>
        </w:tc>
        <w:tc>
          <w:tcPr>
            <w:tcW w:w="1701" w:type="dxa"/>
            <w:tcBorders>
              <w:top w:val="single" w:sz="4" w:space="0" w:color="auto"/>
              <w:left w:val="single" w:sz="4" w:space="0" w:color="auto"/>
              <w:bottom w:val="single" w:sz="4" w:space="0" w:color="auto"/>
              <w:right w:val="single" w:sz="4" w:space="0" w:color="auto"/>
            </w:tcBorders>
          </w:tcPr>
          <w:p w14:paraId="1E60FF7E" w14:textId="77777777" w:rsidR="008161EF" w:rsidRPr="008B3312" w:rsidRDefault="008161EF" w:rsidP="001441D4">
            <w:pPr>
              <w:spacing w:after="0" w:line="240" w:lineRule="auto"/>
              <w:rPr>
                <w:rFonts w:ascii="Times New Roman" w:hAnsi="Times New Roman" w:cs="Times New Roman"/>
                <w:sz w:val="20"/>
                <w:szCs w:val="20"/>
              </w:rPr>
            </w:pPr>
            <w:r>
              <w:rPr>
                <w:rFonts w:ascii="Times New Roman" w:hAnsi="Times New Roman"/>
                <w:sz w:val="20"/>
              </w:rPr>
              <w:t>Total</w:t>
            </w:r>
          </w:p>
        </w:tc>
        <w:tc>
          <w:tcPr>
            <w:tcW w:w="5953" w:type="dxa"/>
            <w:tcBorders>
              <w:top w:val="single" w:sz="4" w:space="0" w:color="auto"/>
              <w:left w:val="single" w:sz="4" w:space="0" w:color="auto"/>
              <w:bottom w:val="single" w:sz="4" w:space="0" w:color="auto"/>
              <w:right w:val="single" w:sz="4" w:space="0" w:color="auto"/>
            </w:tcBorders>
          </w:tcPr>
          <w:p w14:paraId="0A3641D8" w14:textId="77777777" w:rsidR="008161EF" w:rsidRPr="008B3312" w:rsidRDefault="008161EF" w:rsidP="001441D4">
            <w:pPr>
              <w:spacing w:after="0" w:line="240" w:lineRule="auto"/>
              <w:jc w:val="both"/>
              <w:rPr>
                <w:rFonts w:ascii="Times New Roman" w:hAnsi="Times New Roman" w:cs="Times New Roman"/>
                <w:sz w:val="20"/>
                <w:szCs w:val="20"/>
              </w:rPr>
            </w:pPr>
            <w:r>
              <w:rPr>
                <w:rFonts w:ascii="Times New Roman" w:hAnsi="Times New Roman"/>
                <w:sz w:val="20"/>
              </w:rPr>
              <w:t>Total des différents postes pour toutes les garanties accessoires</w:t>
            </w:r>
          </w:p>
        </w:tc>
      </w:tr>
    </w:tbl>
    <w:p w14:paraId="5E9E4318" w14:textId="77777777" w:rsidR="00270A08" w:rsidRDefault="00270A08">
      <w:pPr>
        <w:rPr>
          <w:rFonts w:ascii="Times New Roman" w:hAnsi="Times New Roman"/>
        </w:rPr>
      </w:pPr>
    </w:p>
    <w:p w14:paraId="76C88871" w14:textId="4408680C" w:rsidR="00637AB7" w:rsidRDefault="00D04203" w:rsidP="00D04203">
      <w:pPr>
        <w:spacing w:after="0" w:line="240" w:lineRule="auto"/>
        <w:jc w:val="both"/>
        <w:rPr>
          <w:rFonts w:ascii="Times New Roman" w:hAnsi="Times New Roman"/>
          <w:b/>
          <w:sz w:val="20"/>
        </w:rPr>
      </w:pPr>
      <w:r w:rsidRPr="00D04203">
        <w:rPr>
          <w:rFonts w:ascii="Times New Roman" w:hAnsi="Times New Roman"/>
          <w:b/>
          <w:sz w:val="20"/>
        </w:rPr>
        <w:t>Tableau de l’état</w:t>
      </w:r>
    </w:p>
    <w:p w14:paraId="57DB6D14" w14:textId="77777777" w:rsidR="00D04203" w:rsidRDefault="00D04203" w:rsidP="00D04203">
      <w:pPr>
        <w:spacing w:after="0" w:line="240" w:lineRule="auto"/>
        <w:jc w:val="both"/>
        <w:rPr>
          <w:rFonts w:ascii="Times New Roman" w:hAnsi="Times New Roman"/>
          <w:b/>
          <w:sz w:val="20"/>
        </w:rPr>
      </w:pPr>
    </w:p>
    <w:p w14:paraId="17F479D3" w14:textId="0B43BCEE" w:rsidR="00D04203" w:rsidRPr="00D04203" w:rsidRDefault="00D04203" w:rsidP="00D04203">
      <w:pPr>
        <w:spacing w:after="0" w:line="240" w:lineRule="auto"/>
        <w:jc w:val="both"/>
        <w:rPr>
          <w:rFonts w:ascii="Times New Roman" w:hAnsi="Times New Roman"/>
          <w:b/>
          <w:sz w:val="20"/>
        </w:rPr>
      </w:pPr>
      <w:r w:rsidRPr="00D04203">
        <w:rPr>
          <w:noProof/>
          <w:lang w:bidi="ar-SA"/>
        </w:rPr>
        <w:lastRenderedPageBreak/>
        <w:drawing>
          <wp:inline distT="0" distB="0" distL="0" distR="0" wp14:anchorId="7D56E76F" wp14:editId="55DFF694">
            <wp:extent cx="5731510" cy="7191908"/>
            <wp:effectExtent l="0" t="0" r="254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7191908"/>
                    </a:xfrm>
                    <a:prstGeom prst="rect">
                      <a:avLst/>
                    </a:prstGeom>
                    <a:noFill/>
                    <a:ln>
                      <a:noFill/>
                    </a:ln>
                  </pic:spPr>
                </pic:pic>
              </a:graphicData>
            </a:graphic>
          </wp:inline>
        </w:drawing>
      </w:r>
    </w:p>
    <w:sectPr w:rsidR="00D04203" w:rsidRPr="00D04203" w:rsidSect="00637AB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WILKINSON Baptiste (UA 2775)" w:date="2023-03-09T17:11:00Z" w:initials="WB(2">
    <w:p w14:paraId="2DA44F18" w14:textId="24420770" w:rsidR="00E866C7" w:rsidRDefault="00E866C7">
      <w:pPr>
        <w:pStyle w:val="Commentaire"/>
      </w:pPr>
      <w:r>
        <w:rPr>
          <w:rStyle w:val="Marquedecommentaire"/>
        </w:rPr>
        <w:annotationRef/>
      </w:r>
      <w:proofErr w:type="spellStart"/>
      <w:r>
        <w:t>A</w:t>
      </w:r>
      <w:proofErr w:type="spellEnd"/>
      <w:r>
        <w:t xml:space="preserve"> quoi sert cet état ? l’état RC.13.07 fournit déjà </w:t>
      </w:r>
      <w:proofErr w:type="gramStart"/>
      <w:r>
        <w:t>les info</w:t>
      </w:r>
      <w:proofErr w:type="gramEnd"/>
      <w:r>
        <w:t xml:space="preserve"> de manière plus fine, sans parler de la pertinence des catégories définit dans cet état.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DA44F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A44F18" w16cid:durableId="299AA5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FBF37" w14:textId="77777777" w:rsidR="006C35D8" w:rsidRDefault="006C35D8" w:rsidP="0051516F">
      <w:pPr>
        <w:spacing w:after="0" w:line="240" w:lineRule="auto"/>
      </w:pPr>
      <w:r>
        <w:separator/>
      </w:r>
    </w:p>
  </w:endnote>
  <w:endnote w:type="continuationSeparator" w:id="0">
    <w:p w14:paraId="2B5C03B9" w14:textId="77777777" w:rsidR="006C35D8" w:rsidRDefault="006C35D8" w:rsidP="00515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337EA" w14:textId="77777777" w:rsidR="006C35D8" w:rsidRDefault="006C35D8" w:rsidP="0051516F">
      <w:pPr>
        <w:spacing w:after="0" w:line="240" w:lineRule="auto"/>
      </w:pPr>
      <w:r>
        <w:separator/>
      </w:r>
    </w:p>
  </w:footnote>
  <w:footnote w:type="continuationSeparator" w:id="0">
    <w:p w14:paraId="1A3B888B" w14:textId="77777777" w:rsidR="006C35D8" w:rsidRDefault="006C35D8" w:rsidP="00515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15:restartNumberingAfterBreak="0">
    <w:nsid w:val="0B847731"/>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F34966"/>
    <w:multiLevelType w:val="hybridMultilevel"/>
    <w:tmpl w:val="395E5498"/>
    <w:lvl w:ilvl="0" w:tplc="7CDCA0BE">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15:restartNumberingAfterBreak="0">
    <w:nsid w:val="182D28F2"/>
    <w:multiLevelType w:val="hybridMultilevel"/>
    <w:tmpl w:val="DED04BCC"/>
    <w:lvl w:ilvl="0" w:tplc="94002CD8">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5" w15:restartNumberingAfterBreak="0">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8721E0"/>
    <w:multiLevelType w:val="hybridMultilevel"/>
    <w:tmpl w:val="88500F06"/>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6" w15:restartNumberingAfterBreak="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3" w15:restartNumberingAfterBreak="0">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4" w15:restartNumberingAfterBreak="0">
    <w:nsid w:val="42BC675F"/>
    <w:multiLevelType w:val="hybridMultilevel"/>
    <w:tmpl w:val="ED5CABB4"/>
    <w:lvl w:ilvl="0" w:tplc="872AC02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E0096A"/>
    <w:multiLevelType w:val="hybridMultilevel"/>
    <w:tmpl w:val="607A7D48"/>
    <w:lvl w:ilvl="0" w:tplc="1D1E8900">
      <w:start w:val="99"/>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3" w15:restartNumberingAfterBreak="0">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8" w15:restartNumberingAfterBreak="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0" w15:restartNumberingAfterBreak="0">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EC215D7"/>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2" w15:restartNumberingAfterBreak="0">
    <w:nsid w:val="5EC32D05"/>
    <w:multiLevelType w:val="hybridMultilevel"/>
    <w:tmpl w:val="408CC3C8"/>
    <w:lvl w:ilvl="0" w:tplc="936C053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61" w15:restartNumberingAfterBreak="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3" w15:restartNumberingAfterBreak="0">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5"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0" w15:restartNumberingAfterBreak="0">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20"/>
  </w:num>
  <w:num w:numId="2">
    <w:abstractNumId w:val="46"/>
  </w:num>
  <w:num w:numId="3">
    <w:abstractNumId w:val="68"/>
  </w:num>
  <w:num w:numId="4">
    <w:abstractNumId w:val="9"/>
  </w:num>
  <w:num w:numId="5">
    <w:abstractNumId w:val="30"/>
  </w:num>
  <w:num w:numId="6">
    <w:abstractNumId w:val="43"/>
  </w:num>
  <w:num w:numId="7">
    <w:abstractNumId w:val="50"/>
  </w:num>
  <w:num w:numId="8">
    <w:abstractNumId w:val="0"/>
  </w:num>
  <w:num w:numId="9">
    <w:abstractNumId w:val="7"/>
  </w:num>
  <w:num w:numId="10">
    <w:abstractNumId w:val="67"/>
  </w:num>
  <w:num w:numId="11">
    <w:abstractNumId w:val="5"/>
  </w:num>
  <w:num w:numId="12">
    <w:abstractNumId w:val="28"/>
  </w:num>
  <w:num w:numId="13">
    <w:abstractNumId w:val="47"/>
  </w:num>
  <w:num w:numId="14">
    <w:abstractNumId w:val="56"/>
  </w:num>
  <w:num w:numId="15">
    <w:abstractNumId w:val="61"/>
  </w:num>
  <w:num w:numId="16">
    <w:abstractNumId w:val="14"/>
  </w:num>
  <w:num w:numId="17">
    <w:abstractNumId w:val="53"/>
  </w:num>
  <w:num w:numId="18">
    <w:abstractNumId w:val="31"/>
  </w:num>
  <w:num w:numId="19">
    <w:abstractNumId w:val="59"/>
  </w:num>
  <w:num w:numId="20">
    <w:abstractNumId w:val="54"/>
  </w:num>
  <w:num w:numId="21">
    <w:abstractNumId w:val="26"/>
  </w:num>
  <w:num w:numId="22">
    <w:abstractNumId w:val="55"/>
  </w:num>
  <w:num w:numId="23">
    <w:abstractNumId w:val="15"/>
  </w:num>
  <w:num w:numId="24">
    <w:abstractNumId w:val="32"/>
  </w:num>
  <w:num w:numId="25">
    <w:abstractNumId w:val="49"/>
  </w:num>
  <w:num w:numId="26">
    <w:abstractNumId w:val="70"/>
  </w:num>
  <w:num w:numId="27">
    <w:abstractNumId w:val="16"/>
  </w:num>
  <w:num w:numId="28">
    <w:abstractNumId w:val="3"/>
  </w:num>
  <w:num w:numId="29">
    <w:abstractNumId w:val="17"/>
  </w:num>
  <w:num w:numId="30">
    <w:abstractNumId w:val="13"/>
  </w:num>
  <w:num w:numId="31">
    <w:abstractNumId w:val="29"/>
  </w:num>
  <w:num w:numId="32">
    <w:abstractNumId w:val="65"/>
  </w:num>
  <w:num w:numId="33">
    <w:abstractNumId w:val="45"/>
  </w:num>
  <w:num w:numId="34">
    <w:abstractNumId w:val="57"/>
  </w:num>
  <w:num w:numId="35">
    <w:abstractNumId w:val="63"/>
  </w:num>
  <w:num w:numId="36">
    <w:abstractNumId w:val="1"/>
  </w:num>
  <w:num w:numId="37">
    <w:abstractNumId w:val="22"/>
  </w:num>
  <w:num w:numId="38">
    <w:abstractNumId w:val="62"/>
  </w:num>
  <w:num w:numId="39">
    <w:abstractNumId w:val="18"/>
  </w:num>
  <w:num w:numId="40">
    <w:abstractNumId w:val="42"/>
  </w:num>
  <w:num w:numId="41">
    <w:abstractNumId w:val="58"/>
  </w:num>
  <w:num w:numId="42">
    <w:abstractNumId w:val="11"/>
  </w:num>
  <w:num w:numId="43">
    <w:abstractNumId w:val="69"/>
  </w:num>
  <w:num w:numId="44">
    <w:abstractNumId w:val="6"/>
  </w:num>
  <w:num w:numId="45">
    <w:abstractNumId w:val="33"/>
  </w:num>
  <w:num w:numId="46">
    <w:abstractNumId w:val="27"/>
  </w:num>
  <w:num w:numId="47">
    <w:abstractNumId w:val="40"/>
  </w:num>
  <w:num w:numId="48">
    <w:abstractNumId w:val="37"/>
  </w:num>
  <w:num w:numId="49">
    <w:abstractNumId w:val="48"/>
  </w:num>
  <w:num w:numId="50">
    <w:abstractNumId w:val="21"/>
  </w:num>
  <w:num w:numId="51">
    <w:abstractNumId w:val="64"/>
  </w:num>
  <w:num w:numId="52">
    <w:abstractNumId w:val="8"/>
  </w:num>
  <w:num w:numId="53">
    <w:abstractNumId w:val="2"/>
  </w:num>
  <w:num w:numId="54">
    <w:abstractNumId w:val="23"/>
  </w:num>
  <w:num w:numId="55">
    <w:abstractNumId w:val="24"/>
  </w:num>
  <w:num w:numId="56">
    <w:abstractNumId w:val="25"/>
  </w:num>
  <w:num w:numId="57">
    <w:abstractNumId w:val="38"/>
  </w:num>
  <w:num w:numId="58">
    <w:abstractNumId w:val="44"/>
  </w:num>
  <w:num w:numId="59">
    <w:abstractNumId w:val="35"/>
  </w:num>
  <w:num w:numId="60">
    <w:abstractNumId w:val="60"/>
  </w:num>
  <w:num w:numId="61">
    <w:abstractNumId w:val="4"/>
  </w:num>
  <w:num w:numId="62">
    <w:abstractNumId w:val="51"/>
  </w:num>
  <w:num w:numId="63">
    <w:abstractNumId w:val="52"/>
  </w:num>
  <w:num w:numId="64">
    <w:abstractNumId w:val="19"/>
  </w:num>
  <w:num w:numId="65">
    <w:abstractNumId w:val="41"/>
  </w:num>
  <w:num w:numId="66">
    <w:abstractNumId w:val="39"/>
  </w:num>
  <w:num w:numId="67">
    <w:abstractNumId w:val="36"/>
  </w:num>
  <w:num w:numId="68">
    <w:abstractNumId w:val="66"/>
  </w:num>
  <w:num w:numId="69">
    <w:abstractNumId w:val="12"/>
  </w:num>
  <w:num w:numId="70">
    <w:abstractNumId w:val="34"/>
  </w:num>
  <w:num w:numId="71">
    <w:abstractNumId w:val="10"/>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LKINSON Baptiste (UA 2775)">
    <w15:presenceInfo w15:providerId="AD" w15:userId="S-1-5-21-932784933-1916278750-2019186543-5090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A2880"/>
    <w:rsid w:val="000065DD"/>
    <w:rsid w:val="0001032B"/>
    <w:rsid w:val="0001107D"/>
    <w:rsid w:val="000113C0"/>
    <w:rsid w:val="00011FC3"/>
    <w:rsid w:val="00013D49"/>
    <w:rsid w:val="0001770E"/>
    <w:rsid w:val="00020961"/>
    <w:rsid w:val="000228E3"/>
    <w:rsid w:val="00026F3F"/>
    <w:rsid w:val="00035FBF"/>
    <w:rsid w:val="00036E79"/>
    <w:rsid w:val="00044E7C"/>
    <w:rsid w:val="00045F07"/>
    <w:rsid w:val="00053333"/>
    <w:rsid w:val="00053D9E"/>
    <w:rsid w:val="00056F3B"/>
    <w:rsid w:val="000570D1"/>
    <w:rsid w:val="00074077"/>
    <w:rsid w:val="00076C40"/>
    <w:rsid w:val="00080895"/>
    <w:rsid w:val="00082D34"/>
    <w:rsid w:val="00085D2D"/>
    <w:rsid w:val="00095251"/>
    <w:rsid w:val="00097A27"/>
    <w:rsid w:val="000A20C4"/>
    <w:rsid w:val="000A21AE"/>
    <w:rsid w:val="000A55AA"/>
    <w:rsid w:val="000A66DC"/>
    <w:rsid w:val="000B1310"/>
    <w:rsid w:val="000C45A0"/>
    <w:rsid w:val="000C4A9C"/>
    <w:rsid w:val="000C6BAE"/>
    <w:rsid w:val="000D2E4C"/>
    <w:rsid w:val="000D3256"/>
    <w:rsid w:val="000D4830"/>
    <w:rsid w:val="000D7BD0"/>
    <w:rsid w:val="000F1290"/>
    <w:rsid w:val="000F4484"/>
    <w:rsid w:val="000F4F41"/>
    <w:rsid w:val="0010016B"/>
    <w:rsid w:val="001062B8"/>
    <w:rsid w:val="0010649D"/>
    <w:rsid w:val="0010788F"/>
    <w:rsid w:val="0011455D"/>
    <w:rsid w:val="00124DC1"/>
    <w:rsid w:val="0012637F"/>
    <w:rsid w:val="00126B85"/>
    <w:rsid w:val="00132A41"/>
    <w:rsid w:val="001441D4"/>
    <w:rsid w:val="00144777"/>
    <w:rsid w:val="00157CC7"/>
    <w:rsid w:val="001635A8"/>
    <w:rsid w:val="00166F34"/>
    <w:rsid w:val="001716A8"/>
    <w:rsid w:val="0017378A"/>
    <w:rsid w:val="00175AA7"/>
    <w:rsid w:val="00180169"/>
    <w:rsid w:val="00182441"/>
    <w:rsid w:val="00182F92"/>
    <w:rsid w:val="00187BC4"/>
    <w:rsid w:val="0019116F"/>
    <w:rsid w:val="0019271B"/>
    <w:rsid w:val="0019645C"/>
    <w:rsid w:val="001A6891"/>
    <w:rsid w:val="001B2D41"/>
    <w:rsid w:val="001B32BC"/>
    <w:rsid w:val="001B67DD"/>
    <w:rsid w:val="001D06F5"/>
    <w:rsid w:val="001D0DE2"/>
    <w:rsid w:val="001D212F"/>
    <w:rsid w:val="001D2292"/>
    <w:rsid w:val="001D3D3D"/>
    <w:rsid w:val="001D4914"/>
    <w:rsid w:val="001E2E9D"/>
    <w:rsid w:val="001E7E5D"/>
    <w:rsid w:val="001F33AD"/>
    <w:rsid w:val="002037B9"/>
    <w:rsid w:val="0020511C"/>
    <w:rsid w:val="0020548A"/>
    <w:rsid w:val="0020581A"/>
    <w:rsid w:val="00213DFA"/>
    <w:rsid w:val="00214026"/>
    <w:rsid w:val="0022080E"/>
    <w:rsid w:val="00223ABA"/>
    <w:rsid w:val="002247D6"/>
    <w:rsid w:val="00226AF2"/>
    <w:rsid w:val="00235E62"/>
    <w:rsid w:val="00240D74"/>
    <w:rsid w:val="00241EF2"/>
    <w:rsid w:val="002447AA"/>
    <w:rsid w:val="0025281F"/>
    <w:rsid w:val="00262318"/>
    <w:rsid w:val="00262375"/>
    <w:rsid w:val="00266BEC"/>
    <w:rsid w:val="00270A08"/>
    <w:rsid w:val="00276645"/>
    <w:rsid w:val="00276C4C"/>
    <w:rsid w:val="00284994"/>
    <w:rsid w:val="0028500E"/>
    <w:rsid w:val="00286AA4"/>
    <w:rsid w:val="0029352E"/>
    <w:rsid w:val="002A01AC"/>
    <w:rsid w:val="002A0ACD"/>
    <w:rsid w:val="002A2F57"/>
    <w:rsid w:val="002B48D4"/>
    <w:rsid w:val="002C06A5"/>
    <w:rsid w:val="002C203E"/>
    <w:rsid w:val="002C253B"/>
    <w:rsid w:val="002C5083"/>
    <w:rsid w:val="002D07BB"/>
    <w:rsid w:val="002D7C8F"/>
    <w:rsid w:val="002E120A"/>
    <w:rsid w:val="002E2940"/>
    <w:rsid w:val="002E4D76"/>
    <w:rsid w:val="002E5263"/>
    <w:rsid w:val="002E5306"/>
    <w:rsid w:val="002E770C"/>
    <w:rsid w:val="002F0892"/>
    <w:rsid w:val="003026E0"/>
    <w:rsid w:val="00302DC9"/>
    <w:rsid w:val="00306742"/>
    <w:rsid w:val="00312902"/>
    <w:rsid w:val="0031378D"/>
    <w:rsid w:val="003175FF"/>
    <w:rsid w:val="00317AA6"/>
    <w:rsid w:val="00325F40"/>
    <w:rsid w:val="00330A0E"/>
    <w:rsid w:val="003316D5"/>
    <w:rsid w:val="003327D2"/>
    <w:rsid w:val="00334E4B"/>
    <w:rsid w:val="00344A73"/>
    <w:rsid w:val="0034585D"/>
    <w:rsid w:val="00345A4E"/>
    <w:rsid w:val="003466C0"/>
    <w:rsid w:val="003506B2"/>
    <w:rsid w:val="00352D31"/>
    <w:rsid w:val="0036363B"/>
    <w:rsid w:val="00380326"/>
    <w:rsid w:val="003854FB"/>
    <w:rsid w:val="00390330"/>
    <w:rsid w:val="0039140E"/>
    <w:rsid w:val="0039387E"/>
    <w:rsid w:val="003A149C"/>
    <w:rsid w:val="003A1841"/>
    <w:rsid w:val="003A207D"/>
    <w:rsid w:val="003B2B5D"/>
    <w:rsid w:val="003B315C"/>
    <w:rsid w:val="003B3EC6"/>
    <w:rsid w:val="003B5C85"/>
    <w:rsid w:val="003C09CC"/>
    <w:rsid w:val="003C27DA"/>
    <w:rsid w:val="003C60E6"/>
    <w:rsid w:val="003D2920"/>
    <w:rsid w:val="003D361D"/>
    <w:rsid w:val="003D56C4"/>
    <w:rsid w:val="003D5D09"/>
    <w:rsid w:val="003E0378"/>
    <w:rsid w:val="003E7263"/>
    <w:rsid w:val="003E7BC7"/>
    <w:rsid w:val="003E7C29"/>
    <w:rsid w:val="003F24FC"/>
    <w:rsid w:val="003F7860"/>
    <w:rsid w:val="00411393"/>
    <w:rsid w:val="00415ED5"/>
    <w:rsid w:val="00425D6F"/>
    <w:rsid w:val="00434485"/>
    <w:rsid w:val="00440C4F"/>
    <w:rsid w:val="00440FC8"/>
    <w:rsid w:val="004415A6"/>
    <w:rsid w:val="004416A8"/>
    <w:rsid w:val="0044177B"/>
    <w:rsid w:val="00444C82"/>
    <w:rsid w:val="0044578D"/>
    <w:rsid w:val="00445E5A"/>
    <w:rsid w:val="00452293"/>
    <w:rsid w:val="00457489"/>
    <w:rsid w:val="00460B44"/>
    <w:rsid w:val="0046361A"/>
    <w:rsid w:val="00463B3E"/>
    <w:rsid w:val="00463F41"/>
    <w:rsid w:val="00464B85"/>
    <w:rsid w:val="00482CC5"/>
    <w:rsid w:val="00486118"/>
    <w:rsid w:val="00486501"/>
    <w:rsid w:val="0049344B"/>
    <w:rsid w:val="00496908"/>
    <w:rsid w:val="00496E20"/>
    <w:rsid w:val="004A4F35"/>
    <w:rsid w:val="004A7A8F"/>
    <w:rsid w:val="004B05E3"/>
    <w:rsid w:val="004B0C75"/>
    <w:rsid w:val="004B2500"/>
    <w:rsid w:val="004B41E6"/>
    <w:rsid w:val="004B61AF"/>
    <w:rsid w:val="004C0920"/>
    <w:rsid w:val="004C5083"/>
    <w:rsid w:val="004D51A9"/>
    <w:rsid w:val="004D683A"/>
    <w:rsid w:val="004E0DC4"/>
    <w:rsid w:val="004E2CD5"/>
    <w:rsid w:val="004E7A49"/>
    <w:rsid w:val="004F1DD8"/>
    <w:rsid w:val="004F2256"/>
    <w:rsid w:val="004F7035"/>
    <w:rsid w:val="004F7860"/>
    <w:rsid w:val="00503D92"/>
    <w:rsid w:val="0051516F"/>
    <w:rsid w:val="00525199"/>
    <w:rsid w:val="005255A2"/>
    <w:rsid w:val="00525F28"/>
    <w:rsid w:val="0053713B"/>
    <w:rsid w:val="005446B2"/>
    <w:rsid w:val="00552B99"/>
    <w:rsid w:val="0055345F"/>
    <w:rsid w:val="005570BE"/>
    <w:rsid w:val="0056144F"/>
    <w:rsid w:val="00561AAF"/>
    <w:rsid w:val="0056505D"/>
    <w:rsid w:val="00565267"/>
    <w:rsid w:val="00573E2C"/>
    <w:rsid w:val="00583E5E"/>
    <w:rsid w:val="00585B98"/>
    <w:rsid w:val="00591058"/>
    <w:rsid w:val="00595775"/>
    <w:rsid w:val="005A2F45"/>
    <w:rsid w:val="005B0A66"/>
    <w:rsid w:val="005B60CA"/>
    <w:rsid w:val="005C0297"/>
    <w:rsid w:val="005C54BC"/>
    <w:rsid w:val="005D0351"/>
    <w:rsid w:val="005D0BAB"/>
    <w:rsid w:val="005D5B72"/>
    <w:rsid w:val="005E2783"/>
    <w:rsid w:val="005E724C"/>
    <w:rsid w:val="005F3ABE"/>
    <w:rsid w:val="005F721A"/>
    <w:rsid w:val="00600656"/>
    <w:rsid w:val="00601B14"/>
    <w:rsid w:val="0060445C"/>
    <w:rsid w:val="00604BAF"/>
    <w:rsid w:val="00611C81"/>
    <w:rsid w:val="00612C5B"/>
    <w:rsid w:val="00614E25"/>
    <w:rsid w:val="00620B4E"/>
    <w:rsid w:val="006313E1"/>
    <w:rsid w:val="006317FF"/>
    <w:rsid w:val="00632A29"/>
    <w:rsid w:val="00637AB7"/>
    <w:rsid w:val="00641121"/>
    <w:rsid w:val="00643E80"/>
    <w:rsid w:val="00651E3F"/>
    <w:rsid w:val="0067006B"/>
    <w:rsid w:val="006707A9"/>
    <w:rsid w:val="006746F6"/>
    <w:rsid w:val="00674FAB"/>
    <w:rsid w:val="00677115"/>
    <w:rsid w:val="00681AAB"/>
    <w:rsid w:val="006822AF"/>
    <w:rsid w:val="00684869"/>
    <w:rsid w:val="00685858"/>
    <w:rsid w:val="00686578"/>
    <w:rsid w:val="006876BB"/>
    <w:rsid w:val="006907A8"/>
    <w:rsid w:val="00691EDB"/>
    <w:rsid w:val="00695D89"/>
    <w:rsid w:val="0069793C"/>
    <w:rsid w:val="006A03D4"/>
    <w:rsid w:val="006A0C2A"/>
    <w:rsid w:val="006A16EF"/>
    <w:rsid w:val="006A5EDE"/>
    <w:rsid w:val="006B3638"/>
    <w:rsid w:val="006C35D8"/>
    <w:rsid w:val="006C7119"/>
    <w:rsid w:val="006D4290"/>
    <w:rsid w:val="006D50F6"/>
    <w:rsid w:val="006D7AF3"/>
    <w:rsid w:val="006E38D0"/>
    <w:rsid w:val="006E4A52"/>
    <w:rsid w:val="006E6A4A"/>
    <w:rsid w:val="007124A9"/>
    <w:rsid w:val="0071342B"/>
    <w:rsid w:val="00717C2D"/>
    <w:rsid w:val="0072092D"/>
    <w:rsid w:val="00724947"/>
    <w:rsid w:val="00734AA4"/>
    <w:rsid w:val="00741991"/>
    <w:rsid w:val="007435FF"/>
    <w:rsid w:val="00743B6B"/>
    <w:rsid w:val="0076289F"/>
    <w:rsid w:val="007700FA"/>
    <w:rsid w:val="00771597"/>
    <w:rsid w:val="00772673"/>
    <w:rsid w:val="007772EF"/>
    <w:rsid w:val="00777AEA"/>
    <w:rsid w:val="007834C8"/>
    <w:rsid w:val="00791304"/>
    <w:rsid w:val="007922EF"/>
    <w:rsid w:val="00793BC4"/>
    <w:rsid w:val="007A3B9F"/>
    <w:rsid w:val="007A4D0F"/>
    <w:rsid w:val="007B0187"/>
    <w:rsid w:val="007B38BB"/>
    <w:rsid w:val="007C2E95"/>
    <w:rsid w:val="007C51B5"/>
    <w:rsid w:val="007C59DC"/>
    <w:rsid w:val="007D51B0"/>
    <w:rsid w:val="007E3D53"/>
    <w:rsid w:val="007E61F8"/>
    <w:rsid w:val="007F1DF0"/>
    <w:rsid w:val="00800E84"/>
    <w:rsid w:val="00803166"/>
    <w:rsid w:val="008077CC"/>
    <w:rsid w:val="008146D3"/>
    <w:rsid w:val="008161EF"/>
    <w:rsid w:val="0082485F"/>
    <w:rsid w:val="00825BA0"/>
    <w:rsid w:val="00830094"/>
    <w:rsid w:val="008349EC"/>
    <w:rsid w:val="00837E57"/>
    <w:rsid w:val="008415AF"/>
    <w:rsid w:val="00850CF8"/>
    <w:rsid w:val="00852E81"/>
    <w:rsid w:val="00854FF4"/>
    <w:rsid w:val="00864495"/>
    <w:rsid w:val="00866276"/>
    <w:rsid w:val="00866F4E"/>
    <w:rsid w:val="0087574D"/>
    <w:rsid w:val="00883D17"/>
    <w:rsid w:val="00884155"/>
    <w:rsid w:val="00884A9A"/>
    <w:rsid w:val="0088697A"/>
    <w:rsid w:val="00886A05"/>
    <w:rsid w:val="0089232F"/>
    <w:rsid w:val="008A0DDC"/>
    <w:rsid w:val="008A2435"/>
    <w:rsid w:val="008A2C9D"/>
    <w:rsid w:val="008A74F5"/>
    <w:rsid w:val="008B3312"/>
    <w:rsid w:val="008B4B0B"/>
    <w:rsid w:val="008B5455"/>
    <w:rsid w:val="008B5B64"/>
    <w:rsid w:val="008C4238"/>
    <w:rsid w:val="008D0186"/>
    <w:rsid w:val="008E0BDF"/>
    <w:rsid w:val="008E4B74"/>
    <w:rsid w:val="008E4C19"/>
    <w:rsid w:val="008E4D75"/>
    <w:rsid w:val="008E7FB7"/>
    <w:rsid w:val="008F0FAD"/>
    <w:rsid w:val="008F1627"/>
    <w:rsid w:val="008F6A3E"/>
    <w:rsid w:val="0090087B"/>
    <w:rsid w:val="009079E3"/>
    <w:rsid w:val="00907D61"/>
    <w:rsid w:val="009100BA"/>
    <w:rsid w:val="009114CD"/>
    <w:rsid w:val="009214FF"/>
    <w:rsid w:val="00922B9F"/>
    <w:rsid w:val="009302E9"/>
    <w:rsid w:val="00931BC7"/>
    <w:rsid w:val="009332B5"/>
    <w:rsid w:val="00940479"/>
    <w:rsid w:val="00947B15"/>
    <w:rsid w:val="00950116"/>
    <w:rsid w:val="0095672C"/>
    <w:rsid w:val="009666D0"/>
    <w:rsid w:val="00975FAF"/>
    <w:rsid w:val="00976ECA"/>
    <w:rsid w:val="00985F6E"/>
    <w:rsid w:val="00990282"/>
    <w:rsid w:val="00992985"/>
    <w:rsid w:val="00994513"/>
    <w:rsid w:val="009A1906"/>
    <w:rsid w:val="009A1CF6"/>
    <w:rsid w:val="009A337D"/>
    <w:rsid w:val="009A404B"/>
    <w:rsid w:val="009A4AB6"/>
    <w:rsid w:val="009A4CCA"/>
    <w:rsid w:val="009A7AC0"/>
    <w:rsid w:val="009B27E5"/>
    <w:rsid w:val="009B7221"/>
    <w:rsid w:val="009C2E50"/>
    <w:rsid w:val="009D3D9E"/>
    <w:rsid w:val="009D74C4"/>
    <w:rsid w:val="009D7D95"/>
    <w:rsid w:val="009E4617"/>
    <w:rsid w:val="009E5725"/>
    <w:rsid w:val="009E7E1B"/>
    <w:rsid w:val="009F41F3"/>
    <w:rsid w:val="00A07329"/>
    <w:rsid w:val="00A07F19"/>
    <w:rsid w:val="00A25866"/>
    <w:rsid w:val="00A261B3"/>
    <w:rsid w:val="00A27E73"/>
    <w:rsid w:val="00A314F2"/>
    <w:rsid w:val="00A36D30"/>
    <w:rsid w:val="00A418E1"/>
    <w:rsid w:val="00A41C3B"/>
    <w:rsid w:val="00A46097"/>
    <w:rsid w:val="00A47885"/>
    <w:rsid w:val="00A63304"/>
    <w:rsid w:val="00A65703"/>
    <w:rsid w:val="00A741AB"/>
    <w:rsid w:val="00A75F78"/>
    <w:rsid w:val="00A80F3C"/>
    <w:rsid w:val="00A82A9F"/>
    <w:rsid w:val="00A850E3"/>
    <w:rsid w:val="00A85457"/>
    <w:rsid w:val="00A86581"/>
    <w:rsid w:val="00AA7A36"/>
    <w:rsid w:val="00AB3236"/>
    <w:rsid w:val="00AC3357"/>
    <w:rsid w:val="00AC6C39"/>
    <w:rsid w:val="00AD4A46"/>
    <w:rsid w:val="00AD5867"/>
    <w:rsid w:val="00AE2109"/>
    <w:rsid w:val="00AE65C0"/>
    <w:rsid w:val="00AF0B98"/>
    <w:rsid w:val="00AF2ABF"/>
    <w:rsid w:val="00B05B5B"/>
    <w:rsid w:val="00B14441"/>
    <w:rsid w:val="00B14D00"/>
    <w:rsid w:val="00B17730"/>
    <w:rsid w:val="00B227CF"/>
    <w:rsid w:val="00B26627"/>
    <w:rsid w:val="00B272F3"/>
    <w:rsid w:val="00B31C82"/>
    <w:rsid w:val="00B33FD1"/>
    <w:rsid w:val="00B34115"/>
    <w:rsid w:val="00B41DC2"/>
    <w:rsid w:val="00B446AA"/>
    <w:rsid w:val="00B508C7"/>
    <w:rsid w:val="00B53FAB"/>
    <w:rsid w:val="00B5555A"/>
    <w:rsid w:val="00B62424"/>
    <w:rsid w:val="00B71AE5"/>
    <w:rsid w:val="00B72248"/>
    <w:rsid w:val="00B74AEE"/>
    <w:rsid w:val="00B837D9"/>
    <w:rsid w:val="00B90F65"/>
    <w:rsid w:val="00B91E57"/>
    <w:rsid w:val="00B91E68"/>
    <w:rsid w:val="00B97D0E"/>
    <w:rsid w:val="00BA3AB4"/>
    <w:rsid w:val="00BA5BC0"/>
    <w:rsid w:val="00BA6EA2"/>
    <w:rsid w:val="00BA7D71"/>
    <w:rsid w:val="00BB0FCA"/>
    <w:rsid w:val="00BB2F7F"/>
    <w:rsid w:val="00BC1FF6"/>
    <w:rsid w:val="00BC6107"/>
    <w:rsid w:val="00BD243A"/>
    <w:rsid w:val="00BE1B63"/>
    <w:rsid w:val="00BE57D0"/>
    <w:rsid w:val="00BF4262"/>
    <w:rsid w:val="00C03D09"/>
    <w:rsid w:val="00C051D6"/>
    <w:rsid w:val="00C13933"/>
    <w:rsid w:val="00C16CE6"/>
    <w:rsid w:val="00C22F9F"/>
    <w:rsid w:val="00C238BC"/>
    <w:rsid w:val="00C24E0C"/>
    <w:rsid w:val="00C34BA4"/>
    <w:rsid w:val="00C40AF1"/>
    <w:rsid w:val="00C42C88"/>
    <w:rsid w:val="00C44BAC"/>
    <w:rsid w:val="00C54C5C"/>
    <w:rsid w:val="00C64670"/>
    <w:rsid w:val="00C74269"/>
    <w:rsid w:val="00C766D1"/>
    <w:rsid w:val="00C770DE"/>
    <w:rsid w:val="00C90B58"/>
    <w:rsid w:val="00C93C42"/>
    <w:rsid w:val="00C94416"/>
    <w:rsid w:val="00C9579C"/>
    <w:rsid w:val="00C97D8C"/>
    <w:rsid w:val="00CA3CCE"/>
    <w:rsid w:val="00CA57BB"/>
    <w:rsid w:val="00CA6CBD"/>
    <w:rsid w:val="00CA7571"/>
    <w:rsid w:val="00CB0E43"/>
    <w:rsid w:val="00CB1B2E"/>
    <w:rsid w:val="00CB2DFC"/>
    <w:rsid w:val="00CB4C76"/>
    <w:rsid w:val="00CB64A5"/>
    <w:rsid w:val="00CD22EA"/>
    <w:rsid w:val="00CD23A0"/>
    <w:rsid w:val="00CF19F1"/>
    <w:rsid w:val="00CF5902"/>
    <w:rsid w:val="00D002C4"/>
    <w:rsid w:val="00D037B6"/>
    <w:rsid w:val="00D04203"/>
    <w:rsid w:val="00D04822"/>
    <w:rsid w:val="00D05F66"/>
    <w:rsid w:val="00D07DBF"/>
    <w:rsid w:val="00D16095"/>
    <w:rsid w:val="00D16A51"/>
    <w:rsid w:val="00D202B9"/>
    <w:rsid w:val="00D25415"/>
    <w:rsid w:val="00D42064"/>
    <w:rsid w:val="00D42F44"/>
    <w:rsid w:val="00D45508"/>
    <w:rsid w:val="00D52B61"/>
    <w:rsid w:val="00D543CF"/>
    <w:rsid w:val="00D574F5"/>
    <w:rsid w:val="00D76F83"/>
    <w:rsid w:val="00D80E52"/>
    <w:rsid w:val="00D811EE"/>
    <w:rsid w:val="00D85511"/>
    <w:rsid w:val="00D86918"/>
    <w:rsid w:val="00D93828"/>
    <w:rsid w:val="00D95713"/>
    <w:rsid w:val="00D972F0"/>
    <w:rsid w:val="00DB7C64"/>
    <w:rsid w:val="00DC035A"/>
    <w:rsid w:val="00DC3E15"/>
    <w:rsid w:val="00DC4A4A"/>
    <w:rsid w:val="00DC6B56"/>
    <w:rsid w:val="00DD66F8"/>
    <w:rsid w:val="00DD73BA"/>
    <w:rsid w:val="00DE49B9"/>
    <w:rsid w:val="00DF663D"/>
    <w:rsid w:val="00E00A99"/>
    <w:rsid w:val="00E126F8"/>
    <w:rsid w:val="00E21832"/>
    <w:rsid w:val="00E2229F"/>
    <w:rsid w:val="00E307CD"/>
    <w:rsid w:val="00E358E2"/>
    <w:rsid w:val="00E36D11"/>
    <w:rsid w:val="00E375D3"/>
    <w:rsid w:val="00E5373E"/>
    <w:rsid w:val="00E54DF8"/>
    <w:rsid w:val="00E55D4F"/>
    <w:rsid w:val="00E575F2"/>
    <w:rsid w:val="00E6041B"/>
    <w:rsid w:val="00E608A8"/>
    <w:rsid w:val="00E646B1"/>
    <w:rsid w:val="00E65DCB"/>
    <w:rsid w:val="00E70031"/>
    <w:rsid w:val="00E7065F"/>
    <w:rsid w:val="00E83AEE"/>
    <w:rsid w:val="00E852D3"/>
    <w:rsid w:val="00E866C7"/>
    <w:rsid w:val="00E91144"/>
    <w:rsid w:val="00E947B4"/>
    <w:rsid w:val="00EA1390"/>
    <w:rsid w:val="00EA3F2D"/>
    <w:rsid w:val="00EA3F32"/>
    <w:rsid w:val="00EA499D"/>
    <w:rsid w:val="00EB043A"/>
    <w:rsid w:val="00EB240E"/>
    <w:rsid w:val="00EB37FF"/>
    <w:rsid w:val="00EC13B4"/>
    <w:rsid w:val="00ED3D91"/>
    <w:rsid w:val="00EE453D"/>
    <w:rsid w:val="00EE5EDC"/>
    <w:rsid w:val="00EE7265"/>
    <w:rsid w:val="00EE7BC6"/>
    <w:rsid w:val="00EF135A"/>
    <w:rsid w:val="00EF2B88"/>
    <w:rsid w:val="00EF3C0A"/>
    <w:rsid w:val="00EF45EA"/>
    <w:rsid w:val="00F03619"/>
    <w:rsid w:val="00F13E5D"/>
    <w:rsid w:val="00F15222"/>
    <w:rsid w:val="00F153F2"/>
    <w:rsid w:val="00F170F3"/>
    <w:rsid w:val="00F206A8"/>
    <w:rsid w:val="00F2429D"/>
    <w:rsid w:val="00F25A78"/>
    <w:rsid w:val="00F27197"/>
    <w:rsid w:val="00F33593"/>
    <w:rsid w:val="00F37B36"/>
    <w:rsid w:val="00F37D39"/>
    <w:rsid w:val="00F42C0D"/>
    <w:rsid w:val="00F4507F"/>
    <w:rsid w:val="00F45436"/>
    <w:rsid w:val="00F53CDB"/>
    <w:rsid w:val="00F5429D"/>
    <w:rsid w:val="00F60A50"/>
    <w:rsid w:val="00F60CFD"/>
    <w:rsid w:val="00F72364"/>
    <w:rsid w:val="00F820E5"/>
    <w:rsid w:val="00F8243B"/>
    <w:rsid w:val="00F85A82"/>
    <w:rsid w:val="00F97A90"/>
    <w:rsid w:val="00FA0938"/>
    <w:rsid w:val="00FA1DA8"/>
    <w:rsid w:val="00FA2880"/>
    <w:rsid w:val="00FB3A64"/>
    <w:rsid w:val="00FB3BCA"/>
    <w:rsid w:val="00FB47AF"/>
    <w:rsid w:val="00FB78CE"/>
    <w:rsid w:val="00FD32FA"/>
    <w:rsid w:val="00FE274F"/>
    <w:rsid w:val="00FE6E28"/>
    <w:rsid w:val="00FE79E2"/>
    <w:rsid w:val="00FF0112"/>
    <w:rsid w:val="00FF4F5E"/>
    <w:rsid w:val="00FF6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DA6AD"/>
  <w15:docId w15:val="{93DD0483-0BAC-4324-8081-9F53BBCE5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rPr>
  </w:style>
  <w:style w:type="paragraph" w:styleId="Titre3">
    <w:name w:val="heading 3"/>
    <w:basedOn w:val="Titre2"/>
    <w:next w:val="Normal"/>
    <w:link w:val="Titre3Car"/>
    <w:qFormat/>
    <w:rsid w:val="00EE453D"/>
    <w:pPr>
      <w:ind w:left="680" w:hanging="680"/>
      <w:outlineLvl w:val="2"/>
    </w:pPr>
    <w:rPr>
      <w:b/>
      <w:sz w:val="24"/>
    </w:rPr>
  </w:style>
  <w:style w:type="paragraph" w:styleId="Titre4">
    <w:name w:val="heading 4"/>
    <w:basedOn w:val="Titre3"/>
    <w:next w:val="Normal"/>
    <w:link w:val="Titre4Car"/>
    <w:qFormat/>
    <w:rsid w:val="00EE453D"/>
    <w:pPr>
      <w:spacing w:before="240"/>
      <w:ind w:left="794" w:hanging="794"/>
      <w:outlineLvl w:val="3"/>
    </w:pPr>
    <w:rPr>
      <w:b w:val="0"/>
      <w:sz w:val="22"/>
    </w:rPr>
  </w:style>
  <w:style w:type="paragraph" w:styleId="Titre5">
    <w:name w:val="heading 5"/>
    <w:basedOn w:val="Titre4"/>
    <w:link w:val="Titre5Car"/>
    <w:qFormat/>
    <w:rsid w:val="00EE453D"/>
    <w:p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672C"/>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unhideWhenUsed/>
    <w:rsid w:val="009567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95672C"/>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95672C"/>
    <w:rPr>
      <w:sz w:val="20"/>
      <w:szCs w:val="20"/>
    </w:rPr>
  </w:style>
  <w:style w:type="paragraph" w:styleId="Objetducommentaire">
    <w:name w:val="annotation subject"/>
    <w:basedOn w:val="Commentaire"/>
    <w:next w:val="Commentaire"/>
    <w:link w:val="ObjetducommentaireCar"/>
    <w:unhideWhenUsed/>
    <w:rsid w:val="0095672C"/>
    <w:rPr>
      <w:b/>
      <w:bCs/>
    </w:rPr>
  </w:style>
  <w:style w:type="character" w:customStyle="1" w:styleId="ObjetducommentaireCar">
    <w:name w:val="Objet du commentaire Car"/>
    <w:basedOn w:val="CommentaireCar"/>
    <w:link w:val="Objetducommentaire"/>
    <w:uiPriority w:val="99"/>
    <w:rsid w:val="0095672C"/>
    <w:rPr>
      <w:b/>
      <w:bCs/>
      <w:sz w:val="20"/>
      <w:szCs w:val="20"/>
    </w:rPr>
  </w:style>
  <w:style w:type="paragraph" w:styleId="Rvision">
    <w:name w:val="Revision"/>
    <w:hidden/>
    <w:uiPriority w:val="99"/>
    <w:semiHidden/>
    <w:rsid w:val="0095672C"/>
    <w:pPr>
      <w:spacing w:after="0" w:line="240" w:lineRule="auto"/>
    </w:pPr>
  </w:style>
  <w:style w:type="paragraph" w:styleId="Sansinterligne">
    <w:name w:val="No Spacing"/>
    <w:uiPriority w:val="1"/>
    <w:qFormat/>
    <w:rsid w:val="0095672C"/>
    <w:pPr>
      <w:spacing w:after="0" w:line="240" w:lineRule="auto"/>
    </w:pPr>
  </w:style>
  <w:style w:type="character" w:customStyle="1" w:styleId="BalloonTextChar1">
    <w:name w:val="Balloon Text Char1"/>
    <w:basedOn w:val="Policepardfaut"/>
    <w:uiPriority w:val="99"/>
    <w:semiHidden/>
    <w:rsid w:val="0095672C"/>
    <w:rPr>
      <w:rFonts w:ascii="Tahoma" w:hAnsi="Tahoma" w:cs="Tahoma"/>
      <w:sz w:val="16"/>
      <w:szCs w:val="16"/>
    </w:rPr>
  </w:style>
  <w:style w:type="character" w:customStyle="1" w:styleId="CommentTextChar1">
    <w:name w:val="Comment Text Char1"/>
    <w:basedOn w:val="Policepardfaut"/>
    <w:uiPriority w:val="99"/>
    <w:semiHidden/>
    <w:rsid w:val="0095672C"/>
    <w:rPr>
      <w:sz w:val="20"/>
      <w:szCs w:val="20"/>
    </w:rPr>
  </w:style>
  <w:style w:type="character" w:customStyle="1" w:styleId="CommentSubjectChar1">
    <w:name w:val="Comment Subject Char1"/>
    <w:basedOn w:val="CommentaireCar"/>
    <w:uiPriority w:val="99"/>
    <w:semiHidden/>
    <w:rsid w:val="0095672C"/>
    <w:rPr>
      <w:b/>
      <w:bCs/>
      <w:sz w:val="20"/>
      <w:szCs w:val="20"/>
    </w:rPr>
  </w:style>
  <w:style w:type="character" w:customStyle="1" w:styleId="Titre2Car">
    <w:name w:val="Titre 2 Car"/>
    <w:basedOn w:val="Policepardfaut"/>
    <w:link w:val="Titre2"/>
    <w:rsid w:val="0095672C"/>
    <w:rPr>
      <w:rFonts w:ascii="Arial" w:eastAsia="Times New Roman" w:hAnsi="Arial" w:cs="Times New Roman"/>
      <w:sz w:val="32"/>
      <w:szCs w:val="20"/>
      <w:lang w:val="fr-FR" w:eastAsia="fr-FR"/>
    </w:rPr>
  </w:style>
  <w:style w:type="character" w:customStyle="1" w:styleId="Titre3Car">
    <w:name w:val="Titre 3 Car"/>
    <w:basedOn w:val="Policepardfaut"/>
    <w:link w:val="Titre3"/>
    <w:rsid w:val="0095672C"/>
    <w:rPr>
      <w:rFonts w:ascii="Arial" w:eastAsia="Times New Roman" w:hAnsi="Arial" w:cs="Times New Roman"/>
      <w:b/>
      <w:sz w:val="24"/>
      <w:szCs w:val="20"/>
      <w:lang w:val="fr-FR" w:eastAsia="fr-FR"/>
    </w:rPr>
  </w:style>
  <w:style w:type="character" w:customStyle="1" w:styleId="Titre4Car">
    <w:name w:val="Titre 4 Car"/>
    <w:basedOn w:val="Policepardfaut"/>
    <w:link w:val="Titre4"/>
    <w:rsid w:val="0095672C"/>
    <w:rPr>
      <w:rFonts w:ascii="Arial" w:eastAsia="Times New Roman" w:hAnsi="Arial" w:cs="Times New Roman"/>
      <w:szCs w:val="20"/>
      <w:lang w:val="fr-FR" w:eastAsia="fr-FR"/>
    </w:rPr>
  </w:style>
  <w:style w:type="character" w:customStyle="1" w:styleId="Titre5Car">
    <w:name w:val="Titre 5 Car"/>
    <w:basedOn w:val="Policepardfaut"/>
    <w:link w:val="Titre5"/>
    <w:rsid w:val="0095672C"/>
    <w:rPr>
      <w:rFonts w:ascii="Times New Roman" w:eastAsia="Times New Roman" w:hAnsi="Times New Roman" w:cs="Times New Roman"/>
      <w:b/>
      <w:i/>
      <w:szCs w:val="20"/>
      <w:lang w:val="fr-FR" w:eastAsia="fr-FR"/>
    </w:rPr>
  </w:style>
  <w:style w:type="character" w:styleId="Appelnotedebasdep">
    <w:name w:val="footnote reference"/>
    <w:basedOn w:val="Policepardfaut"/>
    <w:semiHidden/>
    <w:rsid w:val="0095672C"/>
    <w:rPr>
      <w:rFonts w:ascii="Times New Roman" w:hAnsi="Times New Roman"/>
      <w:position w:val="6"/>
      <w:sz w:val="12"/>
      <w:bdr w:val="none" w:sz="0" w:space="0" w:color="auto"/>
    </w:rPr>
  </w:style>
  <w:style w:type="paragraph" w:styleId="En-tte">
    <w:name w:val="header"/>
    <w:basedOn w:val="Normal"/>
    <w:link w:val="En-tteC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rPr>
  </w:style>
  <w:style w:type="character" w:customStyle="1" w:styleId="En-tteCar">
    <w:name w:val="En-tête Car"/>
    <w:basedOn w:val="Policepardfaut"/>
    <w:link w:val="En-tte"/>
    <w:uiPriority w:val="99"/>
    <w:rsid w:val="0095672C"/>
    <w:rPr>
      <w:rFonts w:ascii="Times New Roman" w:eastAsia="Times New Roman" w:hAnsi="Times New Roman" w:cs="Times New Roman"/>
      <w:sz w:val="18"/>
      <w:szCs w:val="20"/>
      <w:lang w:val="fr-FR" w:eastAsia="fr-FR"/>
    </w:rPr>
  </w:style>
  <w:style w:type="paragraph" w:styleId="Notedebasdepage">
    <w:name w:val="footnote text"/>
    <w:basedOn w:val="Normal"/>
    <w:link w:val="NotedebasdepageCar"/>
    <w:semiHidden/>
    <w:rsid w:val="0095672C"/>
    <w:pPr>
      <w:spacing w:before="40" w:after="40" w:line="240" w:lineRule="auto"/>
      <w:ind w:left="170" w:right="851" w:hanging="170"/>
      <w:jc w:val="both"/>
    </w:pPr>
    <w:rPr>
      <w:rFonts w:ascii="Times New Roman" w:eastAsia="Times New Roman" w:hAnsi="Times New Roman" w:cs="Times New Roman"/>
      <w:sz w:val="16"/>
      <w:szCs w:val="20"/>
    </w:rPr>
  </w:style>
  <w:style w:type="character" w:customStyle="1" w:styleId="NotedebasdepageCar">
    <w:name w:val="Note de bas de page Car"/>
    <w:basedOn w:val="Policepardfaut"/>
    <w:link w:val="Notedebasdepage"/>
    <w:semiHidden/>
    <w:rsid w:val="0095672C"/>
    <w:rPr>
      <w:rFonts w:ascii="Times New Roman" w:eastAsia="Times New Roman" w:hAnsi="Times New Roman" w:cs="Times New Roman"/>
      <w:sz w:val="16"/>
      <w:szCs w:val="20"/>
      <w:lang w:val="fr-FR" w:eastAsia="fr-FR"/>
    </w:rPr>
  </w:style>
  <w:style w:type="paragraph" w:styleId="Pieddepage">
    <w:name w:val="footer"/>
    <w:basedOn w:val="Normal"/>
    <w:link w:val="PieddepageCar"/>
    <w:rsid w:val="0095672C"/>
    <w:pPr>
      <w:pBdr>
        <w:top w:val="single" w:sz="6" w:space="2" w:color="auto"/>
      </w:pBdr>
      <w:tabs>
        <w:tab w:val="right" w:pos="8222"/>
      </w:tabs>
      <w:spacing w:after="0" w:line="240" w:lineRule="auto"/>
      <w:jc w:val="both"/>
    </w:pPr>
    <w:rPr>
      <w:rFonts w:ascii="Arial" w:eastAsia="Times New Roman" w:hAnsi="Arial" w:cs="Times New Roman"/>
      <w:sz w:val="18"/>
      <w:szCs w:val="20"/>
    </w:rPr>
  </w:style>
  <w:style w:type="character" w:customStyle="1" w:styleId="PieddepageCar">
    <w:name w:val="Pied de page Car"/>
    <w:basedOn w:val="Policepardfaut"/>
    <w:link w:val="Pieddepage"/>
    <w:uiPriority w:val="99"/>
    <w:rsid w:val="0095672C"/>
    <w:rPr>
      <w:rFonts w:ascii="Arial" w:eastAsia="Times New Roman" w:hAnsi="Arial" w:cs="Times New Roman"/>
      <w:sz w:val="18"/>
      <w:szCs w:val="20"/>
      <w:lang w:val="fr-FR" w:eastAsia="fr-FR"/>
    </w:rPr>
  </w:style>
  <w:style w:type="paragraph" w:styleId="TM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rPr>
  </w:style>
  <w:style w:type="paragraph" w:styleId="TM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rPr>
  </w:style>
  <w:style w:type="paragraph" w:styleId="TM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rPr>
  </w:style>
  <w:style w:type="paragraph" w:styleId="TM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rPr>
  </w:style>
  <w:style w:type="paragraph" w:styleId="TM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rPr>
  </w:style>
  <w:style w:type="paragraph" w:styleId="Lgende">
    <w:name w:val="caption"/>
    <w:basedOn w:val="Normal"/>
    <w:next w:val="Normal"/>
    <w:qFormat/>
    <w:rsid w:val="0095672C"/>
    <w:pPr>
      <w:spacing w:after="0" w:line="240" w:lineRule="auto"/>
      <w:jc w:val="both"/>
    </w:pPr>
    <w:rPr>
      <w:rFonts w:ascii="Arial" w:eastAsia="Times New Roman" w:hAnsi="Arial" w:cs="Times New Roman"/>
      <w:b/>
      <w:sz w:val="20"/>
      <w:szCs w:val="20"/>
    </w:rPr>
  </w:style>
  <w:style w:type="paragraph" w:styleId="Titre">
    <w:name w:val="Title"/>
    <w:basedOn w:val="Normal"/>
    <w:next w:val="Normal"/>
    <w:link w:val="TitreC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rPr>
  </w:style>
  <w:style w:type="paragraph" w:styleId="Textebrut">
    <w:name w:val="Plain Text"/>
    <w:basedOn w:val="Normal"/>
    <w:link w:val="TextebrutCar"/>
    <w:uiPriority w:val="99"/>
    <w:unhideWhenUsed/>
    <w:rsid w:val="0095672C"/>
    <w:pPr>
      <w:spacing w:after="0" w:line="240" w:lineRule="auto"/>
    </w:pPr>
    <w:rPr>
      <w:rFonts w:ascii="Calibri" w:eastAsia="Times New Roman" w:hAnsi="Calibri" w:cs="Times New Roman"/>
      <w:szCs w:val="21"/>
    </w:rPr>
  </w:style>
  <w:style w:type="character" w:customStyle="1" w:styleId="TextebrutCar">
    <w:name w:val="Texte brut Car"/>
    <w:basedOn w:val="Policepardfaut"/>
    <w:link w:val="Textebrut"/>
    <w:uiPriority w:val="99"/>
    <w:rsid w:val="0095672C"/>
    <w:rPr>
      <w:rFonts w:ascii="Calibri" w:eastAsia="Times New Roman" w:hAnsi="Calibri" w:cs="Times New Roman"/>
      <w:szCs w:val="21"/>
      <w:lang w:eastAsia="fr-FR"/>
    </w:rPr>
  </w:style>
  <w:style w:type="character" w:styleId="Lienhypertexte">
    <w:name w:val="Hyperlink"/>
    <w:basedOn w:val="Policepardfaut"/>
    <w:uiPriority w:val="99"/>
    <w:unhideWhenUsed/>
    <w:rsid w:val="0095672C"/>
    <w:rPr>
      <w:color w:val="0000FF"/>
      <w:u w:val="single"/>
    </w:rPr>
  </w:style>
  <w:style w:type="character" w:styleId="Lienhypertextesuivivisit">
    <w:name w:val="FollowedHyperlink"/>
    <w:basedOn w:val="Policepardfau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rPr>
  </w:style>
  <w:style w:type="paragraph" w:customStyle="1" w:styleId="Rvision1">
    <w:name w:val="Révision1"/>
    <w:hidden/>
    <w:uiPriority w:val="99"/>
    <w:semiHidden/>
    <w:rsid w:val="000A55AA"/>
    <w:pPr>
      <w:spacing w:after="0" w:line="240" w:lineRule="auto"/>
    </w:pPr>
    <w:rPr>
      <w:rFonts w:ascii="Calibri" w:eastAsia="Calibri" w:hAnsi="Calibri" w:cs="Times New Roman"/>
    </w:rPr>
  </w:style>
  <w:style w:type="character" w:styleId="Numrodepage">
    <w:name w:val="page number"/>
    <w:basedOn w:val="Policepardfaut"/>
    <w:rsid w:val="000A55AA"/>
  </w:style>
  <w:style w:type="paragraph" w:styleId="NormalWeb">
    <w:name w:val="Normal (Web)"/>
    <w:basedOn w:val="Normal"/>
    <w:uiPriority w:val="99"/>
    <w:semiHidden/>
    <w:unhideWhenUsed/>
    <w:rsid w:val="00496908"/>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ragraphedeliste1">
    <w:name w:val="Paragraphe de liste1"/>
    <w:basedOn w:val="Normal"/>
    <w:rsid w:val="00B33FD1"/>
    <w:pPr>
      <w:spacing w:after="0" w:line="240" w:lineRule="auto"/>
      <w:ind w:left="720"/>
      <w:contextualSpacing/>
      <w:jc w:val="both"/>
    </w:pPr>
    <w:rPr>
      <w:rFonts w:ascii="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4763">
      <w:bodyDiv w:val="1"/>
      <w:marLeft w:val="0"/>
      <w:marRight w:val="0"/>
      <w:marTop w:val="0"/>
      <w:marBottom w:val="0"/>
      <w:divBdr>
        <w:top w:val="none" w:sz="0" w:space="0" w:color="auto"/>
        <w:left w:val="none" w:sz="0" w:space="0" w:color="auto"/>
        <w:bottom w:val="none" w:sz="0" w:space="0" w:color="auto"/>
        <w:right w:val="none" w:sz="0" w:space="0" w:color="auto"/>
      </w:divBdr>
    </w:div>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15311206">
      <w:bodyDiv w:val="1"/>
      <w:marLeft w:val="0"/>
      <w:marRight w:val="0"/>
      <w:marTop w:val="0"/>
      <w:marBottom w:val="0"/>
      <w:divBdr>
        <w:top w:val="none" w:sz="0" w:space="0" w:color="auto"/>
        <w:left w:val="none" w:sz="0" w:space="0" w:color="auto"/>
        <w:bottom w:val="none" w:sz="0" w:space="0" w:color="auto"/>
        <w:right w:val="none" w:sz="0" w:space="0" w:color="auto"/>
      </w:divBdr>
    </w:div>
    <w:div w:id="1254506931">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818035313">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02193699">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89956427">
      <w:bodyDiv w:val="1"/>
      <w:marLeft w:val="0"/>
      <w:marRight w:val="0"/>
      <w:marTop w:val="0"/>
      <w:marBottom w:val="0"/>
      <w:divBdr>
        <w:top w:val="none" w:sz="0" w:space="0" w:color="auto"/>
        <w:left w:val="none" w:sz="0" w:space="0" w:color="auto"/>
        <w:bottom w:val="none" w:sz="0" w:space="0" w:color="auto"/>
        <w:right w:val="none" w:sz="0" w:space="0" w:color="auto"/>
      </w:divBdr>
      <w:divsChild>
        <w:div w:id="595093087">
          <w:marLeft w:val="0"/>
          <w:marRight w:val="0"/>
          <w:marTop w:val="0"/>
          <w:marBottom w:val="0"/>
          <w:divBdr>
            <w:top w:val="none" w:sz="0" w:space="0" w:color="auto"/>
            <w:left w:val="none" w:sz="0" w:space="0" w:color="auto"/>
            <w:bottom w:val="none" w:sz="0" w:space="0" w:color="auto"/>
            <w:right w:val="none" w:sz="0" w:space="0" w:color="auto"/>
          </w:divBdr>
          <w:divsChild>
            <w:div w:id="1765566836">
              <w:marLeft w:val="0"/>
              <w:marRight w:val="0"/>
              <w:marTop w:val="0"/>
              <w:marBottom w:val="0"/>
              <w:divBdr>
                <w:top w:val="none" w:sz="0" w:space="0" w:color="auto"/>
                <w:left w:val="none" w:sz="0" w:space="0" w:color="auto"/>
                <w:bottom w:val="none" w:sz="0" w:space="0" w:color="auto"/>
                <w:right w:val="none" w:sz="0" w:space="0" w:color="auto"/>
              </w:divBdr>
              <w:divsChild>
                <w:div w:id="2050832704">
                  <w:marLeft w:val="0"/>
                  <w:marRight w:val="0"/>
                  <w:marTop w:val="0"/>
                  <w:marBottom w:val="0"/>
                  <w:divBdr>
                    <w:top w:val="none" w:sz="0" w:space="0" w:color="auto"/>
                    <w:left w:val="none" w:sz="0" w:space="0" w:color="auto"/>
                    <w:bottom w:val="none" w:sz="0" w:space="0" w:color="auto"/>
                    <w:right w:val="none" w:sz="0" w:space="0" w:color="auto"/>
                  </w:divBdr>
                  <w:divsChild>
                    <w:div w:id="13700974">
                      <w:marLeft w:val="0"/>
                      <w:marRight w:val="0"/>
                      <w:marTop w:val="0"/>
                      <w:marBottom w:val="0"/>
                      <w:divBdr>
                        <w:top w:val="none" w:sz="0" w:space="0" w:color="auto"/>
                        <w:left w:val="none" w:sz="0" w:space="0" w:color="auto"/>
                        <w:bottom w:val="none" w:sz="0" w:space="0" w:color="auto"/>
                        <w:right w:val="none" w:sz="0" w:space="0" w:color="auto"/>
                      </w:divBdr>
                      <w:divsChild>
                        <w:div w:id="51781964">
                          <w:marLeft w:val="0"/>
                          <w:marRight w:val="0"/>
                          <w:marTop w:val="0"/>
                          <w:marBottom w:val="0"/>
                          <w:divBdr>
                            <w:top w:val="none" w:sz="0" w:space="0" w:color="auto"/>
                            <w:left w:val="none" w:sz="0" w:space="0" w:color="auto"/>
                            <w:bottom w:val="none" w:sz="0" w:space="0" w:color="auto"/>
                            <w:right w:val="none" w:sz="0" w:space="0" w:color="auto"/>
                          </w:divBdr>
                          <w:divsChild>
                            <w:div w:id="1086654685">
                              <w:marLeft w:val="0"/>
                              <w:marRight w:val="0"/>
                              <w:marTop w:val="0"/>
                              <w:marBottom w:val="0"/>
                              <w:divBdr>
                                <w:top w:val="none" w:sz="0" w:space="0" w:color="auto"/>
                                <w:left w:val="none" w:sz="0" w:space="0" w:color="auto"/>
                                <w:bottom w:val="none" w:sz="0" w:space="0" w:color="auto"/>
                                <w:right w:val="none" w:sz="0" w:space="0" w:color="auto"/>
                              </w:divBdr>
                              <w:divsChild>
                                <w:div w:id="3015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DAB5A341-065C-4584-95A5-9ED266E07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2348</Words>
  <Characters>12916</Characters>
  <Application>Microsoft Office Word</Application>
  <DocSecurity>0</DocSecurity>
  <Lines>107</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GONZALEZ GARCIA Ricardo (MARKT)</dc:creator>
  <cp:lastModifiedBy>DIAGNE Afissa-Elodie (SGACPR DAI)</cp:lastModifiedBy>
  <cp:revision>2</cp:revision>
  <dcterms:created xsi:type="dcterms:W3CDTF">2024-03-12T08:59:00Z</dcterms:created>
  <dcterms:modified xsi:type="dcterms:W3CDTF">2024-03-12T08:59:00Z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