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5B0FC" w14:textId="21994B43" w:rsidR="005D0064" w:rsidRDefault="00BC1F01" w:rsidP="005D0064">
      <w:pPr>
        <w:rPr>
          <w:rFonts w:ascii="Times New Roman" w:hAnsi="Times New Roman" w:cs="Times New Roman"/>
          <w:b/>
          <w:sz w:val="20"/>
        </w:rPr>
      </w:pPr>
      <w:bookmarkStart w:id="0" w:name="_GoBack"/>
      <w:bookmarkEnd w:id="0"/>
      <w:r>
        <w:rPr>
          <w:noProof/>
        </w:rPr>
        <w:drawing>
          <wp:inline distT="0" distB="0" distL="0" distR="0" wp14:anchorId="2711E18A" wp14:editId="7406286C">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4D238A17" w14:textId="77777777" w:rsidR="005D0064" w:rsidRPr="00AF1D16" w:rsidDel="00160A5F" w:rsidRDefault="005D0064" w:rsidP="005D0064">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67756653" w14:textId="23B24300" w:rsidR="005D0064" w:rsidRPr="00AF1D16" w:rsidRDefault="005D0064" w:rsidP="005D0064">
      <w:pPr>
        <w:jc w:val="center"/>
        <w:rPr>
          <w:rFonts w:ascii="Times New Roman" w:hAnsi="Times New Roman" w:cs="Times New Roman"/>
          <w:b/>
          <w:color w:val="003B8E"/>
          <w:sz w:val="28"/>
          <w:szCs w:val="32"/>
        </w:rPr>
      </w:pPr>
      <w:r w:rsidRPr="00AF1D16">
        <w:rPr>
          <w:rFonts w:ascii="Times New Roman" w:hAnsi="Times New Roman" w:cs="Times New Roman"/>
          <w:b/>
          <w:color w:val="003B8E"/>
          <w:sz w:val="28"/>
          <w:szCs w:val="32"/>
        </w:rPr>
        <w:t>Modèle des états « </w:t>
      </w:r>
      <w:r>
        <w:rPr>
          <w:rFonts w:ascii="Times New Roman" w:hAnsi="Times New Roman" w:cs="Times New Roman"/>
          <w:b/>
          <w:color w:val="003B8E"/>
          <w:sz w:val="28"/>
          <w:szCs w:val="32"/>
        </w:rPr>
        <w:t>Programme de cession en réassurance</w:t>
      </w:r>
      <w:r w:rsidRPr="00AF1D16">
        <w:rPr>
          <w:rFonts w:ascii="Times New Roman" w:hAnsi="Times New Roman" w:cs="Times New Roman"/>
          <w:b/>
          <w:color w:val="003B8E"/>
          <w:sz w:val="28"/>
          <w:szCs w:val="32"/>
        </w:rPr>
        <w:t> » (RP</w:t>
      </w:r>
      <w:r>
        <w:rPr>
          <w:rFonts w:ascii="Times New Roman" w:hAnsi="Times New Roman" w:cs="Times New Roman"/>
          <w:b/>
          <w:color w:val="003B8E"/>
          <w:sz w:val="28"/>
          <w:szCs w:val="32"/>
        </w:rPr>
        <w:t>.30</w:t>
      </w:r>
      <w:r w:rsidRPr="00AF1D16">
        <w:rPr>
          <w:rFonts w:ascii="Times New Roman" w:hAnsi="Times New Roman" w:cs="Times New Roman"/>
          <w:b/>
          <w:color w:val="003B8E"/>
          <w:sz w:val="28"/>
          <w:szCs w:val="32"/>
        </w:rPr>
        <w:t>.0X.01) :</w:t>
      </w:r>
    </w:p>
    <w:p w14:paraId="1DE3736B" w14:textId="77777777" w:rsidR="005D0064" w:rsidRDefault="005D0064" w:rsidP="005D0064">
      <w:pPr>
        <w:rPr>
          <w:rFonts w:ascii="Times New Roman" w:hAnsi="Times New Roman" w:cs="Times New Roman"/>
          <w:b/>
          <w:color w:val="003B8E"/>
          <w:szCs w:val="32"/>
        </w:rPr>
      </w:pPr>
    </w:p>
    <w:p w14:paraId="39CF8D9D" w14:textId="4BC13668" w:rsidR="005D0064" w:rsidRPr="007141EA" w:rsidRDefault="005D0064" w:rsidP="005D0064">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Pr="005D0064">
        <w:rPr>
          <w:rFonts w:ascii="Times New Roman" w:hAnsi="Times New Roman" w:cs="Times New Roman"/>
          <w:b/>
          <w:color w:val="003B8E"/>
          <w:szCs w:val="32"/>
        </w:rPr>
        <w:t>Programme de cession en réassurance – Données de base</w:t>
      </w:r>
      <w:r>
        <w:rPr>
          <w:rFonts w:ascii="Times New Roman" w:hAnsi="Times New Roman" w:cs="Times New Roman"/>
          <w:b/>
          <w:color w:val="003B8E"/>
          <w:szCs w:val="32"/>
        </w:rPr>
        <w:t xml:space="preserve"> » (RP.30.03</w:t>
      </w:r>
      <w:r w:rsidRPr="007141EA">
        <w:rPr>
          <w:rFonts w:ascii="Times New Roman" w:hAnsi="Times New Roman" w:cs="Times New Roman"/>
          <w:b/>
          <w:color w:val="003B8E"/>
          <w:szCs w:val="32"/>
        </w:rPr>
        <w:t>.01)</w:t>
      </w:r>
    </w:p>
    <w:p w14:paraId="6A788D49" w14:textId="59B84960" w:rsidR="005D0064" w:rsidRPr="007141EA" w:rsidRDefault="005D0064" w:rsidP="005D0064">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Pr="005D0064">
        <w:rPr>
          <w:rFonts w:ascii="Times New Roman" w:hAnsi="Times New Roman" w:cs="Times New Roman"/>
          <w:b/>
          <w:color w:val="003B8E"/>
          <w:szCs w:val="32"/>
        </w:rPr>
        <w:t xml:space="preserve">Programme de cession </w:t>
      </w:r>
      <w:r>
        <w:rPr>
          <w:rFonts w:ascii="Times New Roman" w:hAnsi="Times New Roman" w:cs="Times New Roman"/>
          <w:b/>
          <w:color w:val="003B8E"/>
          <w:szCs w:val="32"/>
        </w:rPr>
        <w:t xml:space="preserve">en réassurance – Données sur les parts </w:t>
      </w:r>
      <w:r w:rsidRPr="007141EA">
        <w:rPr>
          <w:rFonts w:ascii="Times New Roman" w:hAnsi="Times New Roman" w:cs="Times New Roman"/>
          <w:b/>
          <w:color w:val="003B8E"/>
          <w:szCs w:val="32"/>
        </w:rPr>
        <w:t>» (RP</w:t>
      </w:r>
      <w:r>
        <w:rPr>
          <w:rFonts w:ascii="Times New Roman" w:hAnsi="Times New Roman" w:cs="Times New Roman"/>
          <w:b/>
          <w:color w:val="003B8E"/>
          <w:szCs w:val="32"/>
        </w:rPr>
        <w:t>.30.04</w:t>
      </w:r>
      <w:r w:rsidRPr="007141EA">
        <w:rPr>
          <w:rFonts w:ascii="Times New Roman" w:hAnsi="Times New Roman" w:cs="Times New Roman"/>
          <w:b/>
          <w:color w:val="003B8E"/>
          <w:szCs w:val="32"/>
        </w:rPr>
        <w:t>.01)</w:t>
      </w:r>
    </w:p>
    <w:p w14:paraId="2DD10DC6" w14:textId="79991EE0" w:rsidR="005D0064" w:rsidRPr="007141EA" w:rsidRDefault="005D0064" w:rsidP="005D0064">
      <w:pPr>
        <w:rPr>
          <w:rFonts w:ascii="Times New Roman" w:hAnsi="Times New Roman" w:cs="Times New Roman"/>
          <w:b/>
          <w:color w:val="003B8E"/>
          <w:szCs w:val="32"/>
        </w:rPr>
      </w:pPr>
    </w:p>
    <w:p w14:paraId="45120E9E" w14:textId="74DCF776" w:rsidR="000A55AA" w:rsidRPr="008B3312" w:rsidRDefault="00126B85">
      <w:pPr>
        <w:rPr>
          <w:rFonts w:ascii="Times New Roman" w:hAnsi="Times New Roman" w:cs="Times New Roman"/>
          <w:sz w:val="20"/>
          <w:szCs w:val="20"/>
        </w:rPr>
      </w:pPr>
      <w:r>
        <w:rPr>
          <w:rFonts w:ascii="Times New Roman" w:hAnsi="Times New Roman"/>
          <w:b/>
          <w:sz w:val="20"/>
        </w:rPr>
        <w:t>RP.3</w:t>
      </w:r>
      <w:r w:rsidR="000A55AA">
        <w:rPr>
          <w:rFonts w:ascii="Times New Roman" w:hAnsi="Times New Roman"/>
          <w:b/>
          <w:sz w:val="20"/>
        </w:rPr>
        <w:t>0.03</w:t>
      </w:r>
      <w:r w:rsidR="0013206F">
        <w:rPr>
          <w:rFonts w:ascii="Times New Roman" w:hAnsi="Times New Roman"/>
          <w:b/>
          <w:sz w:val="20"/>
        </w:rPr>
        <w:t>.01</w:t>
      </w:r>
      <w:r w:rsidR="000A55AA">
        <w:rPr>
          <w:rFonts w:ascii="Times New Roman" w:hAnsi="Times New Roman"/>
          <w:b/>
          <w:sz w:val="20"/>
        </w:rPr>
        <w:t xml:space="preserve"> – Programme de cession en réassurance – Données de base</w:t>
      </w:r>
    </w:p>
    <w:p w14:paraId="60C7A793" w14:textId="77777777" w:rsidR="000A55AA" w:rsidRPr="008B3312" w:rsidRDefault="000A55AA" w:rsidP="00950116">
      <w:pPr>
        <w:jc w:val="both"/>
        <w:rPr>
          <w:rFonts w:ascii="Times New Roman" w:hAnsi="Times New Roman" w:cs="Times New Roman"/>
          <w:b/>
          <w:sz w:val="20"/>
          <w:szCs w:val="20"/>
        </w:rPr>
      </w:pPr>
      <w:r>
        <w:rPr>
          <w:rFonts w:ascii="Times New Roman" w:hAnsi="Times New Roman"/>
          <w:b/>
          <w:sz w:val="20"/>
        </w:rPr>
        <w:t>Observations générales</w:t>
      </w:r>
    </w:p>
    <w:p w14:paraId="251D1FAF" w14:textId="401856D9" w:rsidR="000A55AA" w:rsidRDefault="00D05F66" w:rsidP="00950116">
      <w:pPr>
        <w:jc w:val="both"/>
        <w:rPr>
          <w:rFonts w:ascii="Times New Roman" w:hAnsi="Times New Roman"/>
          <w:sz w:val="20"/>
        </w:rPr>
      </w:pPr>
      <w:r>
        <w:rPr>
          <w:rFonts w:ascii="Times New Roman" w:hAnsi="Times New Roman"/>
          <w:sz w:val="20"/>
        </w:rPr>
        <w:t xml:space="preserve">Ce modèle concerne les </w:t>
      </w:r>
      <w:r w:rsidR="005D0064">
        <w:rPr>
          <w:rFonts w:ascii="Times New Roman" w:hAnsi="Times New Roman"/>
          <w:sz w:val="20"/>
        </w:rPr>
        <w:t>O</w:t>
      </w:r>
      <w:r w:rsidR="00BE57D0">
        <w:rPr>
          <w:rFonts w:ascii="Times New Roman" w:hAnsi="Times New Roman"/>
          <w:sz w:val="20"/>
        </w:rPr>
        <w:t>RPS</w:t>
      </w:r>
      <w:r>
        <w:rPr>
          <w:rFonts w:ascii="Times New Roman" w:hAnsi="Times New Roman"/>
          <w:sz w:val="20"/>
        </w:rPr>
        <w:t xml:space="preserve"> ayant un programme de cession en réassurance et/ou de rétrocession, y compris toute couverture fournie par des pools de réassurance bénéficiant du soutien des pouvoirs publics, à l’exclusion des couvertures facultatives.</w:t>
      </w:r>
    </w:p>
    <w:p w14:paraId="695531C5" w14:textId="3C136912" w:rsidR="00F820E5" w:rsidRPr="008B3312" w:rsidRDefault="00F820E5" w:rsidP="00950116">
      <w:pPr>
        <w:jc w:val="both"/>
        <w:rPr>
          <w:rFonts w:ascii="Times New Roman" w:hAnsi="Times New Roman" w:cs="Times New Roman"/>
          <w:sz w:val="20"/>
          <w:szCs w:val="20"/>
        </w:rPr>
      </w:pPr>
      <w:r>
        <w:rPr>
          <w:rFonts w:ascii="Times New Roman" w:hAnsi="Times New Roman"/>
          <w:sz w:val="20"/>
        </w:rPr>
        <w:t>Aux fins du remplissage du présent modèle,</w:t>
      </w:r>
      <w:r w:rsidR="005D0064">
        <w:rPr>
          <w:rFonts w:ascii="Times New Roman" w:hAnsi="Times New Roman"/>
          <w:sz w:val="20"/>
        </w:rPr>
        <w:t xml:space="preserve"> le transfert de risques entre O</w:t>
      </w:r>
      <w:r>
        <w:rPr>
          <w:rFonts w:ascii="Times New Roman" w:hAnsi="Times New Roman"/>
          <w:sz w:val="20"/>
        </w:rPr>
        <w:t>RPS visés au troisième alinéa de l’article L. 381-1 du code des assurances, est assimilé à de la cession en réassurance.</w:t>
      </w:r>
    </w:p>
    <w:p w14:paraId="0463516D" w14:textId="341F972B" w:rsidR="000A55AA" w:rsidRPr="008B3312" w:rsidRDefault="000A55AA" w:rsidP="00950116">
      <w:pPr>
        <w:jc w:val="both"/>
        <w:rPr>
          <w:rFonts w:ascii="Times New Roman" w:hAnsi="Times New Roman" w:cs="Times New Roman"/>
          <w:sz w:val="20"/>
          <w:szCs w:val="20"/>
        </w:rPr>
      </w:pPr>
      <w:r>
        <w:rPr>
          <w:rFonts w:ascii="Times New Roman" w:hAnsi="Times New Roman"/>
          <w:sz w:val="20"/>
        </w:rPr>
        <w:t xml:space="preserve">Ce modèle est à compléter par </w:t>
      </w:r>
      <w:r w:rsidR="005D0064">
        <w:rPr>
          <w:rFonts w:ascii="Times New Roman" w:hAnsi="Times New Roman"/>
          <w:sz w:val="20"/>
        </w:rPr>
        <w:t>l’O</w:t>
      </w:r>
      <w:r w:rsidR="00BE57D0">
        <w:rPr>
          <w:rFonts w:ascii="Times New Roman" w:hAnsi="Times New Roman"/>
          <w:sz w:val="20"/>
        </w:rPr>
        <w:t>RPS</w:t>
      </w:r>
      <w:r>
        <w:rPr>
          <w:rFonts w:ascii="Times New Roman" w:hAnsi="Times New Roman"/>
          <w:sz w:val="20"/>
        </w:rPr>
        <w:t xml:space="preserve"> qui transfère un risque de souscription à des réassureurs</w:t>
      </w:r>
      <w:r w:rsidR="005D0064">
        <w:rPr>
          <w:rFonts w:ascii="Times New Roman" w:hAnsi="Times New Roman"/>
          <w:sz w:val="20"/>
        </w:rPr>
        <w:t xml:space="preserve"> ou d’autres O</w:t>
      </w:r>
      <w:r w:rsidR="00BE57D0">
        <w:rPr>
          <w:rFonts w:ascii="Times New Roman" w:hAnsi="Times New Roman"/>
          <w:sz w:val="20"/>
        </w:rPr>
        <w:t>RPS</w:t>
      </w:r>
      <w:r>
        <w:rPr>
          <w:rFonts w:ascii="Times New Roman" w:hAnsi="Times New Roman"/>
          <w:sz w:val="20"/>
        </w:rPr>
        <w:t xml:space="preserve"> au moyen d’un traité de réassurance dont la période de validité comprend ou chevauche l’année de référence suivante, et sont connus lorsque le modèle est complété. Si la stratégie de réassurance change de manière significative après cette date ou si la rénovation des contrats de réassurance est effectuée après la date de déclaration et avant le 1</w:t>
      </w:r>
      <w:r>
        <w:rPr>
          <w:rFonts w:ascii="Times New Roman" w:hAnsi="Times New Roman"/>
          <w:sz w:val="20"/>
          <w:vertAlign w:val="superscript"/>
        </w:rPr>
        <w:t>er</w:t>
      </w:r>
      <w:r>
        <w:rPr>
          <w:rFonts w:ascii="Times New Roman" w:hAnsi="Times New Roman"/>
          <w:sz w:val="20"/>
        </w:rPr>
        <w:t xml:space="preserve"> janvier suivant, les informations de ce modèle doivent être transmises à nouveau le moment venu.</w:t>
      </w:r>
    </w:p>
    <w:tbl>
      <w:tblPr>
        <w:tblStyle w:val="Grilledutableau"/>
        <w:tblW w:w="0" w:type="auto"/>
        <w:tblLook w:val="04A0" w:firstRow="1" w:lastRow="0" w:firstColumn="1" w:lastColumn="0" w:noHBand="0" w:noVBand="1"/>
      </w:tblPr>
      <w:tblGrid>
        <w:gridCol w:w="1019"/>
        <w:gridCol w:w="1716"/>
        <w:gridCol w:w="6507"/>
      </w:tblGrid>
      <w:tr w:rsidR="000A55AA" w:rsidRPr="008B3312" w14:paraId="678BDFD5" w14:textId="77777777" w:rsidTr="00950116">
        <w:trPr>
          <w:trHeight w:val="417"/>
        </w:trPr>
        <w:tc>
          <w:tcPr>
            <w:tcW w:w="1019" w:type="dxa"/>
          </w:tcPr>
          <w:p w14:paraId="71376390" w14:textId="77777777" w:rsidR="000A55AA" w:rsidRPr="008B3312" w:rsidRDefault="000A55AA" w:rsidP="00950116">
            <w:pPr>
              <w:jc w:val="center"/>
              <w:rPr>
                <w:rFonts w:ascii="Times New Roman" w:hAnsi="Times New Roman" w:cs="Times New Roman"/>
                <w:sz w:val="20"/>
                <w:szCs w:val="20"/>
              </w:rPr>
            </w:pPr>
          </w:p>
        </w:tc>
        <w:tc>
          <w:tcPr>
            <w:tcW w:w="1716" w:type="dxa"/>
          </w:tcPr>
          <w:p w14:paraId="74F38884" w14:textId="77777777" w:rsidR="000A55AA" w:rsidRPr="008B3312" w:rsidRDefault="000A55AA" w:rsidP="00950116">
            <w:pPr>
              <w:jc w:val="center"/>
              <w:rPr>
                <w:rFonts w:ascii="Times New Roman" w:hAnsi="Times New Roman" w:cs="Times New Roman"/>
                <w:sz w:val="20"/>
                <w:szCs w:val="20"/>
              </w:rPr>
            </w:pPr>
            <w:r>
              <w:rPr>
                <w:rFonts w:ascii="Times New Roman" w:hAnsi="Times New Roman"/>
                <w:b/>
                <w:sz w:val="20"/>
              </w:rPr>
              <w:t>ÉLÉMENT À DÉCLARER</w:t>
            </w:r>
          </w:p>
        </w:tc>
        <w:tc>
          <w:tcPr>
            <w:tcW w:w="6507" w:type="dxa"/>
          </w:tcPr>
          <w:p w14:paraId="3DC91DE0" w14:textId="77777777" w:rsidR="000A55AA" w:rsidRPr="008B3312" w:rsidRDefault="000A55AA" w:rsidP="00950116">
            <w:pPr>
              <w:jc w:val="center"/>
              <w:rPr>
                <w:rFonts w:ascii="Times New Roman" w:hAnsi="Times New Roman" w:cs="Times New Roman"/>
                <w:sz w:val="20"/>
                <w:szCs w:val="20"/>
              </w:rPr>
            </w:pPr>
            <w:r>
              <w:rPr>
                <w:rFonts w:ascii="Times New Roman" w:hAnsi="Times New Roman"/>
                <w:b/>
                <w:sz w:val="20"/>
              </w:rPr>
              <w:t>INSTRUCTIONS</w:t>
            </w:r>
          </w:p>
        </w:tc>
      </w:tr>
      <w:tr w:rsidR="000A55AA" w:rsidRPr="008B3312" w14:paraId="3856DC1B" w14:textId="77777777" w:rsidTr="00950116">
        <w:trPr>
          <w:trHeight w:val="615"/>
        </w:trPr>
        <w:tc>
          <w:tcPr>
            <w:tcW w:w="1019" w:type="dxa"/>
            <w:hideMark/>
          </w:tcPr>
          <w:p w14:paraId="7C16D6D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C0010</w:t>
            </w:r>
          </w:p>
        </w:tc>
        <w:tc>
          <w:tcPr>
            <w:tcW w:w="1716" w:type="dxa"/>
            <w:hideMark/>
          </w:tcPr>
          <w:p w14:paraId="133C64CD" w14:textId="77777777" w:rsidR="000A55AA" w:rsidRPr="008B3312" w:rsidRDefault="000A55AA">
            <w:pPr>
              <w:rPr>
                <w:rFonts w:ascii="Times New Roman" w:hAnsi="Times New Roman" w:cs="Times New Roman"/>
                <w:sz w:val="20"/>
                <w:szCs w:val="20"/>
              </w:rPr>
            </w:pPr>
            <w:r>
              <w:rPr>
                <w:rFonts w:ascii="Times New Roman" w:hAnsi="Times New Roman"/>
                <w:sz w:val="20"/>
              </w:rPr>
              <w:t>Code du programme de réassurance</w:t>
            </w:r>
          </w:p>
        </w:tc>
        <w:tc>
          <w:tcPr>
            <w:tcW w:w="6507" w:type="dxa"/>
            <w:hideMark/>
          </w:tcPr>
          <w:p w14:paraId="0EF3C19A" w14:textId="48C0A23E" w:rsidR="000A55AA" w:rsidRPr="008B3312" w:rsidRDefault="000A55AA" w:rsidP="00BE57D0">
            <w:pPr>
              <w:rPr>
                <w:rFonts w:ascii="Times New Roman" w:hAnsi="Times New Roman" w:cs="Times New Roman"/>
                <w:sz w:val="20"/>
                <w:szCs w:val="20"/>
              </w:rPr>
            </w:pPr>
            <w:r>
              <w:rPr>
                <w:rFonts w:ascii="Times New Roman" w:hAnsi="Times New Roman"/>
                <w:sz w:val="20"/>
              </w:rPr>
              <w:t xml:space="preserve">Code unique (propre </w:t>
            </w:r>
            <w:r w:rsidR="00C2410F">
              <w:rPr>
                <w:rFonts w:ascii="Times New Roman" w:hAnsi="Times New Roman"/>
                <w:sz w:val="20"/>
              </w:rPr>
              <w:t>à l’O</w:t>
            </w:r>
            <w:r w:rsidR="00BE57D0">
              <w:rPr>
                <w:rFonts w:ascii="Times New Roman" w:hAnsi="Times New Roman"/>
                <w:sz w:val="20"/>
              </w:rPr>
              <w:t>RPS</w:t>
            </w:r>
            <w:r>
              <w:rPr>
                <w:rFonts w:ascii="Times New Roman" w:hAnsi="Times New Roman"/>
                <w:sz w:val="20"/>
              </w:rPr>
              <w:t xml:space="preserve">) couvrant tous les placements et/ou traités de réassurance faisant partie du même programme de réassurance. </w:t>
            </w:r>
          </w:p>
        </w:tc>
      </w:tr>
      <w:tr w:rsidR="000A55AA" w:rsidRPr="008B3312" w14:paraId="18F49CBB" w14:textId="77777777" w:rsidTr="00950116">
        <w:trPr>
          <w:trHeight w:val="630"/>
        </w:trPr>
        <w:tc>
          <w:tcPr>
            <w:tcW w:w="1019" w:type="dxa"/>
            <w:hideMark/>
          </w:tcPr>
          <w:p w14:paraId="7746C34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C0020</w:t>
            </w:r>
          </w:p>
        </w:tc>
        <w:tc>
          <w:tcPr>
            <w:tcW w:w="1716" w:type="dxa"/>
            <w:hideMark/>
          </w:tcPr>
          <w:p w14:paraId="70BDB7CE" w14:textId="77777777" w:rsidR="000A55AA" w:rsidRPr="008B3312" w:rsidRDefault="000A55AA">
            <w:pPr>
              <w:rPr>
                <w:rFonts w:ascii="Times New Roman" w:hAnsi="Times New Roman" w:cs="Times New Roman"/>
                <w:sz w:val="20"/>
                <w:szCs w:val="20"/>
              </w:rPr>
            </w:pPr>
            <w:r>
              <w:rPr>
                <w:rFonts w:ascii="Times New Roman" w:hAnsi="Times New Roman"/>
                <w:sz w:val="20"/>
              </w:rPr>
              <w:t>Code d’identification du traité</w:t>
            </w:r>
          </w:p>
        </w:tc>
        <w:tc>
          <w:tcPr>
            <w:tcW w:w="6507" w:type="dxa"/>
            <w:hideMark/>
          </w:tcPr>
          <w:p w14:paraId="39414B5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Code d’identification du traité qui identifie celui-ci de manière exclusive, qui doit être réutilisé dans les déclarations suivantes. Il s’agit généralement le numéro initial du traité enregistré dans les livres comptables de l’entreprise.</w:t>
            </w:r>
          </w:p>
        </w:tc>
      </w:tr>
      <w:tr w:rsidR="000A55AA" w:rsidRPr="008B3312" w14:paraId="322025D7" w14:textId="77777777" w:rsidTr="00950116">
        <w:trPr>
          <w:trHeight w:val="2639"/>
        </w:trPr>
        <w:tc>
          <w:tcPr>
            <w:tcW w:w="1019" w:type="dxa"/>
            <w:hideMark/>
          </w:tcPr>
          <w:p w14:paraId="7B2D6E0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C0030</w:t>
            </w:r>
          </w:p>
        </w:tc>
        <w:tc>
          <w:tcPr>
            <w:tcW w:w="1716" w:type="dxa"/>
            <w:hideMark/>
          </w:tcPr>
          <w:p w14:paraId="18E2CFF2" w14:textId="77777777" w:rsidR="000A55AA" w:rsidRPr="008B3312" w:rsidRDefault="000A55AA">
            <w:pPr>
              <w:rPr>
                <w:rFonts w:ascii="Times New Roman" w:hAnsi="Times New Roman" w:cs="Times New Roman"/>
                <w:sz w:val="20"/>
                <w:szCs w:val="20"/>
              </w:rPr>
            </w:pPr>
            <w:r>
              <w:rPr>
                <w:rFonts w:ascii="Times New Roman" w:hAnsi="Times New Roman"/>
                <w:sz w:val="20"/>
              </w:rPr>
              <w:t>Numéro de section progressif dans le traité</w:t>
            </w:r>
          </w:p>
        </w:tc>
        <w:tc>
          <w:tcPr>
            <w:tcW w:w="6507" w:type="dxa"/>
            <w:hideMark/>
          </w:tcPr>
          <w:p w14:paraId="505042D1" w14:textId="0D9898BB" w:rsidR="000A55AA" w:rsidRPr="008B3312" w:rsidRDefault="000A55AA" w:rsidP="00486118">
            <w:pPr>
              <w:rPr>
                <w:rFonts w:ascii="Times New Roman" w:hAnsi="Times New Roman" w:cs="Times New Roman"/>
                <w:sz w:val="20"/>
                <w:szCs w:val="20"/>
              </w:rPr>
            </w:pPr>
            <w:r>
              <w:rPr>
                <w:rFonts w:ascii="Times New Roman" w:hAnsi="Times New Roman"/>
                <w:sz w:val="20"/>
              </w:rPr>
              <w:t xml:space="preserve">Le numéro de section progressif attribué par </w:t>
            </w:r>
            <w:r w:rsidR="00C2410F">
              <w:rPr>
                <w:rFonts w:ascii="Times New Roman" w:hAnsi="Times New Roman"/>
                <w:sz w:val="20"/>
              </w:rPr>
              <w:t>l’O</w:t>
            </w:r>
            <w:r w:rsidR="00A07329">
              <w:rPr>
                <w:rFonts w:ascii="Times New Roman" w:hAnsi="Times New Roman"/>
                <w:sz w:val="20"/>
              </w:rPr>
              <w:t xml:space="preserve">RPS </w:t>
            </w:r>
            <w:r>
              <w:rPr>
                <w:rFonts w:ascii="Times New Roman" w:hAnsi="Times New Roman"/>
                <w:sz w:val="20"/>
              </w:rPr>
              <w:t xml:space="preserve">aux différentes sections du traité, lorsque le traité couvre </w:t>
            </w:r>
            <w:r w:rsidR="00A07329">
              <w:rPr>
                <w:rFonts w:ascii="Times New Roman" w:hAnsi="Times New Roman"/>
                <w:sz w:val="20"/>
              </w:rPr>
              <w:t xml:space="preserve">plusieurs risques </w:t>
            </w:r>
            <w:r w:rsidR="00486118">
              <w:rPr>
                <w:rFonts w:ascii="Times New Roman" w:hAnsi="Times New Roman"/>
                <w:sz w:val="20"/>
              </w:rPr>
              <w:t>(</w:t>
            </w:r>
            <w:r w:rsidR="00F820E5">
              <w:rPr>
                <w:rFonts w:ascii="Times New Roman" w:hAnsi="Times New Roman"/>
                <w:sz w:val="20"/>
              </w:rPr>
              <w:t xml:space="preserve">au sens de la colonne </w:t>
            </w:r>
            <w:r w:rsidR="00F820E5" w:rsidRPr="0013206F">
              <w:rPr>
                <w:rFonts w:ascii="Times New Roman" w:hAnsi="Times New Roman"/>
                <w:sz w:val="20"/>
              </w:rPr>
              <w:t>C0071</w:t>
            </w:r>
            <w:r w:rsidR="00486118" w:rsidRPr="004F1DD8">
              <w:rPr>
                <w:rFonts w:ascii="Times New Roman" w:hAnsi="Times New Roman"/>
                <w:sz w:val="20"/>
              </w:rPr>
              <w:t>)</w:t>
            </w:r>
            <w:r w:rsidR="00F820E5">
              <w:rPr>
                <w:rFonts w:ascii="Times New Roman" w:hAnsi="Times New Roman"/>
                <w:sz w:val="20"/>
              </w:rPr>
              <w:t xml:space="preserve"> </w:t>
            </w:r>
            <w:r>
              <w:rPr>
                <w:rFonts w:ascii="Times New Roman" w:hAnsi="Times New Roman"/>
                <w:sz w:val="20"/>
              </w:rPr>
              <w:t xml:space="preserve">ou couvre différents </w:t>
            </w:r>
            <w:r w:rsidR="00A07329">
              <w:rPr>
                <w:rFonts w:ascii="Times New Roman" w:hAnsi="Times New Roman"/>
                <w:sz w:val="20"/>
              </w:rPr>
              <w:t xml:space="preserve">risques </w:t>
            </w:r>
            <w:r>
              <w:rPr>
                <w:rFonts w:ascii="Times New Roman" w:hAnsi="Times New Roman"/>
                <w:sz w:val="20"/>
              </w:rPr>
              <w:t xml:space="preserve">avec différentes limites. Les traités avec des conditions différentes sont considérés comme des traités différents aux fins de la déclaration des informations, et doivent être déclarés dans des sections distinctes. Lorsque différents </w:t>
            </w:r>
            <w:r w:rsidR="00486118">
              <w:rPr>
                <w:rFonts w:ascii="Times New Roman" w:hAnsi="Times New Roman"/>
                <w:sz w:val="20"/>
              </w:rPr>
              <w:t>risques</w:t>
            </w:r>
            <w:r>
              <w:rPr>
                <w:rFonts w:ascii="Times New Roman" w:hAnsi="Times New Roman"/>
                <w:sz w:val="20"/>
              </w:rPr>
              <w:t xml:space="preserve"> sont couverts par le même traité, les conditions relatives à </w:t>
            </w:r>
            <w:r w:rsidR="00486118">
              <w:rPr>
                <w:rFonts w:ascii="Times New Roman" w:hAnsi="Times New Roman"/>
                <w:sz w:val="20"/>
              </w:rPr>
              <w:t>chaque risque</w:t>
            </w:r>
            <w:r>
              <w:rPr>
                <w:rFonts w:ascii="Times New Roman" w:hAnsi="Times New Roman"/>
                <w:sz w:val="20"/>
              </w:rPr>
              <w:t xml:space="preserve"> doivent être précisées séparément sous chaque numéro de section. Les traités couvrant différents types de réassurance (par exemple, une section en excédent de plein et une autre en excédent de sinistre) dans un même traité sont déclarés dans les différentes sections. Les traités couvrant différentes tranches d’un même </w:t>
            </w:r>
            <w:r>
              <w:rPr>
                <w:rFonts w:ascii="Times New Roman" w:hAnsi="Times New Roman"/>
                <w:sz w:val="20"/>
              </w:rPr>
              <w:lastRenderedPageBreak/>
              <w:t>programme doivent être déclarés dans les différentes sections.</w:t>
            </w:r>
          </w:p>
        </w:tc>
      </w:tr>
      <w:tr w:rsidR="000A55AA" w:rsidRPr="008B3312" w14:paraId="7CE5D714" w14:textId="77777777" w:rsidTr="00950116">
        <w:trPr>
          <w:trHeight w:val="930"/>
        </w:trPr>
        <w:tc>
          <w:tcPr>
            <w:tcW w:w="1019" w:type="dxa"/>
            <w:hideMark/>
          </w:tcPr>
          <w:p w14:paraId="165881C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C0040</w:t>
            </w:r>
          </w:p>
        </w:tc>
        <w:tc>
          <w:tcPr>
            <w:tcW w:w="1716" w:type="dxa"/>
            <w:hideMark/>
          </w:tcPr>
          <w:p w14:paraId="5C7651A7" w14:textId="77777777" w:rsidR="000A55AA" w:rsidRPr="008B3312" w:rsidRDefault="000A55AA">
            <w:pPr>
              <w:rPr>
                <w:rFonts w:ascii="Times New Roman" w:hAnsi="Times New Roman" w:cs="Times New Roman"/>
                <w:sz w:val="20"/>
                <w:szCs w:val="20"/>
              </w:rPr>
            </w:pPr>
            <w:r>
              <w:rPr>
                <w:rFonts w:ascii="Times New Roman" w:hAnsi="Times New Roman"/>
                <w:sz w:val="20"/>
              </w:rPr>
              <w:t>Numéro progressif de l’excédent/de la tranche du programme</w:t>
            </w:r>
          </w:p>
        </w:tc>
        <w:tc>
          <w:tcPr>
            <w:tcW w:w="6507" w:type="dxa"/>
            <w:hideMark/>
          </w:tcPr>
          <w:p w14:paraId="422768A2" w14:textId="77777777" w:rsidR="000A55AA" w:rsidRPr="008B3312" w:rsidRDefault="000A55AA">
            <w:pPr>
              <w:rPr>
                <w:rFonts w:ascii="Times New Roman" w:hAnsi="Times New Roman" w:cs="Times New Roman"/>
                <w:sz w:val="20"/>
                <w:szCs w:val="20"/>
              </w:rPr>
            </w:pPr>
            <w:r>
              <w:rPr>
                <w:rFonts w:ascii="Times New Roman" w:hAnsi="Times New Roman"/>
                <w:sz w:val="20"/>
              </w:rPr>
              <w:t>Le numéro progressif de l’excédent/de la tranche, lorsque le traité fait partie d’un programme plus vaste.</w:t>
            </w:r>
          </w:p>
        </w:tc>
      </w:tr>
      <w:tr w:rsidR="000A55AA" w:rsidRPr="008B3312" w14:paraId="77E73486" w14:textId="77777777" w:rsidTr="00950116">
        <w:trPr>
          <w:trHeight w:val="915"/>
        </w:trPr>
        <w:tc>
          <w:tcPr>
            <w:tcW w:w="1019" w:type="dxa"/>
            <w:hideMark/>
          </w:tcPr>
          <w:p w14:paraId="18791E5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C0050</w:t>
            </w:r>
          </w:p>
        </w:tc>
        <w:tc>
          <w:tcPr>
            <w:tcW w:w="1716" w:type="dxa"/>
            <w:hideMark/>
          </w:tcPr>
          <w:p w14:paraId="798EB89D" w14:textId="77777777" w:rsidR="000A55AA" w:rsidRPr="008B3312" w:rsidRDefault="000A55AA">
            <w:pPr>
              <w:rPr>
                <w:rFonts w:ascii="Times New Roman" w:hAnsi="Times New Roman" w:cs="Times New Roman"/>
                <w:sz w:val="20"/>
                <w:szCs w:val="20"/>
              </w:rPr>
            </w:pPr>
            <w:r>
              <w:rPr>
                <w:rFonts w:ascii="Times New Roman" w:hAnsi="Times New Roman"/>
                <w:sz w:val="20"/>
              </w:rPr>
              <w:t>Nombre d’excédents/de tranches du programme</w:t>
            </w:r>
          </w:p>
        </w:tc>
        <w:tc>
          <w:tcPr>
            <w:tcW w:w="6507" w:type="dxa"/>
            <w:hideMark/>
          </w:tcPr>
          <w:p w14:paraId="734D4F46" w14:textId="77777777" w:rsidR="000A55AA" w:rsidRPr="008B3312" w:rsidRDefault="000A55AA">
            <w:pPr>
              <w:rPr>
                <w:rFonts w:ascii="Times New Roman" w:hAnsi="Times New Roman" w:cs="Times New Roman"/>
                <w:sz w:val="20"/>
                <w:szCs w:val="20"/>
              </w:rPr>
            </w:pPr>
            <w:r>
              <w:rPr>
                <w:rFonts w:ascii="Times New Roman" w:hAnsi="Times New Roman"/>
                <w:sz w:val="20"/>
              </w:rPr>
              <w:t>Le nombre total d’excédents ou de tranches du programme qui comprend le traité qui fait l’objet de la déclaration.</w:t>
            </w:r>
          </w:p>
        </w:tc>
      </w:tr>
      <w:tr w:rsidR="000A55AA" w:rsidRPr="008B3312" w14:paraId="3ED5BDD3" w14:textId="77777777" w:rsidTr="00950116">
        <w:trPr>
          <w:trHeight w:val="346"/>
        </w:trPr>
        <w:tc>
          <w:tcPr>
            <w:tcW w:w="1019" w:type="dxa"/>
            <w:hideMark/>
          </w:tcPr>
          <w:p w14:paraId="7BD701D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C0060</w:t>
            </w:r>
          </w:p>
        </w:tc>
        <w:tc>
          <w:tcPr>
            <w:tcW w:w="1716" w:type="dxa"/>
            <w:hideMark/>
          </w:tcPr>
          <w:p w14:paraId="026FB85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Réassurance </w:t>
            </w:r>
            <w:proofErr w:type="spellStart"/>
            <w:r>
              <w:rPr>
                <w:rFonts w:ascii="Times New Roman" w:hAnsi="Times New Roman"/>
                <w:sz w:val="20"/>
              </w:rPr>
              <w:t>finite</w:t>
            </w:r>
            <w:proofErr w:type="spellEnd"/>
            <w:r>
              <w:rPr>
                <w:rFonts w:ascii="Times New Roman" w:hAnsi="Times New Roman"/>
                <w:sz w:val="20"/>
              </w:rPr>
              <w:t xml:space="preserve"> ou arrangement similaire</w:t>
            </w:r>
          </w:p>
        </w:tc>
        <w:tc>
          <w:tcPr>
            <w:tcW w:w="6507" w:type="dxa"/>
            <w:noWrap/>
            <w:hideMark/>
          </w:tcPr>
          <w:p w14:paraId="12FF532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Identification du contrat de réassurance. Choisir impérativement l’une des options </w:t>
            </w:r>
            <w:proofErr w:type="gramStart"/>
            <w:r>
              <w:rPr>
                <w:rFonts w:ascii="Times New Roman" w:hAnsi="Times New Roman"/>
                <w:sz w:val="20"/>
              </w:rPr>
              <w:t>suivantes:</w:t>
            </w:r>
            <w:proofErr w:type="gramEnd"/>
            <w:r>
              <w:rPr>
                <w:rFonts w:ascii="Times New Roman" w:hAnsi="Times New Roman"/>
                <w:sz w:val="20"/>
              </w:rPr>
              <w:t xml:space="preserve"> </w:t>
            </w:r>
          </w:p>
          <w:p w14:paraId="68258A1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1 – Réassurance non traditionnelle ou </w:t>
            </w:r>
            <w:proofErr w:type="spellStart"/>
            <w:r>
              <w:rPr>
                <w:rFonts w:ascii="Times New Roman" w:hAnsi="Times New Roman"/>
                <w:sz w:val="20"/>
              </w:rPr>
              <w:t>finite</w:t>
            </w:r>
            <w:proofErr w:type="spellEnd"/>
          </w:p>
          <w:p w14:paraId="0330329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w:t>
            </w:r>
            <w:proofErr w:type="gramStart"/>
            <w:r>
              <w:rPr>
                <w:rFonts w:ascii="Times New Roman" w:hAnsi="Times New Roman"/>
                <w:sz w:val="20"/>
              </w:rPr>
              <w:t>s’il</w:t>
            </w:r>
            <w:proofErr w:type="gramEnd"/>
            <w:r>
              <w:rPr>
                <w:rFonts w:ascii="Times New Roman" w:hAnsi="Times New Roman"/>
                <w:sz w:val="20"/>
              </w:rPr>
              <w:t xml:space="preserve"> s’agit d’un contrat de réassurance ou d’un instrument financier qui n’est pas directement fondé sur le principe de l’indemnisation ou si le libellé du contrat qui fonde la réassurance ne comporte pas, ou de manière limitée seulement, un mécanisme de transfert de risque démontrable)</w:t>
            </w:r>
          </w:p>
          <w:p w14:paraId="6B1152D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2 – Autre que réassurance non traditionnelle ou </w:t>
            </w:r>
            <w:proofErr w:type="spellStart"/>
            <w:r>
              <w:rPr>
                <w:rFonts w:ascii="Times New Roman" w:hAnsi="Times New Roman"/>
                <w:sz w:val="20"/>
              </w:rPr>
              <w:t>finite</w:t>
            </w:r>
            <w:proofErr w:type="spellEnd"/>
            <w:r>
              <w:rPr>
                <w:rFonts w:ascii="Times New Roman" w:hAnsi="Times New Roman"/>
                <w:sz w:val="20"/>
              </w:rPr>
              <w:t xml:space="preserve"> </w:t>
            </w:r>
          </w:p>
          <w:p w14:paraId="12A51F91" w14:textId="77777777" w:rsidR="000A55AA" w:rsidRPr="008B3312" w:rsidRDefault="000A55AA" w:rsidP="00950116">
            <w:pPr>
              <w:rPr>
                <w:rFonts w:ascii="Times New Roman" w:hAnsi="Times New Roman" w:cs="Times New Roman"/>
                <w:sz w:val="20"/>
                <w:szCs w:val="20"/>
              </w:rPr>
            </w:pPr>
          </w:p>
          <w:p w14:paraId="63B8AD1B"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En cas de réassurance </w:t>
            </w:r>
            <w:proofErr w:type="spellStart"/>
            <w:r>
              <w:rPr>
                <w:rFonts w:ascii="Times New Roman" w:hAnsi="Times New Roman"/>
                <w:sz w:val="20"/>
              </w:rPr>
              <w:t>finite</w:t>
            </w:r>
            <w:proofErr w:type="spellEnd"/>
            <w:r>
              <w:rPr>
                <w:rFonts w:ascii="Times New Roman" w:hAnsi="Times New Roman"/>
                <w:sz w:val="20"/>
              </w:rPr>
              <w:t xml:space="preserve"> ou d’arrangement similaire, seuls les éléments faisables doivent être complétés. </w:t>
            </w:r>
          </w:p>
        </w:tc>
      </w:tr>
      <w:tr w:rsidR="000A55AA" w:rsidRPr="008B3312" w14:paraId="24FEC433" w14:textId="77777777" w:rsidTr="00950116">
        <w:trPr>
          <w:trHeight w:val="330"/>
        </w:trPr>
        <w:tc>
          <w:tcPr>
            <w:tcW w:w="1019" w:type="dxa"/>
            <w:hideMark/>
          </w:tcPr>
          <w:p w14:paraId="28E01967" w14:textId="37E18342" w:rsidR="000A55AA" w:rsidRPr="008B3312" w:rsidRDefault="000A55AA" w:rsidP="00950116">
            <w:pPr>
              <w:rPr>
                <w:rFonts w:ascii="Times New Roman" w:hAnsi="Times New Roman" w:cs="Times New Roman"/>
                <w:sz w:val="20"/>
                <w:szCs w:val="20"/>
              </w:rPr>
            </w:pPr>
            <w:r>
              <w:rPr>
                <w:rFonts w:ascii="Times New Roman" w:hAnsi="Times New Roman"/>
                <w:sz w:val="20"/>
              </w:rPr>
              <w:t>C007</w:t>
            </w:r>
            <w:r w:rsidR="00A07329">
              <w:rPr>
                <w:rFonts w:ascii="Times New Roman" w:hAnsi="Times New Roman"/>
                <w:sz w:val="20"/>
              </w:rPr>
              <w:t>1</w:t>
            </w:r>
          </w:p>
        </w:tc>
        <w:tc>
          <w:tcPr>
            <w:tcW w:w="1716" w:type="dxa"/>
            <w:hideMark/>
          </w:tcPr>
          <w:p w14:paraId="383B3E6A" w14:textId="61753F02" w:rsidR="000A55AA" w:rsidRPr="008B3312" w:rsidRDefault="00A07329">
            <w:pPr>
              <w:rPr>
                <w:rFonts w:ascii="Times New Roman" w:hAnsi="Times New Roman" w:cs="Times New Roman"/>
                <w:sz w:val="20"/>
                <w:szCs w:val="20"/>
              </w:rPr>
            </w:pPr>
            <w:r>
              <w:rPr>
                <w:rFonts w:ascii="Times New Roman" w:hAnsi="Times New Roman"/>
                <w:sz w:val="20"/>
              </w:rPr>
              <w:t>Nature du risque transféré</w:t>
            </w:r>
          </w:p>
        </w:tc>
        <w:tc>
          <w:tcPr>
            <w:tcW w:w="6507" w:type="dxa"/>
            <w:hideMark/>
          </w:tcPr>
          <w:p w14:paraId="53D6329C" w14:textId="69FF2D3B" w:rsidR="000A55AA" w:rsidRPr="008B3312" w:rsidRDefault="000A55AA" w:rsidP="00950116">
            <w:pPr>
              <w:rPr>
                <w:rFonts w:ascii="Times New Roman" w:hAnsi="Times New Roman" w:cs="Times New Roman"/>
                <w:sz w:val="20"/>
                <w:szCs w:val="20"/>
              </w:rPr>
            </w:pPr>
            <w:bookmarkStart w:id="1" w:name="OLE_LINK33"/>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p>
          <w:p w14:paraId="5B607D29" w14:textId="7D7713C9"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1 – </w:t>
            </w:r>
            <w:r w:rsidR="00A07329">
              <w:rPr>
                <w:rFonts w:ascii="Times New Roman" w:hAnsi="Times New Roman"/>
                <w:sz w:val="20"/>
              </w:rPr>
              <w:t>Vie – euro</w:t>
            </w:r>
          </w:p>
          <w:p w14:paraId="1FAE7CB7" w14:textId="5C3F00AD"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2 – </w:t>
            </w:r>
            <w:r w:rsidR="00A07329">
              <w:rPr>
                <w:rFonts w:ascii="Times New Roman" w:hAnsi="Times New Roman"/>
                <w:sz w:val="20"/>
              </w:rPr>
              <w:t xml:space="preserve">Vie </w:t>
            </w:r>
            <w:proofErr w:type="gramStart"/>
            <w:r w:rsidR="00A07329">
              <w:rPr>
                <w:rFonts w:ascii="Times New Roman" w:hAnsi="Times New Roman"/>
                <w:sz w:val="20"/>
              </w:rPr>
              <w:t>–  UC</w:t>
            </w:r>
            <w:proofErr w:type="gramEnd"/>
          </w:p>
          <w:p w14:paraId="03F344C3" w14:textId="7809D405"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3 – </w:t>
            </w:r>
            <w:r w:rsidR="00A07329">
              <w:rPr>
                <w:rFonts w:ascii="Times New Roman" w:hAnsi="Times New Roman"/>
                <w:sz w:val="20"/>
              </w:rPr>
              <w:t xml:space="preserve">Vie – </w:t>
            </w:r>
            <w:proofErr w:type="spellStart"/>
            <w:r w:rsidR="00097A27">
              <w:rPr>
                <w:rFonts w:ascii="Times New Roman" w:hAnsi="Times New Roman"/>
                <w:sz w:val="20"/>
              </w:rPr>
              <w:t>E</w:t>
            </w:r>
            <w:r w:rsidR="00A07329">
              <w:rPr>
                <w:rFonts w:ascii="Times New Roman" w:hAnsi="Times New Roman"/>
                <w:sz w:val="20"/>
              </w:rPr>
              <w:t>urocroissance</w:t>
            </w:r>
            <w:proofErr w:type="spellEnd"/>
          </w:p>
          <w:p w14:paraId="26A19CDF" w14:textId="2C17C89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4 – </w:t>
            </w:r>
            <w:r w:rsidR="00A07329">
              <w:rPr>
                <w:rFonts w:ascii="Times New Roman" w:hAnsi="Times New Roman"/>
                <w:sz w:val="20"/>
              </w:rPr>
              <w:t>Vie – branche 26</w:t>
            </w:r>
          </w:p>
          <w:p w14:paraId="210BDB0C" w14:textId="27771D9A"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5 – </w:t>
            </w:r>
            <w:r w:rsidR="00A07329">
              <w:rPr>
                <w:rFonts w:ascii="Times New Roman" w:hAnsi="Times New Roman"/>
                <w:sz w:val="20"/>
              </w:rPr>
              <w:t>Incapacité</w:t>
            </w:r>
          </w:p>
          <w:p w14:paraId="5EDF3280" w14:textId="1FB76122"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6 – </w:t>
            </w:r>
            <w:r w:rsidR="00A07329">
              <w:rPr>
                <w:rFonts w:ascii="Times New Roman" w:hAnsi="Times New Roman"/>
                <w:sz w:val="20"/>
              </w:rPr>
              <w:t>Invalidité</w:t>
            </w:r>
          </w:p>
          <w:p w14:paraId="33A13BDB" w14:textId="59161411"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7 – </w:t>
            </w:r>
            <w:r w:rsidR="00A07329">
              <w:rPr>
                <w:rFonts w:ascii="Times New Roman" w:hAnsi="Times New Roman"/>
                <w:sz w:val="20"/>
              </w:rPr>
              <w:t>Rente conjoint survivant</w:t>
            </w:r>
          </w:p>
          <w:p w14:paraId="4B8214DA" w14:textId="3F0CAB4A"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8 – </w:t>
            </w:r>
            <w:r w:rsidR="00A07329">
              <w:rPr>
                <w:rFonts w:ascii="Times New Roman" w:hAnsi="Times New Roman"/>
                <w:sz w:val="20"/>
              </w:rPr>
              <w:t>Rente d’éducation ou d’orphelin</w:t>
            </w:r>
          </w:p>
          <w:p w14:paraId="5866D64C" w14:textId="64140AED"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9 – </w:t>
            </w:r>
            <w:r w:rsidR="00A07329">
              <w:rPr>
                <w:rFonts w:ascii="Times New Roman" w:hAnsi="Times New Roman"/>
                <w:sz w:val="20"/>
              </w:rPr>
              <w:t>Dépendance</w:t>
            </w:r>
          </w:p>
          <w:p w14:paraId="7C37F90C" w14:textId="6FF40627" w:rsidR="000A55AA" w:rsidRDefault="000A55AA" w:rsidP="00950116">
            <w:pPr>
              <w:rPr>
                <w:rFonts w:ascii="Times New Roman" w:hAnsi="Times New Roman"/>
                <w:sz w:val="20"/>
              </w:rPr>
            </w:pPr>
            <w:r>
              <w:rPr>
                <w:rFonts w:ascii="Times New Roman" w:hAnsi="Times New Roman"/>
                <w:sz w:val="20"/>
              </w:rPr>
              <w:t xml:space="preserve">10 – </w:t>
            </w:r>
            <w:r w:rsidR="00A07329">
              <w:rPr>
                <w:rFonts w:ascii="Times New Roman" w:hAnsi="Times New Roman"/>
                <w:sz w:val="20"/>
              </w:rPr>
              <w:t>Décès</w:t>
            </w:r>
          </w:p>
          <w:p w14:paraId="0A5A4097" w14:textId="77777777" w:rsidR="00F820E5" w:rsidRPr="008B3312" w:rsidRDefault="00F820E5" w:rsidP="00950116">
            <w:pPr>
              <w:rPr>
                <w:rFonts w:ascii="Times New Roman" w:hAnsi="Times New Roman" w:cs="Times New Roman"/>
                <w:sz w:val="20"/>
                <w:szCs w:val="20"/>
              </w:rPr>
            </w:pPr>
            <w:r>
              <w:rPr>
                <w:rFonts w:ascii="Times New Roman" w:hAnsi="Times New Roman"/>
                <w:sz w:val="20"/>
              </w:rPr>
              <w:t xml:space="preserve">11 – </w:t>
            </w:r>
            <w:proofErr w:type="spellStart"/>
            <w:r>
              <w:rPr>
                <w:rFonts w:ascii="Times New Roman" w:hAnsi="Times New Roman"/>
                <w:sz w:val="20"/>
              </w:rPr>
              <w:t>Multi-risques</w:t>
            </w:r>
            <w:proofErr w:type="spellEnd"/>
            <w:r>
              <w:rPr>
                <w:rFonts w:ascii="Times New Roman" w:hAnsi="Times New Roman"/>
                <w:sz w:val="20"/>
              </w:rPr>
              <w:t xml:space="preserve"> </w:t>
            </w:r>
          </w:p>
          <w:p w14:paraId="436CA4D1" w14:textId="45410550" w:rsidR="000A55AA" w:rsidRPr="008B3312" w:rsidRDefault="00F820E5" w:rsidP="00950116">
            <w:pPr>
              <w:rPr>
                <w:rFonts w:ascii="Times New Roman" w:hAnsi="Times New Roman" w:cs="Times New Roman"/>
                <w:sz w:val="20"/>
                <w:szCs w:val="20"/>
              </w:rPr>
            </w:pPr>
            <w:r>
              <w:rPr>
                <w:rFonts w:ascii="Times New Roman" w:hAnsi="Times New Roman"/>
                <w:sz w:val="20"/>
              </w:rPr>
              <w:t xml:space="preserve">12 </w:t>
            </w:r>
            <w:r w:rsidR="000A55AA">
              <w:rPr>
                <w:rFonts w:ascii="Times New Roman" w:hAnsi="Times New Roman"/>
                <w:sz w:val="20"/>
              </w:rPr>
              <w:t xml:space="preserve">– </w:t>
            </w:r>
            <w:r w:rsidR="00A07329">
              <w:rPr>
                <w:rFonts w:ascii="Times New Roman" w:hAnsi="Times New Roman"/>
                <w:sz w:val="20"/>
              </w:rPr>
              <w:t>Autre (à préciser dans le rapport régulier au contrôleur)</w:t>
            </w:r>
          </w:p>
          <w:p w14:paraId="36D4931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Remarques </w:t>
            </w:r>
            <w:proofErr w:type="gramStart"/>
            <w:r>
              <w:rPr>
                <w:rFonts w:ascii="Times New Roman" w:hAnsi="Times New Roman"/>
                <w:sz w:val="20"/>
              </w:rPr>
              <w:t>complémentaires:</w:t>
            </w:r>
            <w:proofErr w:type="gramEnd"/>
            <w:r>
              <w:rPr>
                <w:rFonts w:ascii="Times New Roman" w:hAnsi="Times New Roman"/>
                <w:sz w:val="20"/>
              </w:rPr>
              <w:t xml:space="preserve"> </w:t>
            </w:r>
          </w:p>
          <w:p w14:paraId="141A94AC" w14:textId="359693FB" w:rsidR="000A55AA" w:rsidRPr="008B3312" w:rsidRDefault="000A55AA" w:rsidP="00950116">
            <w:pPr>
              <w:rPr>
                <w:rFonts w:ascii="Times New Roman" w:hAnsi="Times New Roman" w:cs="Times New Roman"/>
                <w:sz w:val="20"/>
                <w:szCs w:val="20"/>
              </w:rPr>
            </w:pPr>
            <w:r>
              <w:rPr>
                <w:rFonts w:ascii="Times New Roman" w:hAnsi="Times New Roman"/>
                <w:sz w:val="20"/>
              </w:rPr>
              <w:t>1) Lorsque le traité de réassurance couvre plusieurs</w:t>
            </w:r>
            <w:r w:rsidR="00A07329">
              <w:rPr>
                <w:rFonts w:ascii="Times New Roman" w:hAnsi="Times New Roman"/>
                <w:sz w:val="20"/>
              </w:rPr>
              <w:t xml:space="preserve"> </w:t>
            </w:r>
            <w:proofErr w:type="gramStart"/>
            <w:r w:rsidR="00A07329">
              <w:rPr>
                <w:rFonts w:ascii="Times New Roman" w:hAnsi="Times New Roman"/>
                <w:sz w:val="20"/>
              </w:rPr>
              <w:t>risques</w:t>
            </w:r>
            <w:r>
              <w:rPr>
                <w:rFonts w:ascii="Times New Roman" w:hAnsi="Times New Roman"/>
                <w:sz w:val="20"/>
              </w:rPr>
              <w:t xml:space="preserve">  et</w:t>
            </w:r>
            <w:proofErr w:type="gramEnd"/>
            <w:r>
              <w:rPr>
                <w:rFonts w:ascii="Times New Roman" w:hAnsi="Times New Roman"/>
                <w:sz w:val="20"/>
              </w:rPr>
              <w:t xml:space="preserve"> que les modalités de la couverture diffèrent selon ces </w:t>
            </w:r>
            <w:r w:rsidR="00A07329">
              <w:rPr>
                <w:rFonts w:ascii="Times New Roman" w:hAnsi="Times New Roman"/>
                <w:sz w:val="20"/>
              </w:rPr>
              <w:t>risques</w:t>
            </w:r>
            <w:r>
              <w:rPr>
                <w:rFonts w:ascii="Times New Roman" w:hAnsi="Times New Roman"/>
                <w:sz w:val="20"/>
              </w:rPr>
              <w:t>, le traité doit être déclaré sur plusieurs lignes. La première ligne pour le traité doit être encodée comme «</w:t>
            </w:r>
            <w:r w:rsidR="00270A08">
              <w:rPr>
                <w:rFonts w:ascii="Times New Roman" w:hAnsi="Times New Roman"/>
                <w:sz w:val="20"/>
              </w:rPr>
              <w:t xml:space="preserve"> </w:t>
            </w:r>
            <w:proofErr w:type="spellStart"/>
            <w:r>
              <w:rPr>
                <w:rFonts w:ascii="Times New Roman" w:hAnsi="Times New Roman"/>
                <w:sz w:val="20"/>
              </w:rPr>
              <w:t>Multi-</w:t>
            </w:r>
            <w:r w:rsidR="00F820E5">
              <w:rPr>
                <w:rFonts w:ascii="Times New Roman" w:hAnsi="Times New Roman"/>
                <w:sz w:val="20"/>
              </w:rPr>
              <w:t>risques</w:t>
            </w:r>
            <w:proofErr w:type="spellEnd"/>
            <w:r w:rsidR="00270A08">
              <w:rPr>
                <w:rFonts w:ascii="Times New Roman" w:hAnsi="Times New Roman"/>
                <w:sz w:val="20"/>
              </w:rPr>
              <w:t xml:space="preserve"> </w:t>
            </w:r>
            <w:r>
              <w:rPr>
                <w:rFonts w:ascii="Times New Roman" w:hAnsi="Times New Roman"/>
                <w:sz w:val="20"/>
              </w:rPr>
              <w:t xml:space="preserve">», et fournir des informations sur les termes du traité dans son ensemble (tels que les franchises ou les primes de reconstitution), les lignes suivantes fournissant des informations sur les modalités du traité de réassurance spécifiquement applicables à chacun des </w:t>
            </w:r>
            <w:r w:rsidR="00F820E5">
              <w:rPr>
                <w:rFonts w:ascii="Times New Roman" w:hAnsi="Times New Roman"/>
                <w:sz w:val="20"/>
              </w:rPr>
              <w:t>risques spécifiques</w:t>
            </w:r>
            <w:r>
              <w:rPr>
                <w:rFonts w:ascii="Times New Roman" w:hAnsi="Times New Roman"/>
                <w:sz w:val="20"/>
              </w:rPr>
              <w:t>.</w:t>
            </w:r>
          </w:p>
          <w:p w14:paraId="5AC64560" w14:textId="64281540"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2) Lorsque les termes de la couverture ne diffèrent pas selon </w:t>
            </w:r>
            <w:r w:rsidR="00A07329">
              <w:rPr>
                <w:rFonts w:ascii="Times New Roman" w:hAnsi="Times New Roman"/>
                <w:sz w:val="20"/>
              </w:rPr>
              <w:t xml:space="preserve">le risque, seul le risque dominant </w:t>
            </w:r>
            <w:r>
              <w:rPr>
                <w:rFonts w:ascii="Times New Roman" w:hAnsi="Times New Roman"/>
                <w:sz w:val="20"/>
              </w:rPr>
              <w:t>(sur la base de l’encaissement de primes brut estimé du traité) est requis</w:t>
            </w:r>
            <w:bookmarkEnd w:id="1"/>
          </w:p>
          <w:p w14:paraId="03606B3D" w14:textId="77777777" w:rsidR="000A55AA" w:rsidRPr="00166F34" w:rsidRDefault="000A55AA" w:rsidP="00950116">
            <w:pPr>
              <w:rPr>
                <w:rFonts w:ascii="Times New Roman" w:hAnsi="Times New Roman"/>
              </w:rPr>
            </w:pPr>
            <w:r>
              <w:rPr>
                <w:rFonts w:ascii="Times New Roman" w:hAnsi="Times New Roman"/>
                <w:sz w:val="20"/>
              </w:rPr>
              <w:t>3) Les traités portant sur plusieurs années et dont les conditions sont fixes peuvent être exprimés par les colonnes utilisées pour la période de validité.</w:t>
            </w:r>
          </w:p>
        </w:tc>
      </w:tr>
      <w:tr w:rsidR="000A55AA" w:rsidRPr="008B3312" w14:paraId="09722A33" w14:textId="77777777" w:rsidTr="00950116">
        <w:trPr>
          <w:trHeight w:val="2427"/>
        </w:trPr>
        <w:tc>
          <w:tcPr>
            <w:tcW w:w="1019" w:type="dxa"/>
            <w:hideMark/>
          </w:tcPr>
          <w:p w14:paraId="5CB9A57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C0080</w:t>
            </w:r>
          </w:p>
        </w:tc>
        <w:tc>
          <w:tcPr>
            <w:tcW w:w="1716" w:type="dxa"/>
            <w:hideMark/>
          </w:tcPr>
          <w:p w14:paraId="590E2810" w14:textId="77777777" w:rsidR="000A55AA" w:rsidRPr="008B3312" w:rsidRDefault="000A55AA">
            <w:pPr>
              <w:rPr>
                <w:rFonts w:ascii="Times New Roman" w:hAnsi="Times New Roman" w:cs="Times New Roman"/>
                <w:sz w:val="20"/>
                <w:szCs w:val="20"/>
              </w:rPr>
            </w:pPr>
            <w:r>
              <w:rPr>
                <w:rFonts w:ascii="Times New Roman" w:hAnsi="Times New Roman"/>
                <w:sz w:val="20"/>
              </w:rPr>
              <w:t>Description catégorie de risques couverts</w:t>
            </w:r>
          </w:p>
        </w:tc>
        <w:tc>
          <w:tcPr>
            <w:tcW w:w="6507" w:type="dxa"/>
            <w:hideMark/>
          </w:tcPr>
          <w:p w14:paraId="0F23D97D" w14:textId="70C41515" w:rsidR="000A55AA" w:rsidRPr="008B3312" w:rsidRDefault="000A55AA">
            <w:pPr>
              <w:rPr>
                <w:rFonts w:ascii="Times New Roman" w:hAnsi="Times New Roman" w:cs="Times New Roman"/>
                <w:sz w:val="20"/>
                <w:szCs w:val="20"/>
              </w:rPr>
            </w:pPr>
            <w:r>
              <w:rPr>
                <w:rFonts w:ascii="Times New Roman" w:hAnsi="Times New Roman"/>
                <w:sz w:val="20"/>
              </w:rPr>
              <w:t>Une description du champ principal de la couverture du traité. Cette description se réfère au portefeuille principal sur lequel porte le traité, et fait généralement partie de la description du traité (par exemple</w:t>
            </w:r>
            <w:proofErr w:type="gramStart"/>
            <w:r>
              <w:rPr>
                <w:rFonts w:ascii="Times New Roman" w:hAnsi="Times New Roman"/>
                <w:sz w:val="20"/>
              </w:rPr>
              <w:t xml:space="preserve"> «propriété</w:t>
            </w:r>
            <w:proofErr w:type="gramEnd"/>
            <w:r>
              <w:rPr>
                <w:rFonts w:ascii="Times New Roman" w:hAnsi="Times New Roman"/>
                <w:sz w:val="20"/>
              </w:rPr>
              <w:t xml:space="preserve"> industrielle» ou «responsabilité des administrateurs et dirigeants d’entreprise»). Les </w:t>
            </w:r>
            <w:r w:rsidR="00A07329">
              <w:rPr>
                <w:rFonts w:ascii="Times New Roman" w:hAnsi="Times New Roman"/>
                <w:sz w:val="20"/>
              </w:rPr>
              <w:t xml:space="preserve">FRPS </w:t>
            </w:r>
            <w:r>
              <w:rPr>
                <w:rFonts w:ascii="Times New Roman" w:hAnsi="Times New Roman"/>
                <w:sz w:val="20"/>
              </w:rPr>
              <w:t>peuvent également inclure une description se référant à l’unité opérationnelle qui a accepté le risque, si cela a eu une incidence sur les conditions du traité (par exemple</w:t>
            </w:r>
            <w:proofErr w:type="gramStart"/>
            <w:r>
              <w:rPr>
                <w:rFonts w:ascii="Times New Roman" w:hAnsi="Times New Roman"/>
                <w:sz w:val="20"/>
              </w:rPr>
              <w:t xml:space="preserve"> «label</w:t>
            </w:r>
            <w:proofErr w:type="gramEnd"/>
            <w:r>
              <w:rPr>
                <w:rFonts w:ascii="Times New Roman" w:hAnsi="Times New Roman"/>
                <w:sz w:val="20"/>
              </w:rPr>
              <w:t xml:space="preserve"> de distribution A»).</w:t>
            </w:r>
          </w:p>
          <w:p w14:paraId="6D5B448F" w14:textId="77777777" w:rsidR="000A55AA" w:rsidRPr="008B3312" w:rsidRDefault="000A55AA">
            <w:pPr>
              <w:rPr>
                <w:rFonts w:ascii="Times New Roman" w:hAnsi="Times New Roman" w:cs="Times New Roman"/>
                <w:sz w:val="20"/>
                <w:szCs w:val="20"/>
              </w:rPr>
            </w:pPr>
          </w:p>
          <w:p w14:paraId="61620BF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La description de la catégorie de risques couverts est spécifique à l’entité et n’est pas obligatoire. Par ailleurs, le terme</w:t>
            </w:r>
            <w:proofErr w:type="gramStart"/>
            <w:r>
              <w:rPr>
                <w:rFonts w:ascii="Times New Roman" w:hAnsi="Times New Roman"/>
                <w:sz w:val="20"/>
              </w:rPr>
              <w:t xml:space="preserve"> «catégorie</w:t>
            </w:r>
            <w:proofErr w:type="gramEnd"/>
            <w:r>
              <w:rPr>
                <w:rFonts w:ascii="Times New Roman" w:hAnsi="Times New Roman"/>
                <w:sz w:val="20"/>
              </w:rPr>
              <w:t xml:space="preserve"> de risques» n’est pas fondé sur la terminologie de niveau 1 ou 2 mais peut être considéré comme une possibilité supplémentaire de fournir des informations complémentaires sur le(s) risque(s) de souscription.</w:t>
            </w:r>
          </w:p>
        </w:tc>
      </w:tr>
      <w:tr w:rsidR="000A55AA" w:rsidRPr="008B3312" w14:paraId="6CA48859" w14:textId="77777777" w:rsidTr="0044578D">
        <w:trPr>
          <w:trHeight w:val="274"/>
        </w:trPr>
        <w:tc>
          <w:tcPr>
            <w:tcW w:w="1019" w:type="dxa"/>
            <w:hideMark/>
          </w:tcPr>
          <w:p w14:paraId="7BC998B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C0090</w:t>
            </w:r>
          </w:p>
        </w:tc>
        <w:tc>
          <w:tcPr>
            <w:tcW w:w="1716" w:type="dxa"/>
            <w:hideMark/>
          </w:tcPr>
          <w:p w14:paraId="7FF50C3B" w14:textId="77777777" w:rsidR="000A55AA" w:rsidRPr="008B3312" w:rsidRDefault="000A55AA">
            <w:pPr>
              <w:rPr>
                <w:rFonts w:ascii="Times New Roman" w:hAnsi="Times New Roman" w:cs="Times New Roman"/>
                <w:sz w:val="20"/>
                <w:szCs w:val="20"/>
              </w:rPr>
            </w:pPr>
            <w:r>
              <w:rPr>
                <w:rFonts w:ascii="Times New Roman" w:hAnsi="Times New Roman"/>
                <w:sz w:val="20"/>
              </w:rPr>
              <w:t>Type de traité de réassurance</w:t>
            </w:r>
          </w:p>
        </w:tc>
        <w:tc>
          <w:tcPr>
            <w:tcW w:w="6507" w:type="dxa"/>
            <w:hideMark/>
          </w:tcPr>
          <w:p w14:paraId="76E32C97" w14:textId="77777777" w:rsidR="000A55AA" w:rsidRPr="008B3312" w:rsidRDefault="000A55AA">
            <w:pPr>
              <w:rPr>
                <w:rFonts w:ascii="Times New Roman" w:hAnsi="Times New Roman" w:cs="Times New Roman"/>
                <w:sz w:val="20"/>
                <w:szCs w:val="20"/>
              </w:rPr>
            </w:pPr>
            <w:bookmarkStart w:id="2" w:name="OLE_LINK34"/>
            <w:r>
              <w:rPr>
                <w:rFonts w:ascii="Times New Roman" w:hAnsi="Times New Roman"/>
                <w:sz w:val="20"/>
              </w:rPr>
              <w:t xml:space="preserve">Le code du type de traité de réassurance. Choisir impérativement l’une des options </w:t>
            </w:r>
            <w:proofErr w:type="gramStart"/>
            <w:r>
              <w:rPr>
                <w:rFonts w:ascii="Times New Roman" w:hAnsi="Times New Roman"/>
                <w:sz w:val="20"/>
              </w:rPr>
              <w:t>suivantes:</w:t>
            </w:r>
            <w:proofErr w:type="gramEnd"/>
            <w:r>
              <w:rPr>
                <w:rFonts w:ascii="Times New Roman" w:hAnsi="Times New Roman"/>
                <w:sz w:val="20"/>
              </w:rPr>
              <w:t xml:space="preserve"> </w:t>
            </w:r>
          </w:p>
          <w:bookmarkEnd w:id="2"/>
          <w:p w14:paraId="0432921F"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1 – Quote-part</w:t>
            </w:r>
          </w:p>
          <w:p w14:paraId="231C6D14"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2 – Quote-part variable</w:t>
            </w:r>
          </w:p>
          <w:p w14:paraId="14916C7D"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3 – Excédent de plein</w:t>
            </w:r>
          </w:p>
          <w:p w14:paraId="29FBB12E" w14:textId="77777777" w:rsidR="000A55AA" w:rsidRPr="00166F34" w:rsidRDefault="000A55AA" w:rsidP="00950116">
            <w:pPr>
              <w:rPr>
                <w:rFonts w:ascii="Times New Roman" w:hAnsi="Times New Roman"/>
              </w:rPr>
            </w:pPr>
            <w:r>
              <w:rPr>
                <w:rFonts w:ascii="Times New Roman" w:hAnsi="Times New Roman"/>
                <w:sz w:val="20"/>
              </w:rPr>
              <w:t xml:space="preserve">       </w:t>
            </w:r>
            <w:r>
              <w:rPr>
                <w:rFonts w:ascii="Times New Roman" w:hAnsi="Times New Roman"/>
              </w:rPr>
              <w:t>4 – Excédent de sinistre (par événement et par risque)</w:t>
            </w:r>
          </w:p>
          <w:p w14:paraId="37C90D46"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5 – Excédent de sinistre (par risque)</w:t>
            </w:r>
          </w:p>
          <w:p w14:paraId="370F0EEC"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6 – Excédent de sinistre (par événement)</w:t>
            </w:r>
          </w:p>
          <w:p w14:paraId="57BC3B11"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7 –</w:t>
            </w:r>
            <w:proofErr w:type="gramStart"/>
            <w:r>
              <w:rPr>
                <w:rFonts w:ascii="Times New Roman" w:hAnsi="Times New Roman"/>
                <w:sz w:val="20"/>
              </w:rPr>
              <w:t xml:space="preserve"> «Complémentaire</w:t>
            </w:r>
            <w:proofErr w:type="gramEnd"/>
            <w:r>
              <w:rPr>
                <w:rFonts w:ascii="Times New Roman" w:hAnsi="Times New Roman"/>
                <w:sz w:val="20"/>
              </w:rPr>
              <w:t>» excédent de sinistre (protection contre des événements faisant suite à certaines catastrophes telles que les inondations ou les incendies)</w:t>
            </w:r>
          </w:p>
          <w:p w14:paraId="6B32D204"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8 – Excédent de sinistre avec risque de base</w:t>
            </w:r>
          </w:p>
          <w:p w14:paraId="17AFD14D"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9 – Reconstitution de la garantie</w:t>
            </w:r>
          </w:p>
          <w:p w14:paraId="4EFD358A"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10 – Excédent de sinistre global</w:t>
            </w:r>
          </w:p>
          <w:p w14:paraId="62FBBC4F"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11 – Excédent de sinistre illimité</w:t>
            </w:r>
          </w:p>
          <w:p w14:paraId="6E73FFFC"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 xml:space="preserve">12 – Excédent de perte </w:t>
            </w:r>
          </w:p>
          <w:p w14:paraId="733045DA"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13 – Autres traités proportionnels</w:t>
            </w:r>
          </w:p>
          <w:p w14:paraId="1DF4BE33" w14:textId="77777777" w:rsidR="000A55AA" w:rsidRPr="008B3312" w:rsidRDefault="000A55AA" w:rsidP="00950116">
            <w:pPr>
              <w:ind w:left="360"/>
              <w:rPr>
                <w:rFonts w:ascii="Times New Roman" w:hAnsi="Times New Roman" w:cs="Times New Roman"/>
                <w:sz w:val="20"/>
                <w:szCs w:val="20"/>
              </w:rPr>
            </w:pPr>
            <w:r>
              <w:rPr>
                <w:rFonts w:ascii="Times New Roman" w:hAnsi="Times New Roman"/>
                <w:sz w:val="20"/>
              </w:rPr>
              <w:t>14 – Autres traités non proportionnels</w:t>
            </w:r>
          </w:p>
          <w:p w14:paraId="513163B2" w14:textId="77777777" w:rsidR="000A55AA" w:rsidRPr="008B3312" w:rsidRDefault="000A55AA" w:rsidP="00950116">
            <w:pPr>
              <w:rPr>
                <w:rFonts w:ascii="Times New Roman" w:hAnsi="Times New Roman" w:cs="Times New Roman"/>
                <w:sz w:val="20"/>
                <w:szCs w:val="20"/>
              </w:rPr>
            </w:pPr>
          </w:p>
          <w:p w14:paraId="6ECA943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Les codes 13 (Autres traités proportionnels) et 14 (Autres traités non proportionnels) peuvent être utilisés pour les traités de réassurance hybrides.</w:t>
            </w:r>
          </w:p>
        </w:tc>
      </w:tr>
      <w:tr w:rsidR="000A55AA" w:rsidRPr="008B3312" w14:paraId="601CA932" w14:textId="77777777" w:rsidTr="00950116">
        <w:trPr>
          <w:trHeight w:val="615"/>
        </w:trPr>
        <w:tc>
          <w:tcPr>
            <w:tcW w:w="1019" w:type="dxa"/>
            <w:hideMark/>
          </w:tcPr>
          <w:p w14:paraId="2DFB6F3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C0110</w:t>
            </w:r>
          </w:p>
        </w:tc>
        <w:tc>
          <w:tcPr>
            <w:tcW w:w="1716" w:type="dxa"/>
            <w:hideMark/>
          </w:tcPr>
          <w:p w14:paraId="21E7842D" w14:textId="77777777" w:rsidR="000A55AA" w:rsidRPr="008B3312" w:rsidRDefault="000A55AA">
            <w:pPr>
              <w:rPr>
                <w:rFonts w:ascii="Times New Roman" w:hAnsi="Times New Roman" w:cs="Times New Roman"/>
                <w:sz w:val="20"/>
                <w:szCs w:val="20"/>
              </w:rPr>
            </w:pPr>
            <w:r>
              <w:rPr>
                <w:rFonts w:ascii="Times New Roman" w:hAnsi="Times New Roman"/>
                <w:sz w:val="20"/>
              </w:rPr>
              <w:t>Période de validité (date de début)</w:t>
            </w:r>
          </w:p>
        </w:tc>
        <w:tc>
          <w:tcPr>
            <w:tcW w:w="6507" w:type="dxa"/>
            <w:hideMark/>
          </w:tcPr>
          <w:p w14:paraId="49C6865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de début du traité de réassurance en question.</w:t>
            </w:r>
          </w:p>
        </w:tc>
      </w:tr>
      <w:tr w:rsidR="000A55AA" w:rsidRPr="008B3312" w14:paraId="15B5CD58" w14:textId="77777777" w:rsidTr="00950116">
        <w:trPr>
          <w:trHeight w:val="509"/>
        </w:trPr>
        <w:tc>
          <w:tcPr>
            <w:tcW w:w="1019" w:type="dxa"/>
            <w:vMerge w:val="restart"/>
            <w:hideMark/>
          </w:tcPr>
          <w:p w14:paraId="4693CB1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C0120</w:t>
            </w:r>
          </w:p>
        </w:tc>
        <w:tc>
          <w:tcPr>
            <w:tcW w:w="1716" w:type="dxa"/>
            <w:vMerge w:val="restart"/>
            <w:hideMark/>
          </w:tcPr>
          <w:p w14:paraId="2EE308B9" w14:textId="77777777" w:rsidR="000A55AA" w:rsidRPr="008B3312" w:rsidRDefault="000A55AA">
            <w:pPr>
              <w:rPr>
                <w:rFonts w:ascii="Times New Roman" w:hAnsi="Times New Roman" w:cs="Times New Roman"/>
                <w:sz w:val="20"/>
                <w:szCs w:val="20"/>
              </w:rPr>
            </w:pPr>
            <w:r>
              <w:rPr>
                <w:rFonts w:ascii="Times New Roman" w:hAnsi="Times New Roman"/>
                <w:sz w:val="20"/>
              </w:rPr>
              <w:t>Période de validité (date d’expiration)</w:t>
            </w:r>
          </w:p>
        </w:tc>
        <w:tc>
          <w:tcPr>
            <w:tcW w:w="6507" w:type="dxa"/>
            <w:vMerge w:val="restart"/>
            <w:hideMark/>
          </w:tcPr>
          <w:p w14:paraId="56D2731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code ISO 8601 (</w:t>
            </w:r>
            <w:proofErr w:type="spellStart"/>
            <w:r>
              <w:rPr>
                <w:rFonts w:ascii="Times New Roman" w:hAnsi="Times New Roman"/>
                <w:sz w:val="20"/>
              </w:rPr>
              <w:t>aaaa</w:t>
            </w:r>
            <w:proofErr w:type="spellEnd"/>
            <w:r>
              <w:rPr>
                <w:rFonts w:ascii="Times New Roman" w:hAnsi="Times New Roman"/>
                <w:sz w:val="20"/>
              </w:rPr>
              <w:t>-mm-jj) de la date de la date d’expiration finale du traité de réassurance en question.</w:t>
            </w:r>
          </w:p>
          <w:p w14:paraId="62969ABD" w14:textId="77777777" w:rsidR="000A55AA" w:rsidRPr="008B3312" w:rsidRDefault="000A55AA" w:rsidP="00950116">
            <w:pPr>
              <w:rPr>
                <w:rFonts w:ascii="Times New Roman" w:hAnsi="Times New Roman" w:cs="Times New Roman"/>
                <w:sz w:val="20"/>
                <w:szCs w:val="20"/>
              </w:rPr>
            </w:pPr>
          </w:p>
          <w:p w14:paraId="46BB2CE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Si les conditions du traité restent inchangées lorsque le modèle est complété et que l’entreprise ne fait pas usage de la clause de résiliation, la date d’expiration est la prochaine date d’expiration possible.</w:t>
            </w:r>
          </w:p>
        </w:tc>
      </w:tr>
      <w:tr w:rsidR="000A55AA" w:rsidRPr="008B3312" w14:paraId="4AAF5F8A" w14:textId="77777777" w:rsidTr="00950116">
        <w:trPr>
          <w:trHeight w:val="509"/>
        </w:trPr>
        <w:tc>
          <w:tcPr>
            <w:tcW w:w="1019" w:type="dxa"/>
            <w:vMerge/>
            <w:hideMark/>
          </w:tcPr>
          <w:p w14:paraId="7A936A61" w14:textId="77777777" w:rsidR="000A55AA" w:rsidRPr="008B3312" w:rsidRDefault="000A55AA">
            <w:pPr>
              <w:rPr>
                <w:rFonts w:ascii="Times New Roman" w:hAnsi="Times New Roman" w:cs="Times New Roman"/>
                <w:sz w:val="20"/>
                <w:szCs w:val="20"/>
              </w:rPr>
            </w:pPr>
          </w:p>
        </w:tc>
        <w:tc>
          <w:tcPr>
            <w:tcW w:w="1716" w:type="dxa"/>
            <w:vMerge/>
            <w:hideMark/>
          </w:tcPr>
          <w:p w14:paraId="0464FB09" w14:textId="77777777" w:rsidR="000A55AA" w:rsidRPr="008B3312" w:rsidRDefault="000A55AA">
            <w:pPr>
              <w:rPr>
                <w:rFonts w:ascii="Times New Roman" w:hAnsi="Times New Roman" w:cs="Times New Roman"/>
                <w:sz w:val="20"/>
                <w:szCs w:val="20"/>
              </w:rPr>
            </w:pPr>
          </w:p>
        </w:tc>
        <w:tc>
          <w:tcPr>
            <w:tcW w:w="6507" w:type="dxa"/>
            <w:vMerge/>
            <w:hideMark/>
          </w:tcPr>
          <w:p w14:paraId="30FF3C0C" w14:textId="77777777" w:rsidR="000A55AA" w:rsidRPr="008B3312" w:rsidRDefault="000A55AA">
            <w:pPr>
              <w:rPr>
                <w:rFonts w:ascii="Times New Roman" w:hAnsi="Times New Roman" w:cs="Times New Roman"/>
                <w:sz w:val="20"/>
                <w:szCs w:val="20"/>
              </w:rPr>
            </w:pPr>
          </w:p>
        </w:tc>
      </w:tr>
      <w:tr w:rsidR="000A55AA" w:rsidRPr="008B3312" w14:paraId="65F19487" w14:textId="77777777" w:rsidTr="00950116">
        <w:trPr>
          <w:trHeight w:val="615"/>
        </w:trPr>
        <w:tc>
          <w:tcPr>
            <w:tcW w:w="1019" w:type="dxa"/>
            <w:hideMark/>
          </w:tcPr>
          <w:p w14:paraId="44F1206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C0130</w:t>
            </w:r>
          </w:p>
        </w:tc>
        <w:tc>
          <w:tcPr>
            <w:tcW w:w="1716" w:type="dxa"/>
            <w:hideMark/>
          </w:tcPr>
          <w:p w14:paraId="7174DF24" w14:textId="77777777" w:rsidR="000A55AA" w:rsidRPr="008B3312" w:rsidRDefault="000A55AA">
            <w:pPr>
              <w:rPr>
                <w:rFonts w:ascii="Times New Roman" w:hAnsi="Times New Roman" w:cs="Times New Roman"/>
                <w:sz w:val="20"/>
                <w:szCs w:val="20"/>
              </w:rPr>
            </w:pPr>
            <w:r>
              <w:rPr>
                <w:rFonts w:ascii="Times New Roman" w:hAnsi="Times New Roman"/>
                <w:sz w:val="20"/>
              </w:rPr>
              <w:t>Monnaie</w:t>
            </w:r>
          </w:p>
        </w:tc>
        <w:tc>
          <w:tcPr>
            <w:tcW w:w="6507" w:type="dxa"/>
            <w:hideMark/>
          </w:tcPr>
          <w:p w14:paraId="2BA14C1C" w14:textId="47BCC193" w:rsidR="000A55AA" w:rsidRPr="008B3312" w:rsidRDefault="000A55AA" w:rsidP="00907D61">
            <w:pPr>
              <w:rPr>
                <w:rFonts w:ascii="Times New Roman" w:hAnsi="Times New Roman" w:cs="Times New Roman"/>
                <w:sz w:val="20"/>
                <w:szCs w:val="20"/>
              </w:rPr>
            </w:pPr>
            <w:r>
              <w:rPr>
                <w:rFonts w:ascii="Times New Roman" w:hAnsi="Times New Roman"/>
                <w:sz w:val="20"/>
              </w:rPr>
              <w:t xml:space="preserve">Indiquer le code alphabétique ISO 4217 de la monnaie utilisée lors du placement du traité de réassurance. Tous les montants doivent être libellés dans cette monnaie pour la couverture en question, sauf exigence contraire de l’autorité </w:t>
            </w:r>
            <w:r w:rsidR="00907D61">
              <w:rPr>
                <w:rFonts w:ascii="Times New Roman" w:hAnsi="Times New Roman"/>
                <w:sz w:val="20"/>
              </w:rPr>
              <w:t>de contrôle prudentiel et de résolution</w:t>
            </w:r>
            <w:r>
              <w:rPr>
                <w:rFonts w:ascii="Times New Roman" w:hAnsi="Times New Roman"/>
                <w:sz w:val="20"/>
              </w:rPr>
              <w:t>. Si le traité est placé dans deux monnaies différentes, déclarer la monnaie principale.</w:t>
            </w:r>
          </w:p>
        </w:tc>
      </w:tr>
      <w:tr w:rsidR="000A55AA" w:rsidRPr="008B3312" w14:paraId="43E747D0" w14:textId="77777777" w:rsidTr="0044578D">
        <w:trPr>
          <w:trHeight w:val="6973"/>
        </w:trPr>
        <w:tc>
          <w:tcPr>
            <w:tcW w:w="1019" w:type="dxa"/>
            <w:hideMark/>
          </w:tcPr>
          <w:p w14:paraId="7FDBEE6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C0140</w:t>
            </w:r>
          </w:p>
        </w:tc>
        <w:tc>
          <w:tcPr>
            <w:tcW w:w="1716" w:type="dxa"/>
            <w:hideMark/>
          </w:tcPr>
          <w:p w14:paraId="335522A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Type de modèle de souscription </w:t>
            </w:r>
          </w:p>
        </w:tc>
        <w:tc>
          <w:tcPr>
            <w:tcW w:w="6507" w:type="dxa"/>
            <w:hideMark/>
          </w:tcPr>
          <w:p w14:paraId="641F6703"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Le type de modèle de souscription qui est utilisé pour estimer l’exposition du risque de souscription et les besoins de protection par la réassurance. Choisir impérativement l’une des options </w:t>
            </w:r>
            <w:proofErr w:type="gramStart"/>
            <w:r>
              <w:rPr>
                <w:rFonts w:ascii="Times New Roman" w:hAnsi="Times New Roman"/>
                <w:sz w:val="20"/>
              </w:rPr>
              <w:t>suivantes:</w:t>
            </w:r>
            <w:proofErr w:type="gramEnd"/>
          </w:p>
          <w:p w14:paraId="23BFD21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1 – Somme </w:t>
            </w:r>
            <w:proofErr w:type="gramStart"/>
            <w:r>
              <w:rPr>
                <w:rFonts w:ascii="Times New Roman" w:hAnsi="Times New Roman"/>
                <w:sz w:val="20"/>
              </w:rPr>
              <w:t>assurée:</w:t>
            </w:r>
            <w:proofErr w:type="gramEnd"/>
          </w:p>
          <w:p w14:paraId="10EB2A00" w14:textId="4E4D2170" w:rsidR="000A55AA" w:rsidRPr="008B3312" w:rsidRDefault="000A55AA" w:rsidP="00950116">
            <w:pPr>
              <w:rPr>
                <w:rFonts w:ascii="Times New Roman" w:hAnsi="Times New Roman" w:cs="Times New Roman"/>
                <w:sz w:val="20"/>
                <w:szCs w:val="20"/>
              </w:rPr>
            </w:pPr>
            <w:proofErr w:type="gramStart"/>
            <w:r>
              <w:rPr>
                <w:rFonts w:ascii="Times New Roman" w:hAnsi="Times New Roman"/>
                <w:sz w:val="20"/>
              </w:rPr>
              <w:t>le</w:t>
            </w:r>
            <w:proofErr w:type="gramEnd"/>
            <w:r>
              <w:rPr>
                <w:rFonts w:ascii="Times New Roman" w:hAnsi="Times New Roman"/>
                <w:sz w:val="20"/>
              </w:rPr>
              <w:t xml:space="preserve"> montant le plus élevé que </w:t>
            </w:r>
            <w:r w:rsidR="00C2410F">
              <w:rPr>
                <w:rFonts w:ascii="Times New Roman" w:hAnsi="Times New Roman"/>
                <w:sz w:val="20"/>
              </w:rPr>
              <w:t>l’O</w:t>
            </w:r>
            <w:r w:rsidR="00A07329">
              <w:rPr>
                <w:rFonts w:ascii="Times New Roman" w:hAnsi="Times New Roman"/>
                <w:sz w:val="20"/>
              </w:rPr>
              <w:t xml:space="preserve">RPS </w:t>
            </w:r>
            <w:r>
              <w:rPr>
                <w:rFonts w:ascii="Times New Roman" w:hAnsi="Times New Roman"/>
                <w:sz w:val="20"/>
              </w:rPr>
              <w:t>peut être tenu de payer en vertu de la police d’origine. La somme assurée doit aussi être indiquée quand le type de modèle de souscription n’est pas applicable.</w:t>
            </w:r>
          </w:p>
          <w:p w14:paraId="28B7089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2 – Sinistre maximum </w:t>
            </w:r>
            <w:proofErr w:type="gramStart"/>
            <w:r>
              <w:rPr>
                <w:rFonts w:ascii="Times New Roman" w:hAnsi="Times New Roman"/>
                <w:sz w:val="20"/>
              </w:rPr>
              <w:t>possible:</w:t>
            </w:r>
            <w:proofErr w:type="gramEnd"/>
          </w:p>
          <w:p w14:paraId="10D11A04" w14:textId="77777777" w:rsidR="000A55AA" w:rsidRPr="008B3312" w:rsidRDefault="000A55AA" w:rsidP="00950116">
            <w:pPr>
              <w:rPr>
                <w:rFonts w:ascii="Times New Roman" w:hAnsi="Times New Roman" w:cs="Times New Roman"/>
                <w:sz w:val="20"/>
                <w:szCs w:val="20"/>
              </w:rPr>
            </w:pPr>
            <w:proofErr w:type="gramStart"/>
            <w:r>
              <w:rPr>
                <w:rFonts w:ascii="Times New Roman" w:hAnsi="Times New Roman"/>
                <w:sz w:val="20"/>
              </w:rPr>
              <w:t>sinistre</w:t>
            </w:r>
            <w:proofErr w:type="gramEnd"/>
            <w:r>
              <w:rPr>
                <w:rFonts w:ascii="Times New Roman" w:hAnsi="Times New Roman"/>
                <w:sz w:val="20"/>
              </w:rPr>
              <w:t xml:space="preserve"> qui peut survenir lorsque, les circonstances les plus défavorables étant plus ou moins exceptionnellement réunies, l’incendie ne s’arrête qu’en cas d’obstacles infranchissables ou de manque de combustible.</w:t>
            </w:r>
          </w:p>
          <w:p w14:paraId="40DFD5C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3 – Sinistre maximum </w:t>
            </w:r>
            <w:proofErr w:type="gramStart"/>
            <w:r>
              <w:rPr>
                <w:rFonts w:ascii="Times New Roman" w:hAnsi="Times New Roman"/>
                <w:sz w:val="20"/>
              </w:rPr>
              <w:t>probable:</w:t>
            </w:r>
            <w:proofErr w:type="gramEnd"/>
          </w:p>
          <w:p w14:paraId="66193AB0" w14:textId="390AD5E7" w:rsidR="000A55AA" w:rsidRPr="008B3312" w:rsidRDefault="000A55AA" w:rsidP="00950116">
            <w:pPr>
              <w:rPr>
                <w:rFonts w:ascii="Times New Roman" w:hAnsi="Times New Roman" w:cs="Times New Roman"/>
                <w:sz w:val="20"/>
                <w:szCs w:val="20"/>
              </w:rPr>
            </w:pPr>
            <w:proofErr w:type="gramStart"/>
            <w:r>
              <w:rPr>
                <w:rFonts w:ascii="Times New Roman" w:hAnsi="Times New Roman"/>
                <w:sz w:val="20"/>
              </w:rPr>
              <w:t>défini</w:t>
            </w:r>
            <w:proofErr w:type="gramEnd"/>
            <w:r>
              <w:rPr>
                <w:rFonts w:ascii="Times New Roman" w:hAnsi="Times New Roman"/>
                <w:sz w:val="20"/>
              </w:rPr>
              <w:t xml:space="preserve"> comme l’estimation du sinistre le plus important que l’on puisse attendre en conséquence d’un incendie ou danger individuel si l’on fait l’hypothèse du plus grave dysfonctionnement individuel possible des systèmes privés de protection incendie primaires mais d’un fonctionnement normal des systèmes ou organisations de protection secondaires (tels que les organisations de secours d’urgence et les services de sécurité incendie privés et/ou publics).. Cette définition est une forme hybride du sinistre maximum possible et du sinistre maximum estimé qui est généralement acceptée et fréquemment utilisée par les assureurs, les réassureurs et les courtiers en réassurance.</w:t>
            </w:r>
          </w:p>
          <w:p w14:paraId="70ED546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4 – Sinistre maximum </w:t>
            </w:r>
            <w:proofErr w:type="gramStart"/>
            <w:r>
              <w:rPr>
                <w:rFonts w:ascii="Times New Roman" w:hAnsi="Times New Roman"/>
                <w:sz w:val="20"/>
              </w:rPr>
              <w:t>estimé:</w:t>
            </w:r>
            <w:proofErr w:type="gramEnd"/>
          </w:p>
          <w:p w14:paraId="5BCB7417" w14:textId="77777777" w:rsidR="000A55AA" w:rsidRPr="008B3312" w:rsidRDefault="000A55AA" w:rsidP="00950116">
            <w:pPr>
              <w:rPr>
                <w:rFonts w:ascii="Times New Roman" w:hAnsi="Times New Roman" w:cs="Times New Roman"/>
                <w:sz w:val="20"/>
                <w:szCs w:val="20"/>
              </w:rPr>
            </w:pPr>
            <w:proofErr w:type="gramStart"/>
            <w:r>
              <w:rPr>
                <w:rFonts w:ascii="Times New Roman" w:hAnsi="Times New Roman"/>
                <w:sz w:val="20"/>
              </w:rPr>
              <w:t>sinistre</w:t>
            </w:r>
            <w:proofErr w:type="gramEnd"/>
            <w:r>
              <w:rPr>
                <w:rFonts w:ascii="Times New Roman" w:hAnsi="Times New Roman"/>
                <w:sz w:val="20"/>
              </w:rPr>
              <w:t xml:space="preserve"> qui pourrait raisonnablement être subi dans les circonstances considérées, en conséquence d’un incident individuel considéré comme relevant du domaine du probable, en tenant compte de tous les facteurs susceptibles d’accroître ou de réduire l’étendue du sinistre, mais en excluant les coïncidences et les catastrophes qui pourraient être possibles mais demeurent peu probables.</w:t>
            </w:r>
          </w:p>
          <w:p w14:paraId="2731889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5 – Autre</w:t>
            </w:r>
          </w:p>
          <w:p w14:paraId="3E2F9EAE" w14:textId="215A4D08" w:rsidR="000A55AA" w:rsidRPr="008B3312" w:rsidRDefault="000A55AA">
            <w:pPr>
              <w:rPr>
                <w:rFonts w:ascii="Times New Roman" w:hAnsi="Times New Roman" w:cs="Times New Roman"/>
                <w:sz w:val="20"/>
                <w:szCs w:val="20"/>
              </w:rPr>
            </w:pPr>
            <w:proofErr w:type="gramStart"/>
            <w:r>
              <w:rPr>
                <w:rFonts w:ascii="Times New Roman" w:hAnsi="Times New Roman"/>
                <w:sz w:val="20"/>
              </w:rPr>
              <w:t>les</w:t>
            </w:r>
            <w:proofErr w:type="gramEnd"/>
            <w:r>
              <w:rPr>
                <w:rFonts w:ascii="Times New Roman" w:hAnsi="Times New Roman"/>
                <w:sz w:val="20"/>
              </w:rPr>
              <w:t xml:space="preserve"> autres modèles de souscription possibles utilisés.  Le type d</w:t>
            </w:r>
            <w:proofErr w:type="gramStart"/>
            <w:r>
              <w:rPr>
                <w:rFonts w:ascii="Times New Roman" w:hAnsi="Times New Roman"/>
                <w:sz w:val="20"/>
              </w:rPr>
              <w:t>’«autre</w:t>
            </w:r>
            <w:proofErr w:type="gramEnd"/>
            <w:r>
              <w:rPr>
                <w:rFonts w:ascii="Times New Roman" w:hAnsi="Times New Roman"/>
                <w:sz w:val="20"/>
              </w:rPr>
              <w:t>» modèle de souscription appliqué doit être expliqué dans le rapport régulier au contrôleur.</w:t>
            </w:r>
          </w:p>
        </w:tc>
      </w:tr>
      <w:tr w:rsidR="000A55AA" w:rsidRPr="008B3312" w14:paraId="607B25F6" w14:textId="77777777" w:rsidTr="00950116">
        <w:trPr>
          <w:trHeight w:val="930"/>
        </w:trPr>
        <w:tc>
          <w:tcPr>
            <w:tcW w:w="1019" w:type="dxa"/>
            <w:hideMark/>
          </w:tcPr>
          <w:p w14:paraId="1ABABEC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C0150</w:t>
            </w:r>
          </w:p>
        </w:tc>
        <w:tc>
          <w:tcPr>
            <w:tcW w:w="1716" w:type="dxa"/>
            <w:hideMark/>
          </w:tcPr>
          <w:p w14:paraId="09364F7C" w14:textId="77777777" w:rsidR="000A55AA" w:rsidRPr="008B3312" w:rsidRDefault="000A55AA">
            <w:pPr>
              <w:rPr>
                <w:rFonts w:ascii="Times New Roman" w:hAnsi="Times New Roman" w:cs="Times New Roman"/>
                <w:sz w:val="20"/>
                <w:szCs w:val="20"/>
              </w:rPr>
            </w:pPr>
            <w:r>
              <w:rPr>
                <w:rFonts w:ascii="Times New Roman" w:hAnsi="Times New Roman"/>
                <w:sz w:val="20"/>
              </w:rPr>
              <w:t>Chiffre d’affaires estimé prime de base (excédent de sinistre – ESPI)</w:t>
            </w:r>
          </w:p>
        </w:tc>
        <w:tc>
          <w:tcPr>
            <w:tcW w:w="6507" w:type="dxa"/>
            <w:hideMark/>
          </w:tcPr>
          <w:p w14:paraId="03940471"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Le montant du chiffre d’affaires estimé des primes de base </w:t>
            </w:r>
            <w:proofErr w:type="gramStart"/>
            <w:r>
              <w:rPr>
                <w:rFonts w:ascii="Times New Roman" w:hAnsi="Times New Roman"/>
                <w:sz w:val="20"/>
              </w:rPr>
              <w:t>(«ESPI</w:t>
            </w:r>
            <w:proofErr w:type="gramEnd"/>
            <w:r>
              <w:rPr>
                <w:rFonts w:ascii="Times New Roman" w:hAnsi="Times New Roman"/>
                <w:sz w:val="20"/>
              </w:rPr>
              <w:t xml:space="preserve">») sur la durée du contrat. Il s’agit en général du montant de la prime du portefeuille protégé par des traités en excédent de </w:t>
            </w:r>
            <w:proofErr w:type="gramStart"/>
            <w:r>
              <w:rPr>
                <w:rFonts w:ascii="Times New Roman" w:hAnsi="Times New Roman"/>
                <w:sz w:val="20"/>
              </w:rPr>
              <w:t>sinistre;</w:t>
            </w:r>
            <w:proofErr w:type="gramEnd"/>
            <w:r>
              <w:rPr>
                <w:rFonts w:ascii="Times New Roman" w:hAnsi="Times New Roman"/>
                <w:sz w:val="20"/>
              </w:rPr>
              <w:t xml:space="preserve"> dans tous les cas, il s’agit du montant par rapport auquel la prime de réassurance est calculée en appliquant le taux. Cette ligne n’est déclarée que pour les traités en excédent de sinistre.</w:t>
            </w:r>
          </w:p>
        </w:tc>
      </w:tr>
      <w:tr w:rsidR="000A55AA" w:rsidRPr="008B3312" w14:paraId="7CB231CB" w14:textId="77777777" w:rsidTr="00950116">
        <w:trPr>
          <w:trHeight w:val="1215"/>
        </w:trPr>
        <w:tc>
          <w:tcPr>
            <w:tcW w:w="1019" w:type="dxa"/>
            <w:hideMark/>
          </w:tcPr>
          <w:p w14:paraId="6F6C301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C0160</w:t>
            </w:r>
          </w:p>
        </w:tc>
        <w:tc>
          <w:tcPr>
            <w:tcW w:w="1716" w:type="dxa"/>
            <w:hideMark/>
          </w:tcPr>
          <w:p w14:paraId="247D1D59" w14:textId="77777777" w:rsidR="000A55AA" w:rsidRPr="008B3312" w:rsidRDefault="000A55AA">
            <w:pPr>
              <w:rPr>
                <w:rFonts w:ascii="Times New Roman" w:hAnsi="Times New Roman" w:cs="Times New Roman"/>
                <w:sz w:val="20"/>
                <w:szCs w:val="20"/>
              </w:rPr>
            </w:pPr>
            <w:r>
              <w:rPr>
                <w:rFonts w:ascii="Times New Roman" w:hAnsi="Times New Roman"/>
                <w:sz w:val="20"/>
              </w:rPr>
              <w:t>Chiffre d’affaires brut estimé de la prime du traité (proportionnel et non proportionnel)</w:t>
            </w:r>
          </w:p>
        </w:tc>
        <w:tc>
          <w:tcPr>
            <w:tcW w:w="6507" w:type="dxa"/>
            <w:hideMark/>
          </w:tcPr>
          <w:p w14:paraId="6EDBAE14" w14:textId="77777777" w:rsidR="000A55AA" w:rsidRPr="008B3312" w:rsidRDefault="000A55AA">
            <w:pPr>
              <w:rPr>
                <w:rFonts w:ascii="Times New Roman" w:hAnsi="Times New Roman" w:cs="Times New Roman"/>
                <w:sz w:val="20"/>
                <w:szCs w:val="20"/>
              </w:rPr>
            </w:pPr>
            <w:r>
              <w:rPr>
                <w:rFonts w:ascii="Times New Roman" w:hAnsi="Times New Roman"/>
                <w:sz w:val="20"/>
              </w:rPr>
              <w:t>Le montant de la prime pour 100 % du traité sur la durée du contrat. Ce montant équivaut à 100 % de la prime de réassurance à payer à tous les réassureurs sur la durée du traité, y compris la prime correspondant à des parts non placées.</w:t>
            </w:r>
          </w:p>
        </w:tc>
      </w:tr>
      <w:tr w:rsidR="000A55AA" w:rsidRPr="008B3312" w14:paraId="7C6B0F07" w14:textId="77777777" w:rsidTr="00950116">
        <w:trPr>
          <w:trHeight w:val="771"/>
        </w:trPr>
        <w:tc>
          <w:tcPr>
            <w:tcW w:w="1019" w:type="dxa"/>
            <w:hideMark/>
          </w:tcPr>
          <w:p w14:paraId="5B2D34C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C0170</w:t>
            </w:r>
          </w:p>
        </w:tc>
        <w:tc>
          <w:tcPr>
            <w:tcW w:w="1716" w:type="dxa"/>
            <w:hideMark/>
          </w:tcPr>
          <w:p w14:paraId="704D9B4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Franchise globale </w:t>
            </w:r>
          </w:p>
        </w:tc>
        <w:tc>
          <w:tcPr>
            <w:tcW w:w="6507" w:type="dxa"/>
            <w:hideMark/>
          </w:tcPr>
          <w:p w14:paraId="6C4A60A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montant de la franchise, autrement dit une rétention supplémentaire lorsque les pertes ne sont couvertes par le réassureur qu’à partir d’un certain montant de pertes cumulées. Cet élément n’est à déclarer</w:t>
            </w:r>
            <w:r w:rsidR="00E54DF8">
              <w:rPr>
                <w:rFonts w:ascii="Times New Roman" w:hAnsi="Times New Roman"/>
                <w:sz w:val="20"/>
              </w:rPr>
              <w:t>, lorsque cela est applicable,</w:t>
            </w:r>
            <w:r>
              <w:rPr>
                <w:rFonts w:ascii="Times New Roman" w:hAnsi="Times New Roman"/>
                <w:sz w:val="20"/>
              </w:rPr>
              <w:t xml:space="preserve"> que si l’élément C0180 n’est pas déclaré.</w:t>
            </w:r>
          </w:p>
        </w:tc>
      </w:tr>
      <w:tr w:rsidR="000A55AA" w:rsidRPr="008B3312" w14:paraId="3880729F" w14:textId="77777777" w:rsidTr="00950116">
        <w:trPr>
          <w:trHeight w:val="945"/>
        </w:trPr>
        <w:tc>
          <w:tcPr>
            <w:tcW w:w="1019" w:type="dxa"/>
            <w:hideMark/>
          </w:tcPr>
          <w:p w14:paraId="322C857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C0180</w:t>
            </w:r>
          </w:p>
        </w:tc>
        <w:tc>
          <w:tcPr>
            <w:tcW w:w="1716" w:type="dxa"/>
            <w:hideMark/>
          </w:tcPr>
          <w:p w14:paraId="71080A4D" w14:textId="77777777" w:rsidR="000A55AA" w:rsidRPr="008B3312" w:rsidRDefault="000A55AA">
            <w:pPr>
              <w:rPr>
                <w:rFonts w:ascii="Times New Roman" w:hAnsi="Times New Roman" w:cs="Times New Roman"/>
                <w:sz w:val="20"/>
                <w:szCs w:val="20"/>
              </w:rPr>
            </w:pPr>
            <w:r>
              <w:rPr>
                <w:rFonts w:ascii="Times New Roman" w:hAnsi="Times New Roman"/>
                <w:sz w:val="20"/>
              </w:rPr>
              <w:t>Franchise globale (%)</w:t>
            </w:r>
          </w:p>
        </w:tc>
        <w:tc>
          <w:tcPr>
            <w:tcW w:w="6507" w:type="dxa"/>
            <w:hideMark/>
          </w:tcPr>
          <w:p w14:paraId="5C802C6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pourcentage de la franchise, autrement dit un pourcentage de rétention supplémentaire lorsque les pertes ne sont couvertes par le réassureur qu’à partir d’un certain montant de pertes cumulées. Cet élément n’est à déclarer</w:t>
            </w:r>
            <w:r w:rsidR="00E54DF8">
              <w:rPr>
                <w:rFonts w:ascii="Times New Roman" w:hAnsi="Times New Roman"/>
                <w:sz w:val="20"/>
              </w:rPr>
              <w:t>, lorsque cela est applicable,</w:t>
            </w:r>
            <w:r>
              <w:rPr>
                <w:rFonts w:ascii="Times New Roman" w:hAnsi="Times New Roman"/>
                <w:sz w:val="20"/>
              </w:rPr>
              <w:t xml:space="preserve"> que si l’élément C0170 n’est pas déclaré.</w:t>
            </w:r>
          </w:p>
          <w:p w14:paraId="3C342BC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tc>
      </w:tr>
      <w:tr w:rsidR="000A55AA" w:rsidRPr="008B3312" w14:paraId="29A7AEEB" w14:textId="77777777" w:rsidTr="00950116">
        <w:trPr>
          <w:trHeight w:val="915"/>
        </w:trPr>
        <w:tc>
          <w:tcPr>
            <w:tcW w:w="1019" w:type="dxa"/>
            <w:hideMark/>
          </w:tcPr>
          <w:p w14:paraId="32BA04D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C0190</w:t>
            </w:r>
          </w:p>
        </w:tc>
        <w:tc>
          <w:tcPr>
            <w:tcW w:w="1716" w:type="dxa"/>
            <w:hideMark/>
          </w:tcPr>
          <w:p w14:paraId="2559A0F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Rétention ou priorité </w:t>
            </w:r>
          </w:p>
        </w:tc>
        <w:tc>
          <w:tcPr>
            <w:tcW w:w="6507" w:type="dxa"/>
            <w:hideMark/>
          </w:tcPr>
          <w:p w14:paraId="7A805E1E" w14:textId="3BCA2648" w:rsidR="000A55AA" w:rsidRPr="008B3312" w:rsidRDefault="000A55AA" w:rsidP="00E54DF8">
            <w:pPr>
              <w:rPr>
                <w:rFonts w:ascii="Times New Roman" w:hAnsi="Times New Roman" w:cs="Times New Roman"/>
                <w:sz w:val="20"/>
                <w:szCs w:val="20"/>
              </w:rPr>
            </w:pPr>
            <w:r>
              <w:rPr>
                <w:rFonts w:ascii="Times New Roman" w:hAnsi="Times New Roman"/>
                <w:sz w:val="20"/>
              </w:rPr>
              <w:t>Pour les traités en excédent de plein, en excédent de sinistres par risque et en excédent de sinistres catastrophe, le montant prévu dans le traité en tant que rétention ou en tant que priorité. Fournir des informations distinctes pour les différents</w:t>
            </w:r>
            <w:r w:rsidR="00A07329">
              <w:rPr>
                <w:rFonts w:ascii="Times New Roman" w:hAnsi="Times New Roman"/>
                <w:sz w:val="20"/>
              </w:rPr>
              <w:t xml:space="preserve"> risques</w:t>
            </w:r>
            <w:r>
              <w:rPr>
                <w:rFonts w:ascii="Times New Roman" w:hAnsi="Times New Roman"/>
                <w:sz w:val="20"/>
              </w:rPr>
              <w:t>.</w:t>
            </w:r>
          </w:p>
        </w:tc>
      </w:tr>
      <w:tr w:rsidR="000A55AA" w:rsidRPr="008B3312" w14:paraId="7613B180" w14:textId="77777777" w:rsidTr="00950116">
        <w:trPr>
          <w:trHeight w:val="885"/>
        </w:trPr>
        <w:tc>
          <w:tcPr>
            <w:tcW w:w="1019" w:type="dxa"/>
            <w:hideMark/>
          </w:tcPr>
          <w:p w14:paraId="20EE375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C0200</w:t>
            </w:r>
          </w:p>
        </w:tc>
        <w:tc>
          <w:tcPr>
            <w:tcW w:w="1716" w:type="dxa"/>
            <w:hideMark/>
          </w:tcPr>
          <w:p w14:paraId="6DCD4FB4" w14:textId="77777777" w:rsidR="000A55AA" w:rsidRPr="008B3312" w:rsidRDefault="000A55AA">
            <w:pPr>
              <w:rPr>
                <w:rFonts w:ascii="Times New Roman" w:hAnsi="Times New Roman" w:cs="Times New Roman"/>
                <w:sz w:val="20"/>
                <w:szCs w:val="20"/>
              </w:rPr>
            </w:pPr>
            <w:r>
              <w:rPr>
                <w:rFonts w:ascii="Times New Roman" w:hAnsi="Times New Roman"/>
                <w:sz w:val="20"/>
              </w:rPr>
              <w:t>Rétention ou priorité (%)</w:t>
            </w:r>
          </w:p>
        </w:tc>
        <w:tc>
          <w:tcPr>
            <w:tcW w:w="6507" w:type="dxa"/>
            <w:hideMark/>
          </w:tcPr>
          <w:p w14:paraId="7877A373" w14:textId="34E10C72" w:rsidR="000A55AA" w:rsidRPr="008B3312" w:rsidRDefault="000A55AA">
            <w:pPr>
              <w:rPr>
                <w:rFonts w:ascii="Times New Roman" w:hAnsi="Times New Roman" w:cs="Times New Roman"/>
                <w:sz w:val="20"/>
                <w:szCs w:val="20"/>
              </w:rPr>
            </w:pPr>
            <w:r>
              <w:rPr>
                <w:rFonts w:ascii="Times New Roman" w:hAnsi="Times New Roman"/>
                <w:sz w:val="20"/>
              </w:rPr>
              <w:t xml:space="preserve">Pour les traités en quote-part et en excédent de perte, le pourcentage prévu dans le traité en tant que rétention ou en tant que priorité. Fournir des informations distinctes pour les différents </w:t>
            </w:r>
            <w:r w:rsidR="00A07329">
              <w:rPr>
                <w:rFonts w:ascii="Times New Roman" w:hAnsi="Times New Roman"/>
                <w:sz w:val="20"/>
              </w:rPr>
              <w:t>risques</w:t>
            </w:r>
            <w:r>
              <w:rPr>
                <w:rFonts w:ascii="Times New Roman" w:hAnsi="Times New Roman"/>
                <w:sz w:val="20"/>
              </w:rPr>
              <w:t>.</w:t>
            </w:r>
          </w:p>
          <w:p w14:paraId="20C664BF" w14:textId="77777777" w:rsidR="000A55AA" w:rsidRPr="008B3312" w:rsidRDefault="000A55AA">
            <w:pPr>
              <w:rPr>
                <w:rFonts w:ascii="Times New Roman" w:hAnsi="Times New Roman" w:cs="Times New Roman"/>
                <w:sz w:val="20"/>
                <w:szCs w:val="20"/>
              </w:rPr>
            </w:pPr>
            <w:r>
              <w:rPr>
                <w:rFonts w:ascii="Times New Roman" w:hAnsi="Times New Roman"/>
                <w:sz w:val="20"/>
              </w:rPr>
              <w:t>À déclarer en valeur décimale.</w:t>
            </w:r>
          </w:p>
        </w:tc>
      </w:tr>
      <w:tr w:rsidR="000A55AA" w:rsidRPr="008B3312" w14:paraId="3A4D4235" w14:textId="77777777" w:rsidTr="00950116">
        <w:trPr>
          <w:trHeight w:val="570"/>
        </w:trPr>
        <w:tc>
          <w:tcPr>
            <w:tcW w:w="1019" w:type="dxa"/>
            <w:hideMark/>
          </w:tcPr>
          <w:p w14:paraId="6C8D6B9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C0210</w:t>
            </w:r>
          </w:p>
        </w:tc>
        <w:tc>
          <w:tcPr>
            <w:tcW w:w="1716" w:type="dxa"/>
            <w:hideMark/>
          </w:tcPr>
          <w:p w14:paraId="086575D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Limite </w:t>
            </w:r>
          </w:p>
        </w:tc>
        <w:tc>
          <w:tcPr>
            <w:tcW w:w="6507" w:type="dxa"/>
            <w:hideMark/>
          </w:tcPr>
          <w:p w14:paraId="3767A2C9" w14:textId="28329295" w:rsidR="000A55AA" w:rsidRPr="008B3312" w:rsidRDefault="000A55AA" w:rsidP="00950116">
            <w:pPr>
              <w:rPr>
                <w:rFonts w:ascii="Times New Roman" w:hAnsi="Times New Roman" w:cs="Times New Roman"/>
                <w:sz w:val="20"/>
                <w:szCs w:val="20"/>
              </w:rPr>
            </w:pPr>
            <w:r>
              <w:rPr>
                <w:rFonts w:ascii="Times New Roman" w:hAnsi="Times New Roman"/>
                <w:sz w:val="20"/>
              </w:rPr>
              <w:t>Le montant qui est indiqué comme limite dans le traité de réassurance. Fournir des informations distinctes pour les différen</w:t>
            </w:r>
            <w:r w:rsidR="00486118">
              <w:rPr>
                <w:rFonts w:ascii="Times New Roman" w:hAnsi="Times New Roman"/>
                <w:sz w:val="20"/>
              </w:rPr>
              <w:t>t</w:t>
            </w:r>
            <w:r>
              <w:rPr>
                <w:rFonts w:ascii="Times New Roman" w:hAnsi="Times New Roman"/>
                <w:sz w:val="20"/>
              </w:rPr>
              <w:t xml:space="preserve">s </w:t>
            </w:r>
            <w:r w:rsidR="00486118">
              <w:rPr>
                <w:rFonts w:ascii="Times New Roman" w:hAnsi="Times New Roman"/>
                <w:sz w:val="20"/>
              </w:rPr>
              <w:t xml:space="preserve">risques (au sens de la </w:t>
            </w:r>
            <w:r w:rsidR="00486118" w:rsidRPr="0013206F">
              <w:rPr>
                <w:rFonts w:ascii="Times New Roman" w:hAnsi="Times New Roman"/>
                <w:sz w:val="20"/>
              </w:rPr>
              <w:t>colonne C0071</w:t>
            </w:r>
            <w:r w:rsidR="00486118" w:rsidRPr="004F1DD8">
              <w:rPr>
                <w:rFonts w:ascii="Times New Roman" w:hAnsi="Times New Roman"/>
                <w:sz w:val="20"/>
              </w:rPr>
              <w:t>)</w:t>
            </w:r>
            <w:r w:rsidRPr="004F1DD8">
              <w:rPr>
                <w:rFonts w:ascii="Times New Roman" w:hAnsi="Times New Roman"/>
                <w:sz w:val="20"/>
              </w:rPr>
              <w:t>.</w:t>
            </w:r>
            <w:r>
              <w:rPr>
                <w:rFonts w:ascii="Times New Roman" w:hAnsi="Times New Roman"/>
                <w:sz w:val="20"/>
              </w:rPr>
              <w:t xml:space="preserve"> </w:t>
            </w:r>
          </w:p>
          <w:p w14:paraId="1DDCCA65" w14:textId="77777777" w:rsidR="000A55AA" w:rsidRPr="008B3312" w:rsidRDefault="000A55AA">
            <w:pPr>
              <w:rPr>
                <w:rFonts w:ascii="Times New Roman" w:hAnsi="Times New Roman" w:cs="Times New Roman"/>
                <w:sz w:val="20"/>
                <w:szCs w:val="20"/>
              </w:rPr>
            </w:pPr>
            <w:r>
              <w:rPr>
                <w:rFonts w:ascii="Times New Roman" w:hAnsi="Times New Roman"/>
                <w:sz w:val="20"/>
              </w:rPr>
              <w:t>Dans le cas d’une couverture illimitée, indiquer</w:t>
            </w:r>
            <w:proofErr w:type="gramStart"/>
            <w:r>
              <w:rPr>
                <w:rFonts w:ascii="Times New Roman" w:hAnsi="Times New Roman"/>
                <w:sz w:val="20"/>
              </w:rPr>
              <w:t xml:space="preserve"> «-</w:t>
            </w:r>
            <w:proofErr w:type="gramEnd"/>
            <w:r>
              <w:rPr>
                <w:rFonts w:ascii="Times New Roman" w:hAnsi="Times New Roman"/>
                <w:sz w:val="20"/>
              </w:rPr>
              <w:t>1».</w:t>
            </w:r>
          </w:p>
        </w:tc>
      </w:tr>
      <w:tr w:rsidR="000A55AA" w:rsidRPr="008B3312" w14:paraId="394F91A1" w14:textId="77777777" w:rsidTr="00950116">
        <w:trPr>
          <w:trHeight w:val="630"/>
        </w:trPr>
        <w:tc>
          <w:tcPr>
            <w:tcW w:w="1019" w:type="dxa"/>
            <w:hideMark/>
          </w:tcPr>
          <w:p w14:paraId="40F1C9F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C0220</w:t>
            </w:r>
          </w:p>
        </w:tc>
        <w:tc>
          <w:tcPr>
            <w:tcW w:w="1716" w:type="dxa"/>
            <w:hideMark/>
          </w:tcPr>
          <w:p w14:paraId="16DDD2FD" w14:textId="77777777" w:rsidR="000A55AA" w:rsidRPr="008B3312" w:rsidRDefault="000A55AA">
            <w:pPr>
              <w:rPr>
                <w:rFonts w:ascii="Times New Roman" w:hAnsi="Times New Roman" w:cs="Times New Roman"/>
                <w:sz w:val="20"/>
                <w:szCs w:val="20"/>
              </w:rPr>
            </w:pPr>
            <w:r>
              <w:rPr>
                <w:rFonts w:ascii="Times New Roman" w:hAnsi="Times New Roman"/>
                <w:sz w:val="20"/>
              </w:rPr>
              <w:t>Limite (%)</w:t>
            </w:r>
          </w:p>
        </w:tc>
        <w:tc>
          <w:tcPr>
            <w:tcW w:w="6507" w:type="dxa"/>
            <w:hideMark/>
          </w:tcPr>
          <w:p w14:paraId="56F3E79C" w14:textId="77777777" w:rsidR="00A07329" w:rsidRPr="008B3312" w:rsidRDefault="000A55AA" w:rsidP="00A07329">
            <w:pPr>
              <w:rPr>
                <w:rFonts w:ascii="Times New Roman" w:hAnsi="Times New Roman" w:cs="Times New Roman"/>
                <w:sz w:val="20"/>
                <w:szCs w:val="20"/>
              </w:rPr>
            </w:pPr>
            <w:r>
              <w:rPr>
                <w:rFonts w:ascii="Times New Roman" w:hAnsi="Times New Roman"/>
                <w:sz w:val="20"/>
              </w:rPr>
              <w:t xml:space="preserve">Pour les traités en excédent de perte, le pourcentage prévu dans le traité en tant que rétention ou en tant que priorité. Fournir des informations distinctes pour les </w:t>
            </w:r>
            <w:r w:rsidR="00A07329">
              <w:rPr>
                <w:rFonts w:ascii="Times New Roman" w:hAnsi="Times New Roman"/>
                <w:sz w:val="20"/>
              </w:rPr>
              <w:t>différents risques.</w:t>
            </w:r>
          </w:p>
          <w:p w14:paraId="6609323F" w14:textId="7F6BA1B3" w:rsidR="000A55AA" w:rsidRPr="008B3312" w:rsidRDefault="000A55AA">
            <w:pPr>
              <w:rPr>
                <w:rFonts w:ascii="Times New Roman" w:hAnsi="Times New Roman" w:cs="Times New Roman"/>
                <w:sz w:val="20"/>
                <w:szCs w:val="20"/>
              </w:rPr>
            </w:pPr>
          </w:p>
          <w:p w14:paraId="09D98E48" w14:textId="77777777" w:rsidR="000A55AA" w:rsidRPr="008B3312" w:rsidRDefault="000A55AA">
            <w:pPr>
              <w:rPr>
                <w:rFonts w:ascii="Times New Roman" w:hAnsi="Times New Roman" w:cs="Times New Roman"/>
                <w:sz w:val="20"/>
                <w:szCs w:val="20"/>
              </w:rPr>
            </w:pPr>
            <w:r>
              <w:rPr>
                <w:rFonts w:ascii="Times New Roman" w:hAnsi="Times New Roman"/>
                <w:sz w:val="20"/>
              </w:rPr>
              <w:t>Dans le cas d’une couverture illimitée, indiquer</w:t>
            </w:r>
            <w:proofErr w:type="gramStart"/>
            <w:r>
              <w:rPr>
                <w:rFonts w:ascii="Times New Roman" w:hAnsi="Times New Roman"/>
                <w:sz w:val="20"/>
              </w:rPr>
              <w:t xml:space="preserve"> «-</w:t>
            </w:r>
            <w:proofErr w:type="gramEnd"/>
            <w:r>
              <w:rPr>
                <w:rFonts w:ascii="Times New Roman" w:hAnsi="Times New Roman"/>
                <w:sz w:val="20"/>
              </w:rPr>
              <w:t>1».</w:t>
            </w:r>
          </w:p>
          <w:p w14:paraId="7A340924" w14:textId="77777777" w:rsidR="000A55AA" w:rsidRPr="008B3312" w:rsidRDefault="000A55AA">
            <w:pPr>
              <w:rPr>
                <w:rFonts w:ascii="Times New Roman" w:hAnsi="Times New Roman" w:cs="Times New Roman"/>
                <w:sz w:val="20"/>
                <w:szCs w:val="20"/>
              </w:rPr>
            </w:pPr>
            <w:r>
              <w:rPr>
                <w:rFonts w:ascii="Times New Roman" w:hAnsi="Times New Roman"/>
                <w:sz w:val="20"/>
              </w:rPr>
              <w:t>À déclarer en valeur décimale.</w:t>
            </w:r>
          </w:p>
        </w:tc>
      </w:tr>
      <w:tr w:rsidR="000A55AA" w:rsidRPr="008B3312" w14:paraId="73EF2C2D" w14:textId="77777777" w:rsidTr="00950116">
        <w:trPr>
          <w:trHeight w:val="915"/>
        </w:trPr>
        <w:tc>
          <w:tcPr>
            <w:tcW w:w="1019" w:type="dxa"/>
            <w:hideMark/>
          </w:tcPr>
          <w:p w14:paraId="3C92A88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C0230</w:t>
            </w:r>
          </w:p>
        </w:tc>
        <w:tc>
          <w:tcPr>
            <w:tcW w:w="1716" w:type="dxa"/>
            <w:hideMark/>
          </w:tcPr>
          <w:p w14:paraId="6158111E" w14:textId="77777777" w:rsidR="000A55AA" w:rsidRPr="008B3312" w:rsidRDefault="000A55AA">
            <w:pPr>
              <w:rPr>
                <w:rFonts w:ascii="Times New Roman" w:hAnsi="Times New Roman" w:cs="Times New Roman"/>
                <w:sz w:val="20"/>
                <w:szCs w:val="20"/>
              </w:rPr>
            </w:pPr>
            <w:r>
              <w:rPr>
                <w:rFonts w:ascii="Times New Roman" w:hAnsi="Times New Roman"/>
                <w:sz w:val="20"/>
              </w:rPr>
              <w:t>Couverture maximale par risque ou événement</w:t>
            </w:r>
          </w:p>
        </w:tc>
        <w:tc>
          <w:tcPr>
            <w:tcW w:w="6507" w:type="dxa"/>
            <w:hideMark/>
          </w:tcPr>
          <w:p w14:paraId="0A959015"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La couverture maximale par risque ou événement. Si, pour une quote-part ou un excédent de perte, un montant maximum a été convenu pour un événement (par exemple, tempête), déclarer 100 % du montant. Dans tous les autres cas, déclarer la limite moins la priorité. </w:t>
            </w:r>
          </w:p>
          <w:p w14:paraId="26C5237D" w14:textId="77777777" w:rsidR="000A55AA" w:rsidRPr="008B3312" w:rsidRDefault="000A55AA">
            <w:pPr>
              <w:rPr>
                <w:rFonts w:ascii="Times New Roman" w:hAnsi="Times New Roman" w:cs="Times New Roman"/>
                <w:sz w:val="20"/>
                <w:szCs w:val="20"/>
              </w:rPr>
            </w:pPr>
            <w:r>
              <w:rPr>
                <w:rFonts w:ascii="Times New Roman" w:hAnsi="Times New Roman"/>
                <w:sz w:val="20"/>
              </w:rPr>
              <w:t>Dans le cas d’une couverture illimitée, indiquer</w:t>
            </w:r>
            <w:proofErr w:type="gramStart"/>
            <w:r>
              <w:rPr>
                <w:rFonts w:ascii="Times New Roman" w:hAnsi="Times New Roman"/>
                <w:sz w:val="20"/>
              </w:rPr>
              <w:t xml:space="preserve"> «-</w:t>
            </w:r>
            <w:proofErr w:type="gramEnd"/>
            <w:r>
              <w:rPr>
                <w:rFonts w:ascii="Times New Roman" w:hAnsi="Times New Roman"/>
                <w:sz w:val="20"/>
              </w:rPr>
              <w:t>1».</w:t>
            </w:r>
          </w:p>
        </w:tc>
      </w:tr>
      <w:tr w:rsidR="000A55AA" w:rsidRPr="008B3312" w14:paraId="7E0410CC" w14:textId="77777777" w:rsidTr="00950116">
        <w:trPr>
          <w:trHeight w:val="1215"/>
        </w:trPr>
        <w:tc>
          <w:tcPr>
            <w:tcW w:w="1019" w:type="dxa"/>
            <w:hideMark/>
          </w:tcPr>
          <w:p w14:paraId="397EBC4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C0240</w:t>
            </w:r>
          </w:p>
        </w:tc>
        <w:tc>
          <w:tcPr>
            <w:tcW w:w="1716" w:type="dxa"/>
            <w:hideMark/>
          </w:tcPr>
          <w:p w14:paraId="4E09A212" w14:textId="77777777" w:rsidR="000A55AA" w:rsidRPr="008B3312" w:rsidRDefault="000A55AA">
            <w:pPr>
              <w:rPr>
                <w:rFonts w:ascii="Times New Roman" w:hAnsi="Times New Roman" w:cs="Times New Roman"/>
                <w:sz w:val="20"/>
                <w:szCs w:val="20"/>
              </w:rPr>
            </w:pPr>
            <w:r>
              <w:rPr>
                <w:rFonts w:ascii="Times New Roman" w:hAnsi="Times New Roman"/>
                <w:sz w:val="20"/>
              </w:rPr>
              <w:t>Couverture maximale par traité</w:t>
            </w:r>
          </w:p>
        </w:tc>
        <w:tc>
          <w:tcPr>
            <w:tcW w:w="6507" w:type="dxa"/>
            <w:hideMark/>
          </w:tcPr>
          <w:p w14:paraId="629B61C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La couverture maximale par traité. Si, pour une quote-part ou un excédent de perte, un montant maximum a été convenu pour l’ensemble du contrat, déclarer 100 % du montant. Dans le cas d’une couverture illimitée, indiquer</w:t>
            </w:r>
            <w:proofErr w:type="gramStart"/>
            <w:r>
              <w:rPr>
                <w:rFonts w:ascii="Times New Roman" w:hAnsi="Times New Roman"/>
                <w:sz w:val="20"/>
              </w:rPr>
              <w:t xml:space="preserve"> «-</w:t>
            </w:r>
            <w:proofErr w:type="gramEnd"/>
            <w:r>
              <w:rPr>
                <w:rFonts w:ascii="Times New Roman" w:hAnsi="Times New Roman"/>
                <w:sz w:val="20"/>
              </w:rPr>
              <w:t>1». Pour les traités en excédent de plein ou en excédent de perte, indiquer la capacité initiale (par exemple les limites annuelles globales</w:t>
            </w:r>
            <w:proofErr w:type="gramStart"/>
            <w:r>
              <w:rPr>
                <w:rFonts w:ascii="Times New Roman" w:hAnsi="Times New Roman"/>
                <w:sz w:val="20"/>
              </w:rPr>
              <w:t>);</w:t>
            </w:r>
            <w:proofErr w:type="gramEnd"/>
            <w:r>
              <w:rPr>
                <w:rFonts w:ascii="Times New Roman" w:hAnsi="Times New Roman"/>
                <w:sz w:val="20"/>
              </w:rPr>
              <w:t xml:space="preserve"> la couverture totale peut également résulter des informations fournies en C0250.</w:t>
            </w:r>
          </w:p>
        </w:tc>
      </w:tr>
      <w:tr w:rsidR="000A55AA" w:rsidRPr="008B3312" w14:paraId="3CFBE762" w14:textId="77777777" w:rsidTr="00950116">
        <w:trPr>
          <w:trHeight w:val="509"/>
        </w:trPr>
        <w:tc>
          <w:tcPr>
            <w:tcW w:w="1019" w:type="dxa"/>
            <w:vMerge w:val="restart"/>
            <w:hideMark/>
          </w:tcPr>
          <w:p w14:paraId="7D0550B3" w14:textId="77777777" w:rsidR="000A55AA" w:rsidRPr="0044177B" w:rsidRDefault="000A55AA" w:rsidP="00950116">
            <w:pPr>
              <w:rPr>
                <w:rFonts w:ascii="Times New Roman" w:hAnsi="Times New Roman" w:cs="Times New Roman"/>
                <w:sz w:val="20"/>
                <w:szCs w:val="20"/>
              </w:rPr>
            </w:pPr>
            <w:r w:rsidRPr="004F1DD8">
              <w:rPr>
                <w:rFonts w:ascii="Times New Roman" w:hAnsi="Times New Roman"/>
                <w:sz w:val="20"/>
              </w:rPr>
              <w:t>C0250</w:t>
            </w:r>
          </w:p>
        </w:tc>
        <w:tc>
          <w:tcPr>
            <w:tcW w:w="1716" w:type="dxa"/>
            <w:vMerge w:val="restart"/>
            <w:hideMark/>
          </w:tcPr>
          <w:p w14:paraId="4FF5E720" w14:textId="77777777" w:rsidR="000A55AA" w:rsidRPr="004F1DD8" w:rsidRDefault="000A55AA" w:rsidP="00950116">
            <w:pPr>
              <w:rPr>
                <w:rFonts w:ascii="Times New Roman" w:hAnsi="Times New Roman" w:cs="Times New Roman"/>
                <w:sz w:val="20"/>
                <w:szCs w:val="20"/>
              </w:rPr>
            </w:pPr>
            <w:bookmarkStart w:id="3" w:name="OLE_LINK36"/>
            <w:r w:rsidRPr="0044177B">
              <w:rPr>
                <w:rFonts w:ascii="Times New Roman" w:hAnsi="Times New Roman"/>
                <w:sz w:val="20"/>
              </w:rPr>
              <w:t>Nombre de reconstitutions</w:t>
            </w:r>
            <w:bookmarkEnd w:id="3"/>
          </w:p>
        </w:tc>
        <w:tc>
          <w:tcPr>
            <w:tcW w:w="6507" w:type="dxa"/>
            <w:vMerge w:val="restart"/>
            <w:hideMark/>
          </w:tcPr>
          <w:p w14:paraId="27B09975" w14:textId="77777777" w:rsidR="000A55AA" w:rsidRPr="004F1DD8" w:rsidRDefault="000A55AA" w:rsidP="00950116">
            <w:pPr>
              <w:rPr>
                <w:rFonts w:ascii="Times New Roman" w:hAnsi="Times New Roman" w:cs="Times New Roman"/>
                <w:sz w:val="20"/>
                <w:szCs w:val="20"/>
              </w:rPr>
            </w:pPr>
            <w:r w:rsidRPr="004F1DD8">
              <w:rPr>
                <w:rFonts w:ascii="Times New Roman" w:hAnsi="Times New Roman"/>
                <w:sz w:val="20"/>
              </w:rPr>
              <w:t xml:space="preserve">Le nombre de possibilités de reconstituer la couverture de réassurance. </w:t>
            </w:r>
          </w:p>
        </w:tc>
      </w:tr>
      <w:tr w:rsidR="000A55AA" w:rsidRPr="008B3312" w14:paraId="1DBA73F3" w14:textId="77777777" w:rsidTr="00950116">
        <w:trPr>
          <w:trHeight w:val="509"/>
        </w:trPr>
        <w:tc>
          <w:tcPr>
            <w:tcW w:w="1019" w:type="dxa"/>
            <w:vMerge/>
            <w:hideMark/>
          </w:tcPr>
          <w:p w14:paraId="26E87830" w14:textId="77777777" w:rsidR="000A55AA" w:rsidRPr="008B3312" w:rsidRDefault="000A55AA">
            <w:pPr>
              <w:rPr>
                <w:rFonts w:ascii="Times New Roman" w:hAnsi="Times New Roman" w:cs="Times New Roman"/>
                <w:sz w:val="20"/>
                <w:szCs w:val="20"/>
              </w:rPr>
            </w:pPr>
          </w:p>
        </w:tc>
        <w:tc>
          <w:tcPr>
            <w:tcW w:w="1716" w:type="dxa"/>
            <w:vMerge/>
            <w:hideMark/>
          </w:tcPr>
          <w:p w14:paraId="3F579E42" w14:textId="77777777" w:rsidR="000A55AA" w:rsidRPr="008B3312" w:rsidRDefault="000A55AA">
            <w:pPr>
              <w:rPr>
                <w:rFonts w:ascii="Times New Roman" w:hAnsi="Times New Roman" w:cs="Times New Roman"/>
                <w:sz w:val="20"/>
                <w:szCs w:val="20"/>
              </w:rPr>
            </w:pPr>
          </w:p>
        </w:tc>
        <w:tc>
          <w:tcPr>
            <w:tcW w:w="6507" w:type="dxa"/>
            <w:vMerge/>
            <w:hideMark/>
          </w:tcPr>
          <w:p w14:paraId="1F5F1522" w14:textId="77777777" w:rsidR="000A55AA" w:rsidRPr="008B3312" w:rsidRDefault="000A55AA">
            <w:pPr>
              <w:rPr>
                <w:rFonts w:ascii="Times New Roman" w:hAnsi="Times New Roman" w:cs="Times New Roman"/>
                <w:sz w:val="20"/>
                <w:szCs w:val="20"/>
              </w:rPr>
            </w:pPr>
          </w:p>
        </w:tc>
      </w:tr>
      <w:tr w:rsidR="000A55AA" w:rsidRPr="008B3312" w14:paraId="41805FD5" w14:textId="77777777" w:rsidTr="0044578D">
        <w:trPr>
          <w:trHeight w:val="509"/>
        </w:trPr>
        <w:tc>
          <w:tcPr>
            <w:tcW w:w="1019" w:type="dxa"/>
            <w:vMerge/>
            <w:hideMark/>
          </w:tcPr>
          <w:p w14:paraId="14FEE668" w14:textId="77777777" w:rsidR="000A55AA" w:rsidRPr="008B3312" w:rsidRDefault="000A55AA">
            <w:pPr>
              <w:rPr>
                <w:rFonts w:ascii="Times New Roman" w:hAnsi="Times New Roman" w:cs="Times New Roman"/>
                <w:sz w:val="20"/>
                <w:szCs w:val="20"/>
              </w:rPr>
            </w:pPr>
          </w:p>
        </w:tc>
        <w:tc>
          <w:tcPr>
            <w:tcW w:w="1716" w:type="dxa"/>
            <w:vMerge/>
            <w:hideMark/>
          </w:tcPr>
          <w:p w14:paraId="11D9CEF1" w14:textId="77777777" w:rsidR="000A55AA" w:rsidRPr="008B3312" w:rsidRDefault="000A55AA">
            <w:pPr>
              <w:rPr>
                <w:rFonts w:ascii="Times New Roman" w:hAnsi="Times New Roman" w:cs="Times New Roman"/>
                <w:sz w:val="20"/>
                <w:szCs w:val="20"/>
              </w:rPr>
            </w:pPr>
          </w:p>
        </w:tc>
        <w:tc>
          <w:tcPr>
            <w:tcW w:w="6507" w:type="dxa"/>
            <w:vMerge/>
            <w:hideMark/>
          </w:tcPr>
          <w:p w14:paraId="6BE4BF00" w14:textId="77777777" w:rsidR="000A55AA" w:rsidRPr="008B3312" w:rsidRDefault="000A55AA">
            <w:pPr>
              <w:rPr>
                <w:rFonts w:ascii="Times New Roman" w:hAnsi="Times New Roman" w:cs="Times New Roman"/>
                <w:sz w:val="20"/>
                <w:szCs w:val="20"/>
              </w:rPr>
            </w:pPr>
          </w:p>
        </w:tc>
      </w:tr>
      <w:tr w:rsidR="000A55AA" w:rsidRPr="008B3312" w14:paraId="7EE7BCB1" w14:textId="77777777" w:rsidTr="00950116">
        <w:trPr>
          <w:trHeight w:val="671"/>
        </w:trPr>
        <w:tc>
          <w:tcPr>
            <w:tcW w:w="1019" w:type="dxa"/>
          </w:tcPr>
          <w:p w14:paraId="74E93987" w14:textId="77777777" w:rsidR="000A55AA" w:rsidRPr="008B3312" w:rsidRDefault="000A55AA">
            <w:pPr>
              <w:rPr>
                <w:rFonts w:ascii="Times New Roman" w:hAnsi="Times New Roman" w:cs="Times New Roman"/>
                <w:sz w:val="20"/>
                <w:szCs w:val="20"/>
              </w:rPr>
            </w:pPr>
            <w:r>
              <w:rPr>
                <w:rFonts w:ascii="Times New Roman" w:hAnsi="Times New Roman"/>
                <w:sz w:val="20"/>
              </w:rPr>
              <w:t>C0260</w:t>
            </w:r>
          </w:p>
        </w:tc>
        <w:tc>
          <w:tcPr>
            <w:tcW w:w="1716" w:type="dxa"/>
            <w:tcBorders>
              <w:bottom w:val="single" w:sz="4" w:space="0" w:color="auto"/>
            </w:tcBorders>
          </w:tcPr>
          <w:p w14:paraId="3250F75D" w14:textId="77777777" w:rsidR="000A55AA" w:rsidRPr="008B3312" w:rsidRDefault="000A55AA">
            <w:pPr>
              <w:rPr>
                <w:rFonts w:ascii="Times New Roman" w:hAnsi="Times New Roman" w:cs="Times New Roman"/>
                <w:sz w:val="20"/>
                <w:szCs w:val="20"/>
              </w:rPr>
            </w:pPr>
            <w:bookmarkStart w:id="4" w:name="OLE_LINK37"/>
            <w:bookmarkStart w:id="5" w:name="OLE_LINK38"/>
            <w:r>
              <w:rPr>
                <w:rFonts w:ascii="Times New Roman" w:hAnsi="Times New Roman"/>
                <w:sz w:val="20"/>
              </w:rPr>
              <w:t>Description des reconstitutions</w:t>
            </w:r>
            <w:bookmarkEnd w:id="4"/>
            <w:bookmarkEnd w:id="5"/>
          </w:p>
        </w:tc>
        <w:tc>
          <w:tcPr>
            <w:tcW w:w="6507" w:type="dxa"/>
          </w:tcPr>
          <w:p w14:paraId="672E866C" w14:textId="77777777" w:rsidR="000A55AA" w:rsidRPr="008B3312" w:rsidRDefault="000A55AA" w:rsidP="00950116">
            <w:pPr>
              <w:rPr>
                <w:rFonts w:ascii="Times New Roman" w:hAnsi="Times New Roman" w:cs="Times New Roman"/>
                <w:sz w:val="20"/>
                <w:szCs w:val="20"/>
              </w:rPr>
            </w:pPr>
            <w:bookmarkStart w:id="6" w:name="OLE_LINK39"/>
            <w:r>
              <w:rPr>
                <w:rFonts w:ascii="Times New Roman" w:hAnsi="Times New Roman"/>
                <w:sz w:val="20"/>
              </w:rPr>
              <w:t>La description des reconstitutions permettant de rétablir la couverture de réassurance. Cet élément pourra par exemple contenir des informations telles que «2 à 100 % plus 1 à 150 </w:t>
            </w:r>
            <w:proofErr w:type="gramStart"/>
            <w:r>
              <w:rPr>
                <w:rFonts w:ascii="Times New Roman" w:hAnsi="Times New Roman"/>
                <w:sz w:val="20"/>
              </w:rPr>
              <w:t>%»</w:t>
            </w:r>
            <w:proofErr w:type="gramEnd"/>
            <w:r>
              <w:rPr>
                <w:rFonts w:ascii="Times New Roman" w:hAnsi="Times New Roman"/>
                <w:sz w:val="20"/>
              </w:rPr>
              <w:t xml:space="preserve"> ou «Toutes gratuites</w:t>
            </w:r>
            <w:bookmarkEnd w:id="6"/>
            <w:r>
              <w:rPr>
                <w:rFonts w:ascii="Times New Roman" w:hAnsi="Times New Roman"/>
                <w:sz w:val="20"/>
              </w:rPr>
              <w:t>».</w:t>
            </w:r>
          </w:p>
        </w:tc>
      </w:tr>
      <w:tr w:rsidR="000A55AA" w:rsidRPr="008B3312" w14:paraId="2BC77C0E" w14:textId="77777777" w:rsidTr="00950116">
        <w:trPr>
          <w:trHeight w:val="980"/>
        </w:trPr>
        <w:tc>
          <w:tcPr>
            <w:tcW w:w="1019" w:type="dxa"/>
            <w:hideMark/>
          </w:tcPr>
          <w:p w14:paraId="1B3EBBE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C0270</w:t>
            </w:r>
          </w:p>
        </w:tc>
        <w:tc>
          <w:tcPr>
            <w:tcW w:w="1716" w:type="dxa"/>
            <w:tcBorders>
              <w:bottom w:val="single" w:sz="4" w:space="0" w:color="auto"/>
            </w:tcBorders>
            <w:hideMark/>
          </w:tcPr>
          <w:p w14:paraId="50BA57A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Commission de réassurance maximale </w:t>
            </w:r>
          </w:p>
        </w:tc>
        <w:tc>
          <w:tcPr>
            <w:tcW w:w="6507" w:type="dxa"/>
            <w:hideMark/>
          </w:tcPr>
          <w:p w14:paraId="17C2060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Le pourcentage maximal de la commission. S’il est fixe, les éléments C0270, C0280 et C0290 sont identiques. </w:t>
            </w:r>
          </w:p>
          <w:p w14:paraId="096EECC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7F7E4FC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51F0F118" w14:textId="77777777" w:rsidTr="00950116">
        <w:trPr>
          <w:trHeight w:val="832"/>
        </w:trPr>
        <w:tc>
          <w:tcPr>
            <w:tcW w:w="1019" w:type="dxa"/>
            <w:tcBorders>
              <w:bottom w:val="single" w:sz="4" w:space="0" w:color="auto"/>
            </w:tcBorders>
          </w:tcPr>
          <w:p w14:paraId="1EEEFB2E" w14:textId="77777777" w:rsidR="000A55AA" w:rsidRPr="008B3312" w:rsidRDefault="000A55AA">
            <w:pPr>
              <w:rPr>
                <w:rFonts w:ascii="Times New Roman" w:hAnsi="Times New Roman" w:cs="Times New Roman"/>
                <w:sz w:val="20"/>
                <w:szCs w:val="20"/>
              </w:rPr>
            </w:pPr>
            <w:r>
              <w:rPr>
                <w:rFonts w:ascii="Times New Roman" w:hAnsi="Times New Roman"/>
                <w:sz w:val="20"/>
              </w:rPr>
              <w:t>C0280</w:t>
            </w:r>
          </w:p>
        </w:tc>
        <w:tc>
          <w:tcPr>
            <w:tcW w:w="1716" w:type="dxa"/>
            <w:tcBorders>
              <w:bottom w:val="single" w:sz="4" w:space="0" w:color="auto"/>
            </w:tcBorders>
          </w:tcPr>
          <w:p w14:paraId="5126E23C" w14:textId="77777777" w:rsidR="000A55AA" w:rsidRPr="008B3312" w:rsidRDefault="000A55AA">
            <w:pPr>
              <w:rPr>
                <w:rFonts w:ascii="Times New Roman" w:hAnsi="Times New Roman" w:cs="Times New Roman"/>
                <w:sz w:val="20"/>
                <w:szCs w:val="20"/>
              </w:rPr>
            </w:pPr>
            <w:r>
              <w:rPr>
                <w:rFonts w:ascii="Times New Roman" w:hAnsi="Times New Roman"/>
                <w:sz w:val="20"/>
              </w:rPr>
              <w:t>Commission de réassurance minimale</w:t>
            </w:r>
          </w:p>
        </w:tc>
        <w:tc>
          <w:tcPr>
            <w:tcW w:w="6507" w:type="dxa"/>
            <w:tcBorders>
              <w:bottom w:val="single" w:sz="4" w:space="0" w:color="auto"/>
            </w:tcBorders>
          </w:tcPr>
          <w:p w14:paraId="5BC1FF6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Le pourcentage minimal de la commission. S’il est fixe, les éléments C0270, C0280 et C0290 sont identiques. </w:t>
            </w:r>
          </w:p>
          <w:p w14:paraId="3C70B41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4AB9B8B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508610BE" w14:textId="77777777" w:rsidTr="00950116">
        <w:trPr>
          <w:trHeight w:val="844"/>
        </w:trPr>
        <w:tc>
          <w:tcPr>
            <w:tcW w:w="1019" w:type="dxa"/>
            <w:tcBorders>
              <w:bottom w:val="single" w:sz="4" w:space="0" w:color="auto"/>
            </w:tcBorders>
          </w:tcPr>
          <w:p w14:paraId="235DF5AB" w14:textId="77777777" w:rsidR="000A55AA" w:rsidRPr="008B3312" w:rsidRDefault="000A55AA">
            <w:pPr>
              <w:rPr>
                <w:rFonts w:ascii="Times New Roman" w:hAnsi="Times New Roman" w:cs="Times New Roman"/>
                <w:sz w:val="20"/>
                <w:szCs w:val="20"/>
              </w:rPr>
            </w:pPr>
            <w:r>
              <w:rPr>
                <w:rFonts w:ascii="Times New Roman" w:hAnsi="Times New Roman"/>
                <w:sz w:val="20"/>
              </w:rPr>
              <w:t>C0290</w:t>
            </w:r>
          </w:p>
        </w:tc>
        <w:tc>
          <w:tcPr>
            <w:tcW w:w="1716" w:type="dxa"/>
            <w:tcBorders>
              <w:bottom w:val="single" w:sz="4" w:space="0" w:color="auto"/>
            </w:tcBorders>
          </w:tcPr>
          <w:p w14:paraId="66A673B1" w14:textId="77777777" w:rsidR="000A55AA" w:rsidRPr="008B3312" w:rsidRDefault="000A55AA">
            <w:pPr>
              <w:rPr>
                <w:rFonts w:ascii="Times New Roman" w:hAnsi="Times New Roman" w:cs="Times New Roman"/>
                <w:sz w:val="20"/>
                <w:szCs w:val="20"/>
              </w:rPr>
            </w:pPr>
            <w:r>
              <w:rPr>
                <w:rFonts w:ascii="Times New Roman" w:hAnsi="Times New Roman"/>
                <w:sz w:val="20"/>
              </w:rPr>
              <w:t>Commission de réassurance attendue</w:t>
            </w:r>
          </w:p>
        </w:tc>
        <w:tc>
          <w:tcPr>
            <w:tcW w:w="6507" w:type="dxa"/>
            <w:tcBorders>
              <w:bottom w:val="single" w:sz="4" w:space="0" w:color="auto"/>
            </w:tcBorders>
          </w:tcPr>
          <w:p w14:paraId="1AB12D9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Le pourcentage de commission attendu. S’il est fixe, les éléments C0270, C0280 et C0290 sont identiques. </w:t>
            </w:r>
          </w:p>
          <w:p w14:paraId="1A2E96A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08556EB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7F3E8223" w14:textId="77777777" w:rsidTr="00950116">
        <w:trPr>
          <w:trHeight w:val="848"/>
        </w:trPr>
        <w:tc>
          <w:tcPr>
            <w:tcW w:w="1019" w:type="dxa"/>
            <w:tcBorders>
              <w:bottom w:val="single" w:sz="4" w:space="0" w:color="auto"/>
            </w:tcBorders>
            <w:hideMark/>
          </w:tcPr>
          <w:p w14:paraId="423D18D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C0300</w:t>
            </w:r>
          </w:p>
        </w:tc>
        <w:tc>
          <w:tcPr>
            <w:tcW w:w="1716" w:type="dxa"/>
            <w:tcBorders>
              <w:bottom w:val="single" w:sz="4" w:space="0" w:color="auto"/>
            </w:tcBorders>
            <w:hideMark/>
          </w:tcPr>
          <w:p w14:paraId="3CEE1B4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Commission maximale pour rétrocession </w:t>
            </w:r>
          </w:p>
        </w:tc>
        <w:tc>
          <w:tcPr>
            <w:tcW w:w="6507" w:type="dxa"/>
            <w:tcBorders>
              <w:bottom w:val="single" w:sz="4" w:space="0" w:color="auto"/>
            </w:tcBorders>
            <w:hideMark/>
          </w:tcPr>
          <w:p w14:paraId="1599A80C" w14:textId="77777777" w:rsidR="000A55AA" w:rsidRPr="008B3312" w:rsidRDefault="000A55AA">
            <w:pPr>
              <w:rPr>
                <w:rFonts w:ascii="Times New Roman" w:hAnsi="Times New Roman" w:cs="Times New Roman"/>
                <w:sz w:val="20"/>
                <w:szCs w:val="20"/>
              </w:rPr>
            </w:pPr>
            <w:r>
              <w:rPr>
                <w:rFonts w:ascii="Times New Roman" w:hAnsi="Times New Roman"/>
                <w:sz w:val="20"/>
              </w:rPr>
              <w:t>Le pourcentage maximal de la commission pour rétrocession. S’il est fixe, les éléments C0300, C0310 et C0320 sont identiques.</w:t>
            </w:r>
          </w:p>
          <w:p w14:paraId="42D096B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5733F4A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000A3B27" w14:textId="77777777" w:rsidTr="00950116">
        <w:trPr>
          <w:trHeight w:val="838"/>
        </w:trPr>
        <w:tc>
          <w:tcPr>
            <w:tcW w:w="1019" w:type="dxa"/>
            <w:tcBorders>
              <w:bottom w:val="single" w:sz="4" w:space="0" w:color="auto"/>
            </w:tcBorders>
          </w:tcPr>
          <w:p w14:paraId="1C136B22" w14:textId="77777777" w:rsidR="000A55AA" w:rsidRPr="008B3312" w:rsidRDefault="000A55AA">
            <w:pPr>
              <w:rPr>
                <w:rFonts w:ascii="Times New Roman" w:hAnsi="Times New Roman" w:cs="Times New Roman"/>
                <w:sz w:val="20"/>
                <w:szCs w:val="20"/>
              </w:rPr>
            </w:pPr>
            <w:r>
              <w:rPr>
                <w:rFonts w:ascii="Times New Roman" w:hAnsi="Times New Roman"/>
                <w:sz w:val="20"/>
              </w:rPr>
              <w:t>C0310</w:t>
            </w:r>
          </w:p>
        </w:tc>
        <w:tc>
          <w:tcPr>
            <w:tcW w:w="1716" w:type="dxa"/>
            <w:tcBorders>
              <w:bottom w:val="single" w:sz="4" w:space="0" w:color="auto"/>
            </w:tcBorders>
          </w:tcPr>
          <w:p w14:paraId="3001B8EA" w14:textId="77777777" w:rsidR="000A55AA" w:rsidRPr="008B3312" w:rsidRDefault="000A55AA">
            <w:pPr>
              <w:rPr>
                <w:rFonts w:ascii="Times New Roman" w:hAnsi="Times New Roman" w:cs="Times New Roman"/>
                <w:sz w:val="20"/>
                <w:szCs w:val="20"/>
              </w:rPr>
            </w:pPr>
            <w:r>
              <w:rPr>
                <w:rFonts w:ascii="Times New Roman" w:hAnsi="Times New Roman"/>
                <w:sz w:val="20"/>
              </w:rPr>
              <w:t>Commission minimale pour rétrocession</w:t>
            </w:r>
          </w:p>
        </w:tc>
        <w:tc>
          <w:tcPr>
            <w:tcW w:w="6507" w:type="dxa"/>
            <w:tcBorders>
              <w:bottom w:val="single" w:sz="4" w:space="0" w:color="auto"/>
            </w:tcBorders>
          </w:tcPr>
          <w:p w14:paraId="4D1FC06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pourcentage minimal de la commission pour rétrocession. S’il est fixe, les éléments C0300, C0310 et C0320 sont identiques.</w:t>
            </w:r>
          </w:p>
          <w:p w14:paraId="5623F4C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3C7217D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3E4FF9D9" w14:textId="77777777" w:rsidTr="00950116">
        <w:trPr>
          <w:trHeight w:val="818"/>
        </w:trPr>
        <w:tc>
          <w:tcPr>
            <w:tcW w:w="1019" w:type="dxa"/>
            <w:tcBorders>
              <w:bottom w:val="single" w:sz="4" w:space="0" w:color="auto"/>
            </w:tcBorders>
          </w:tcPr>
          <w:p w14:paraId="238BEDAF" w14:textId="77777777" w:rsidR="000A55AA" w:rsidRPr="008B3312" w:rsidRDefault="000A55AA">
            <w:pPr>
              <w:rPr>
                <w:rFonts w:ascii="Times New Roman" w:hAnsi="Times New Roman" w:cs="Times New Roman"/>
                <w:sz w:val="20"/>
                <w:szCs w:val="20"/>
              </w:rPr>
            </w:pPr>
            <w:r>
              <w:rPr>
                <w:rFonts w:ascii="Times New Roman" w:hAnsi="Times New Roman"/>
                <w:sz w:val="20"/>
              </w:rPr>
              <w:t>C0320</w:t>
            </w:r>
          </w:p>
        </w:tc>
        <w:tc>
          <w:tcPr>
            <w:tcW w:w="1716" w:type="dxa"/>
            <w:tcBorders>
              <w:bottom w:val="single" w:sz="4" w:space="0" w:color="auto"/>
            </w:tcBorders>
          </w:tcPr>
          <w:p w14:paraId="4A2A13FD" w14:textId="77777777" w:rsidR="000A55AA" w:rsidRPr="008B3312" w:rsidRDefault="000A55AA">
            <w:pPr>
              <w:rPr>
                <w:rFonts w:ascii="Times New Roman" w:hAnsi="Times New Roman" w:cs="Times New Roman"/>
                <w:sz w:val="20"/>
                <w:szCs w:val="20"/>
              </w:rPr>
            </w:pPr>
            <w:r>
              <w:rPr>
                <w:rFonts w:ascii="Times New Roman" w:hAnsi="Times New Roman"/>
                <w:sz w:val="20"/>
              </w:rPr>
              <w:t>Commission pour rétrocession attendue</w:t>
            </w:r>
          </w:p>
        </w:tc>
        <w:tc>
          <w:tcPr>
            <w:tcW w:w="6507" w:type="dxa"/>
            <w:tcBorders>
              <w:bottom w:val="single" w:sz="4" w:space="0" w:color="auto"/>
            </w:tcBorders>
          </w:tcPr>
          <w:p w14:paraId="4B4DA7F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pourcentage de la commission pour rétrocession attendu. S’il est fixe, les éléments C0300, C0310 et C0320 sont identiques.</w:t>
            </w:r>
          </w:p>
          <w:p w14:paraId="7D31FE3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01F20FA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6910D701" w14:textId="77777777" w:rsidTr="00950116">
        <w:trPr>
          <w:trHeight w:val="841"/>
        </w:trPr>
        <w:tc>
          <w:tcPr>
            <w:tcW w:w="1019" w:type="dxa"/>
            <w:tcBorders>
              <w:bottom w:val="single" w:sz="4" w:space="0" w:color="auto"/>
            </w:tcBorders>
            <w:hideMark/>
          </w:tcPr>
          <w:p w14:paraId="1D30D4C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C0330</w:t>
            </w:r>
          </w:p>
        </w:tc>
        <w:tc>
          <w:tcPr>
            <w:tcW w:w="1716" w:type="dxa"/>
            <w:tcBorders>
              <w:bottom w:val="single" w:sz="4" w:space="0" w:color="auto"/>
            </w:tcBorders>
            <w:hideMark/>
          </w:tcPr>
          <w:p w14:paraId="7560743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Commission maximale pour participations aux bénéfices </w:t>
            </w:r>
          </w:p>
        </w:tc>
        <w:tc>
          <w:tcPr>
            <w:tcW w:w="6507" w:type="dxa"/>
            <w:tcBorders>
              <w:bottom w:val="single" w:sz="4" w:space="0" w:color="auto"/>
            </w:tcBorders>
            <w:hideMark/>
          </w:tcPr>
          <w:p w14:paraId="10576795" w14:textId="77777777" w:rsidR="000A55AA" w:rsidRPr="008B3312" w:rsidRDefault="000A55AA">
            <w:pPr>
              <w:rPr>
                <w:rFonts w:ascii="Times New Roman" w:hAnsi="Times New Roman" w:cs="Times New Roman"/>
                <w:sz w:val="20"/>
                <w:szCs w:val="20"/>
              </w:rPr>
            </w:pPr>
            <w:r>
              <w:rPr>
                <w:rFonts w:ascii="Times New Roman" w:hAnsi="Times New Roman"/>
                <w:sz w:val="20"/>
              </w:rPr>
              <w:t>Le pourcentage maximal de la commission pour participations aux bénéfices. S’il est fixe, les éléments C0330, C0340 et C0350 sont identiques.</w:t>
            </w:r>
          </w:p>
          <w:p w14:paraId="042D6D8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5DCEFEC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0B8895A8" w14:textId="77777777" w:rsidTr="00950116">
        <w:trPr>
          <w:trHeight w:val="315"/>
        </w:trPr>
        <w:tc>
          <w:tcPr>
            <w:tcW w:w="1019" w:type="dxa"/>
          </w:tcPr>
          <w:p w14:paraId="461542D7" w14:textId="77777777" w:rsidR="000A55AA" w:rsidRPr="008B3312" w:rsidRDefault="000A55AA">
            <w:pPr>
              <w:rPr>
                <w:rFonts w:ascii="Times New Roman" w:hAnsi="Times New Roman" w:cs="Times New Roman"/>
                <w:sz w:val="20"/>
                <w:szCs w:val="20"/>
              </w:rPr>
            </w:pPr>
            <w:r>
              <w:rPr>
                <w:rFonts w:ascii="Times New Roman" w:hAnsi="Times New Roman"/>
                <w:sz w:val="20"/>
              </w:rPr>
              <w:t>C0340</w:t>
            </w:r>
          </w:p>
        </w:tc>
        <w:tc>
          <w:tcPr>
            <w:tcW w:w="1716" w:type="dxa"/>
            <w:tcBorders>
              <w:top w:val="single" w:sz="4" w:space="0" w:color="auto"/>
            </w:tcBorders>
          </w:tcPr>
          <w:p w14:paraId="38B20726" w14:textId="77777777" w:rsidR="000A55AA" w:rsidRPr="008B3312" w:rsidRDefault="000A55AA">
            <w:pPr>
              <w:rPr>
                <w:rFonts w:ascii="Times New Roman" w:hAnsi="Times New Roman" w:cs="Times New Roman"/>
                <w:sz w:val="20"/>
                <w:szCs w:val="20"/>
              </w:rPr>
            </w:pPr>
            <w:r>
              <w:rPr>
                <w:rFonts w:ascii="Times New Roman" w:hAnsi="Times New Roman"/>
                <w:sz w:val="20"/>
              </w:rPr>
              <w:t>Commission minimale pour participations aux bénéfices</w:t>
            </w:r>
          </w:p>
        </w:tc>
        <w:tc>
          <w:tcPr>
            <w:tcW w:w="6507" w:type="dxa"/>
          </w:tcPr>
          <w:p w14:paraId="20C91CD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pourcentage minimal de la commission pour participations aux bénéfices. S’il est fixe, les éléments C0330, C0340 et C0350 sont identiques.</w:t>
            </w:r>
          </w:p>
          <w:p w14:paraId="5E651EE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685E7A5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67DAA6B3" w14:textId="77777777" w:rsidTr="00950116">
        <w:trPr>
          <w:trHeight w:val="315"/>
        </w:trPr>
        <w:tc>
          <w:tcPr>
            <w:tcW w:w="1019" w:type="dxa"/>
          </w:tcPr>
          <w:p w14:paraId="11E20209" w14:textId="77777777" w:rsidR="000A55AA" w:rsidRPr="008B3312" w:rsidRDefault="000A55AA">
            <w:pPr>
              <w:rPr>
                <w:rFonts w:ascii="Times New Roman" w:hAnsi="Times New Roman" w:cs="Times New Roman"/>
                <w:sz w:val="20"/>
                <w:szCs w:val="20"/>
              </w:rPr>
            </w:pPr>
            <w:r>
              <w:rPr>
                <w:rFonts w:ascii="Times New Roman" w:hAnsi="Times New Roman"/>
                <w:sz w:val="20"/>
              </w:rPr>
              <w:t>C0350</w:t>
            </w:r>
          </w:p>
        </w:tc>
        <w:tc>
          <w:tcPr>
            <w:tcW w:w="1716" w:type="dxa"/>
            <w:tcBorders>
              <w:top w:val="single" w:sz="4" w:space="0" w:color="auto"/>
            </w:tcBorders>
          </w:tcPr>
          <w:p w14:paraId="2674C8FF" w14:textId="77777777" w:rsidR="000A55AA" w:rsidRPr="008B3312" w:rsidRDefault="000A55AA">
            <w:pPr>
              <w:rPr>
                <w:rFonts w:ascii="Times New Roman" w:hAnsi="Times New Roman" w:cs="Times New Roman"/>
                <w:sz w:val="20"/>
                <w:szCs w:val="20"/>
              </w:rPr>
            </w:pPr>
            <w:r>
              <w:rPr>
                <w:rFonts w:ascii="Times New Roman" w:hAnsi="Times New Roman"/>
                <w:sz w:val="20"/>
              </w:rPr>
              <w:t>Commission attendue pour participations aux bénéfices</w:t>
            </w:r>
          </w:p>
        </w:tc>
        <w:tc>
          <w:tcPr>
            <w:tcW w:w="6507" w:type="dxa"/>
          </w:tcPr>
          <w:p w14:paraId="694F9B2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Le pourcentage attendu de la commission pour participations aux bénéfices. S’il est fixe, les éléments C0330, C0340 et C0350 sont identiques.</w:t>
            </w:r>
          </w:p>
          <w:p w14:paraId="2E01048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p w14:paraId="7818BB6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Ne s’applique qu’aux traités proportionnels.</w:t>
            </w:r>
          </w:p>
        </w:tc>
      </w:tr>
      <w:tr w:rsidR="000A55AA" w:rsidRPr="008B3312" w14:paraId="6602CD44" w14:textId="77777777" w:rsidTr="00950116">
        <w:trPr>
          <w:trHeight w:val="315"/>
        </w:trPr>
        <w:tc>
          <w:tcPr>
            <w:tcW w:w="1019" w:type="dxa"/>
            <w:hideMark/>
          </w:tcPr>
          <w:p w14:paraId="4A3A0F1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C0360</w:t>
            </w:r>
          </w:p>
        </w:tc>
        <w:tc>
          <w:tcPr>
            <w:tcW w:w="1716" w:type="dxa"/>
            <w:tcBorders>
              <w:top w:val="single" w:sz="4" w:space="0" w:color="auto"/>
            </w:tcBorders>
            <w:hideMark/>
          </w:tcPr>
          <w:p w14:paraId="30620567" w14:textId="77777777" w:rsidR="000A55AA" w:rsidRPr="008B3312" w:rsidRDefault="000A55AA">
            <w:pPr>
              <w:rPr>
                <w:rFonts w:ascii="Times New Roman" w:hAnsi="Times New Roman" w:cs="Times New Roman"/>
                <w:sz w:val="20"/>
                <w:szCs w:val="20"/>
              </w:rPr>
            </w:pPr>
            <w:r>
              <w:rPr>
                <w:rFonts w:ascii="Times New Roman" w:hAnsi="Times New Roman"/>
                <w:sz w:val="20"/>
              </w:rPr>
              <w:t>Excédent de plein taux 1</w:t>
            </w:r>
          </w:p>
        </w:tc>
        <w:tc>
          <w:tcPr>
            <w:tcW w:w="6507" w:type="dxa"/>
            <w:hideMark/>
          </w:tcPr>
          <w:p w14:paraId="3B7619A8" w14:textId="77777777" w:rsidR="000A55AA" w:rsidRPr="008B3312" w:rsidRDefault="000A55AA">
            <w:pPr>
              <w:rPr>
                <w:rFonts w:ascii="Times New Roman" w:hAnsi="Times New Roman" w:cs="Times New Roman"/>
                <w:sz w:val="20"/>
                <w:szCs w:val="20"/>
              </w:rPr>
            </w:pPr>
            <w:r>
              <w:rPr>
                <w:rFonts w:ascii="Times New Roman" w:hAnsi="Times New Roman"/>
                <w:sz w:val="20"/>
              </w:rPr>
              <w:t>Le taux fixe ou, en cas de taux glissant, le taux de départ.</w:t>
            </w:r>
          </w:p>
          <w:p w14:paraId="3CC328A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À déclarer en valeur décimale. </w:t>
            </w:r>
          </w:p>
          <w:p w14:paraId="25FC9592" w14:textId="77777777" w:rsidR="000A55AA" w:rsidRPr="008B3312" w:rsidRDefault="000A55AA" w:rsidP="00950116">
            <w:pPr>
              <w:tabs>
                <w:tab w:val="left" w:pos="4632"/>
              </w:tabs>
              <w:rPr>
                <w:rFonts w:ascii="Times New Roman" w:hAnsi="Times New Roman" w:cs="Times New Roman"/>
                <w:sz w:val="20"/>
                <w:szCs w:val="20"/>
              </w:rPr>
            </w:pPr>
            <w:r>
              <w:rPr>
                <w:rFonts w:ascii="Times New Roman" w:hAnsi="Times New Roman"/>
                <w:sz w:val="20"/>
              </w:rPr>
              <w:t>Cette ligne n’est déclarée que pour les traités en excédent de sinistre.</w:t>
            </w:r>
          </w:p>
        </w:tc>
      </w:tr>
      <w:tr w:rsidR="000A55AA" w:rsidRPr="008B3312" w14:paraId="2A1E5CFE" w14:textId="77777777" w:rsidTr="00950116">
        <w:trPr>
          <w:trHeight w:val="315"/>
        </w:trPr>
        <w:tc>
          <w:tcPr>
            <w:tcW w:w="1019" w:type="dxa"/>
            <w:hideMark/>
          </w:tcPr>
          <w:p w14:paraId="148991A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C0370</w:t>
            </w:r>
          </w:p>
        </w:tc>
        <w:tc>
          <w:tcPr>
            <w:tcW w:w="1716" w:type="dxa"/>
            <w:hideMark/>
          </w:tcPr>
          <w:p w14:paraId="7CA4A4DA" w14:textId="77777777" w:rsidR="000A55AA" w:rsidRPr="008B3312" w:rsidRDefault="000A55AA">
            <w:pPr>
              <w:rPr>
                <w:rFonts w:ascii="Times New Roman" w:hAnsi="Times New Roman" w:cs="Times New Roman"/>
                <w:sz w:val="20"/>
                <w:szCs w:val="20"/>
              </w:rPr>
            </w:pPr>
            <w:r>
              <w:rPr>
                <w:rFonts w:ascii="Times New Roman" w:hAnsi="Times New Roman"/>
                <w:sz w:val="20"/>
              </w:rPr>
              <w:t>Excédent de plein taux 2</w:t>
            </w:r>
          </w:p>
        </w:tc>
        <w:tc>
          <w:tcPr>
            <w:tcW w:w="6507" w:type="dxa"/>
            <w:hideMark/>
          </w:tcPr>
          <w:p w14:paraId="53553774" w14:textId="5F2742E4" w:rsidR="000A55AA" w:rsidRPr="008B3312" w:rsidRDefault="000A55AA">
            <w:pPr>
              <w:rPr>
                <w:rFonts w:ascii="Times New Roman" w:hAnsi="Times New Roman" w:cs="Times New Roman"/>
                <w:sz w:val="20"/>
                <w:szCs w:val="20"/>
              </w:rPr>
            </w:pPr>
            <w:r>
              <w:rPr>
                <w:rFonts w:ascii="Times New Roman" w:hAnsi="Times New Roman"/>
                <w:sz w:val="20"/>
              </w:rPr>
              <w:t>Le taux maximal d’un système de taux glissant</w:t>
            </w:r>
          </w:p>
          <w:p w14:paraId="073D4B8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À déclarer en valeur décimale. </w:t>
            </w:r>
          </w:p>
          <w:p w14:paraId="5586A96B"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Cette ligne n’est déclarée que pour les traités en excédent de sinistre.</w:t>
            </w:r>
          </w:p>
        </w:tc>
      </w:tr>
      <w:tr w:rsidR="000A55AA" w:rsidRPr="008B3312" w14:paraId="6CF6CF3C" w14:textId="77777777" w:rsidTr="00950116">
        <w:trPr>
          <w:trHeight w:val="1172"/>
        </w:trPr>
        <w:tc>
          <w:tcPr>
            <w:tcW w:w="1019" w:type="dxa"/>
            <w:hideMark/>
          </w:tcPr>
          <w:p w14:paraId="69E23E0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C0380</w:t>
            </w:r>
          </w:p>
        </w:tc>
        <w:tc>
          <w:tcPr>
            <w:tcW w:w="1716" w:type="dxa"/>
            <w:hideMark/>
          </w:tcPr>
          <w:p w14:paraId="2773B1B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Prime forfaitaire excédent de plein</w:t>
            </w:r>
          </w:p>
        </w:tc>
        <w:tc>
          <w:tcPr>
            <w:tcW w:w="6507" w:type="dxa"/>
            <w:hideMark/>
          </w:tcPr>
          <w:p w14:paraId="1C75CBBE" w14:textId="77777777" w:rsidR="000A55AA" w:rsidRPr="008B3312" w:rsidRDefault="000A55AA">
            <w:pPr>
              <w:rPr>
                <w:rFonts w:ascii="Times New Roman" w:hAnsi="Times New Roman" w:cs="Times New Roman"/>
                <w:sz w:val="20"/>
                <w:szCs w:val="20"/>
              </w:rPr>
            </w:pPr>
            <w:r>
              <w:rPr>
                <w:rFonts w:ascii="Times New Roman" w:hAnsi="Times New Roman"/>
                <w:sz w:val="20"/>
              </w:rPr>
              <w:t xml:space="preserve">Indiquer si la prime en excédent de plein est fondée ou non sur une prime forfaitaire. Choisir impérativement l’une des options </w:t>
            </w:r>
            <w:proofErr w:type="gramStart"/>
            <w:r>
              <w:rPr>
                <w:rFonts w:ascii="Times New Roman" w:hAnsi="Times New Roman"/>
                <w:sz w:val="20"/>
              </w:rPr>
              <w:t>suivantes:</w:t>
            </w:r>
            <w:proofErr w:type="gramEnd"/>
            <w:r>
              <w:rPr>
                <w:rFonts w:ascii="Times New Roman" w:hAnsi="Times New Roman"/>
                <w:sz w:val="20"/>
              </w:rPr>
              <w:t xml:space="preserve"> </w:t>
            </w:r>
          </w:p>
          <w:p w14:paraId="6E16011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1 – Prime en excédent de </w:t>
            </w:r>
            <w:proofErr w:type="gramStart"/>
            <w:r>
              <w:rPr>
                <w:rFonts w:ascii="Times New Roman" w:hAnsi="Times New Roman"/>
                <w:sz w:val="20"/>
              </w:rPr>
              <w:t>plein fondée</w:t>
            </w:r>
            <w:proofErr w:type="gramEnd"/>
            <w:r>
              <w:rPr>
                <w:rFonts w:ascii="Times New Roman" w:hAnsi="Times New Roman"/>
                <w:sz w:val="20"/>
              </w:rPr>
              <w:t xml:space="preserve"> sur une prime forfaitaire</w:t>
            </w:r>
          </w:p>
          <w:p w14:paraId="5D3439E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2 – Prime en excédent de plein non fondée sur une prime forfaitaire</w:t>
            </w:r>
          </w:p>
          <w:p w14:paraId="379F150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Cette ligne n’est déclarée que pour les traités en excédent de sinistre.</w:t>
            </w:r>
          </w:p>
        </w:tc>
      </w:tr>
    </w:tbl>
    <w:p w14:paraId="53793040" w14:textId="77777777" w:rsidR="000A55AA" w:rsidRPr="00166F34" w:rsidRDefault="000A55AA" w:rsidP="00950116">
      <w:pPr>
        <w:rPr>
          <w:rFonts w:ascii="Times New Roman" w:hAnsi="Times New Roman"/>
          <w:b/>
          <w:sz w:val="20"/>
        </w:rPr>
      </w:pPr>
    </w:p>
    <w:p w14:paraId="160E7544" w14:textId="77777777" w:rsidR="005D0064" w:rsidRDefault="005D0064">
      <w:pPr>
        <w:rPr>
          <w:rFonts w:ascii="Times New Roman" w:hAnsi="Times New Roman"/>
          <w:b/>
          <w:sz w:val="20"/>
        </w:rPr>
      </w:pPr>
      <w:r>
        <w:rPr>
          <w:rFonts w:ascii="Times New Roman" w:hAnsi="Times New Roman"/>
          <w:b/>
          <w:sz w:val="20"/>
        </w:rPr>
        <w:t>Tableau de l’état</w:t>
      </w:r>
    </w:p>
    <w:p w14:paraId="5ED0E9F3" w14:textId="78E8F779" w:rsidR="00270A08" w:rsidRDefault="005D0064" w:rsidP="005D0064">
      <w:pPr>
        <w:ind w:hanging="993"/>
        <w:rPr>
          <w:rFonts w:ascii="Times New Roman" w:hAnsi="Times New Roman"/>
          <w:b/>
          <w:sz w:val="20"/>
        </w:rPr>
      </w:pPr>
      <w:r w:rsidRPr="005D0064">
        <w:rPr>
          <w:noProof/>
          <w:lang w:bidi="ar-SA"/>
        </w:rPr>
        <w:drawing>
          <wp:inline distT="0" distB="0" distL="0" distR="0" wp14:anchorId="39CEED4D" wp14:editId="5E4077BE">
            <wp:extent cx="7203932" cy="384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13375" cy="3853144"/>
                    </a:xfrm>
                    <a:prstGeom prst="rect">
                      <a:avLst/>
                    </a:prstGeom>
                    <a:noFill/>
                    <a:ln>
                      <a:noFill/>
                    </a:ln>
                  </pic:spPr>
                </pic:pic>
              </a:graphicData>
            </a:graphic>
          </wp:inline>
        </w:drawing>
      </w:r>
      <w:r w:rsidRPr="005D0064">
        <w:t xml:space="preserve"> </w:t>
      </w:r>
      <w:r w:rsidR="00270A08">
        <w:rPr>
          <w:rFonts w:ascii="Times New Roman" w:hAnsi="Times New Roman"/>
          <w:b/>
          <w:sz w:val="20"/>
        </w:rPr>
        <w:br w:type="page"/>
      </w:r>
    </w:p>
    <w:p w14:paraId="6B3CE00A" w14:textId="3048C383" w:rsidR="000A55AA" w:rsidRPr="008B3312" w:rsidRDefault="00126B85" w:rsidP="00950116">
      <w:pPr>
        <w:rPr>
          <w:rFonts w:ascii="Times New Roman" w:hAnsi="Times New Roman" w:cs="Times New Roman"/>
          <w:b/>
          <w:bCs/>
          <w:sz w:val="20"/>
          <w:szCs w:val="20"/>
        </w:rPr>
      </w:pPr>
      <w:r>
        <w:rPr>
          <w:rFonts w:ascii="Times New Roman" w:hAnsi="Times New Roman"/>
          <w:b/>
          <w:sz w:val="20"/>
        </w:rPr>
        <w:lastRenderedPageBreak/>
        <w:t>RP.3</w:t>
      </w:r>
      <w:r w:rsidR="000A55AA">
        <w:rPr>
          <w:rFonts w:ascii="Times New Roman" w:hAnsi="Times New Roman"/>
          <w:b/>
          <w:sz w:val="20"/>
        </w:rPr>
        <w:t>0.04</w:t>
      </w:r>
      <w:r w:rsidR="0013206F">
        <w:rPr>
          <w:rFonts w:ascii="Times New Roman" w:hAnsi="Times New Roman"/>
          <w:b/>
          <w:sz w:val="20"/>
        </w:rPr>
        <w:t>.01</w:t>
      </w:r>
      <w:r w:rsidR="000A55AA">
        <w:rPr>
          <w:rFonts w:ascii="Times New Roman" w:hAnsi="Times New Roman"/>
          <w:b/>
          <w:sz w:val="20"/>
        </w:rPr>
        <w:t xml:space="preserve"> – Programme de cession en réassurance – Données sur les parts</w:t>
      </w:r>
    </w:p>
    <w:p w14:paraId="196BC2D7" w14:textId="77777777" w:rsidR="000A55AA" w:rsidRPr="008B3312" w:rsidRDefault="000A55AA" w:rsidP="00950116">
      <w:pPr>
        <w:jc w:val="both"/>
        <w:rPr>
          <w:rFonts w:ascii="Times New Roman" w:hAnsi="Times New Roman" w:cs="Times New Roman"/>
          <w:b/>
          <w:sz w:val="20"/>
          <w:szCs w:val="20"/>
        </w:rPr>
      </w:pPr>
      <w:r>
        <w:rPr>
          <w:rFonts w:ascii="Times New Roman" w:hAnsi="Times New Roman"/>
          <w:b/>
          <w:sz w:val="20"/>
        </w:rPr>
        <w:t>Observations générales</w:t>
      </w:r>
    </w:p>
    <w:p w14:paraId="561E7876" w14:textId="7E08BB1E" w:rsidR="000A55AA" w:rsidRPr="008B3312" w:rsidRDefault="000D2E4C" w:rsidP="00950116">
      <w:pPr>
        <w:jc w:val="both"/>
        <w:rPr>
          <w:rFonts w:ascii="Times New Roman" w:hAnsi="Times New Roman" w:cs="Times New Roman"/>
          <w:sz w:val="20"/>
          <w:szCs w:val="20"/>
        </w:rPr>
      </w:pPr>
      <w:r>
        <w:rPr>
          <w:rFonts w:ascii="Times New Roman" w:hAnsi="Times New Roman"/>
          <w:sz w:val="20"/>
        </w:rPr>
        <w:t xml:space="preserve">Cette section concerne la déclaration annuelle demandée aux </w:t>
      </w:r>
      <w:r w:rsidR="005D0064">
        <w:rPr>
          <w:rFonts w:ascii="Times New Roman" w:hAnsi="Times New Roman"/>
          <w:sz w:val="20"/>
        </w:rPr>
        <w:t>O</w:t>
      </w:r>
      <w:r w:rsidR="00A07329">
        <w:rPr>
          <w:rFonts w:ascii="Times New Roman" w:hAnsi="Times New Roman"/>
          <w:sz w:val="20"/>
        </w:rPr>
        <w:t>RPS</w:t>
      </w:r>
      <w:r>
        <w:rPr>
          <w:rFonts w:ascii="Times New Roman" w:hAnsi="Times New Roman"/>
          <w:sz w:val="20"/>
        </w:rPr>
        <w:t xml:space="preserve">. </w:t>
      </w:r>
    </w:p>
    <w:p w14:paraId="6A003635" w14:textId="20B58319" w:rsidR="000A55AA" w:rsidRDefault="00D05F66" w:rsidP="00950116">
      <w:pPr>
        <w:jc w:val="both"/>
        <w:rPr>
          <w:rFonts w:ascii="Times New Roman" w:hAnsi="Times New Roman"/>
          <w:sz w:val="20"/>
        </w:rPr>
      </w:pPr>
      <w:r>
        <w:rPr>
          <w:rFonts w:ascii="Times New Roman" w:hAnsi="Times New Roman"/>
          <w:sz w:val="20"/>
        </w:rPr>
        <w:t xml:space="preserve">Ce modèle concerne les </w:t>
      </w:r>
      <w:r w:rsidR="005D0064">
        <w:rPr>
          <w:rFonts w:ascii="Times New Roman" w:hAnsi="Times New Roman"/>
          <w:sz w:val="20"/>
        </w:rPr>
        <w:t>O</w:t>
      </w:r>
      <w:r w:rsidR="00A07329">
        <w:rPr>
          <w:rFonts w:ascii="Times New Roman" w:hAnsi="Times New Roman"/>
          <w:sz w:val="20"/>
        </w:rPr>
        <w:t>RPS</w:t>
      </w:r>
      <w:r>
        <w:rPr>
          <w:rFonts w:ascii="Times New Roman" w:hAnsi="Times New Roman"/>
          <w:sz w:val="20"/>
        </w:rPr>
        <w:t xml:space="preserve"> ayant un programme de cession en réassurance et/ou de rétrocession, y compris toute couverture fournie par des pools de réassurance</w:t>
      </w:r>
      <w:r w:rsidR="005D0064">
        <w:rPr>
          <w:rFonts w:ascii="Times New Roman" w:hAnsi="Times New Roman"/>
          <w:sz w:val="20"/>
        </w:rPr>
        <w:t xml:space="preserve"> ou des O</w:t>
      </w:r>
      <w:r w:rsidR="00A07329">
        <w:rPr>
          <w:rFonts w:ascii="Times New Roman" w:hAnsi="Times New Roman"/>
          <w:sz w:val="20"/>
        </w:rPr>
        <w:t>RPS</w:t>
      </w:r>
      <w:r>
        <w:rPr>
          <w:rFonts w:ascii="Times New Roman" w:hAnsi="Times New Roman"/>
          <w:sz w:val="20"/>
        </w:rPr>
        <w:t xml:space="preserve"> bénéficiant du soutien des pouvoirs publics, à l’exclusion des couvertures facultatives.</w:t>
      </w:r>
    </w:p>
    <w:p w14:paraId="252C8C50" w14:textId="4CD0CB20" w:rsidR="00F820E5" w:rsidRPr="008B3312" w:rsidRDefault="00F820E5" w:rsidP="00950116">
      <w:pPr>
        <w:jc w:val="both"/>
        <w:rPr>
          <w:rFonts w:ascii="Times New Roman" w:hAnsi="Times New Roman" w:cs="Times New Roman"/>
          <w:sz w:val="20"/>
          <w:szCs w:val="20"/>
        </w:rPr>
      </w:pPr>
      <w:r>
        <w:rPr>
          <w:rFonts w:ascii="Times New Roman" w:hAnsi="Times New Roman"/>
          <w:sz w:val="20"/>
        </w:rPr>
        <w:t>Aux fins du remplissage du présent modèle,</w:t>
      </w:r>
      <w:r w:rsidR="005D0064">
        <w:rPr>
          <w:rFonts w:ascii="Times New Roman" w:hAnsi="Times New Roman"/>
          <w:sz w:val="20"/>
        </w:rPr>
        <w:t xml:space="preserve"> le transfert de risques entre O</w:t>
      </w:r>
      <w:r>
        <w:rPr>
          <w:rFonts w:ascii="Times New Roman" w:hAnsi="Times New Roman"/>
          <w:sz w:val="20"/>
        </w:rPr>
        <w:t>RPS visés au troisième alinéa de l’article L. 381-1 du code des assurances, est assimilé à de la cession en réassurance.</w:t>
      </w:r>
    </w:p>
    <w:p w14:paraId="390F929C" w14:textId="6B704988" w:rsidR="000A55AA" w:rsidRPr="008B3312" w:rsidRDefault="000A55AA" w:rsidP="00950116">
      <w:pPr>
        <w:jc w:val="both"/>
        <w:rPr>
          <w:rFonts w:ascii="Times New Roman" w:hAnsi="Times New Roman" w:cs="Times New Roman"/>
          <w:sz w:val="20"/>
          <w:szCs w:val="20"/>
        </w:rPr>
      </w:pPr>
      <w:r>
        <w:rPr>
          <w:rFonts w:ascii="Times New Roman" w:hAnsi="Times New Roman"/>
          <w:sz w:val="20"/>
        </w:rPr>
        <w:t xml:space="preserve">Ce modèle est à compléter par </w:t>
      </w:r>
      <w:r w:rsidR="005D0064">
        <w:rPr>
          <w:rFonts w:ascii="Times New Roman" w:hAnsi="Times New Roman"/>
          <w:sz w:val="20"/>
        </w:rPr>
        <w:t>l’O</w:t>
      </w:r>
      <w:r w:rsidR="00A07329">
        <w:rPr>
          <w:rFonts w:ascii="Times New Roman" w:hAnsi="Times New Roman"/>
          <w:sz w:val="20"/>
        </w:rPr>
        <w:t xml:space="preserve">RPS </w:t>
      </w:r>
      <w:r>
        <w:rPr>
          <w:rFonts w:ascii="Times New Roman" w:hAnsi="Times New Roman"/>
          <w:sz w:val="20"/>
        </w:rPr>
        <w:t>qui transfère un risque de souscription à des réassureurs</w:t>
      </w:r>
      <w:r w:rsidR="005D0064">
        <w:rPr>
          <w:rFonts w:ascii="Times New Roman" w:hAnsi="Times New Roman"/>
          <w:sz w:val="20"/>
        </w:rPr>
        <w:t xml:space="preserve"> ou des O</w:t>
      </w:r>
      <w:r w:rsidR="00A07329">
        <w:rPr>
          <w:rFonts w:ascii="Times New Roman" w:hAnsi="Times New Roman"/>
          <w:sz w:val="20"/>
        </w:rPr>
        <w:t>RPS</w:t>
      </w:r>
      <w:r>
        <w:rPr>
          <w:rFonts w:ascii="Times New Roman" w:hAnsi="Times New Roman"/>
          <w:sz w:val="20"/>
        </w:rPr>
        <w:t xml:space="preserve"> au moyen d’un traité de réassurance dont la période de validité comprend ou chevauche l’année de référence suivante, et sont connus lorsque le modèle est complété. Si la stratégie de réassurance change de manière significative après cette date ou si la rénovation des contrats de réassurance est effectuée après la date de déclaration et avant le 1</w:t>
      </w:r>
      <w:r>
        <w:rPr>
          <w:rFonts w:ascii="Times New Roman" w:hAnsi="Times New Roman"/>
          <w:sz w:val="20"/>
          <w:vertAlign w:val="superscript"/>
        </w:rPr>
        <w:t>er</w:t>
      </w:r>
      <w:r>
        <w:rPr>
          <w:rFonts w:ascii="Times New Roman" w:hAnsi="Times New Roman"/>
          <w:sz w:val="20"/>
        </w:rPr>
        <w:t xml:space="preserve"> janvier suivant, les informations de ce modèle doivent être transmises à nouveau le moment venu.</w:t>
      </w:r>
    </w:p>
    <w:tbl>
      <w:tblPr>
        <w:tblStyle w:val="Grilledutableau"/>
        <w:tblW w:w="9180" w:type="dxa"/>
        <w:tblLayout w:type="fixed"/>
        <w:tblLook w:val="04A0" w:firstRow="1" w:lastRow="0" w:firstColumn="1" w:lastColumn="0" w:noHBand="0" w:noVBand="1"/>
      </w:tblPr>
      <w:tblGrid>
        <w:gridCol w:w="1191"/>
        <w:gridCol w:w="22"/>
        <w:gridCol w:w="29"/>
        <w:gridCol w:w="1997"/>
        <w:gridCol w:w="5941"/>
      </w:tblGrid>
      <w:tr w:rsidR="000A55AA" w:rsidRPr="008B3312" w14:paraId="56B5B640" w14:textId="77777777" w:rsidTr="00950116">
        <w:trPr>
          <w:trHeight w:val="315"/>
        </w:trPr>
        <w:tc>
          <w:tcPr>
            <w:tcW w:w="1191" w:type="dxa"/>
            <w:hideMark/>
          </w:tcPr>
          <w:p w14:paraId="25783155" w14:textId="77777777" w:rsidR="000A55AA" w:rsidRPr="008B3312" w:rsidRDefault="000A55AA" w:rsidP="00950116">
            <w:pPr>
              <w:jc w:val="center"/>
              <w:rPr>
                <w:rFonts w:ascii="Times New Roman" w:hAnsi="Times New Roman" w:cs="Times New Roman"/>
                <w:b/>
                <w:bCs/>
                <w:sz w:val="20"/>
                <w:szCs w:val="20"/>
              </w:rPr>
            </w:pPr>
          </w:p>
        </w:tc>
        <w:tc>
          <w:tcPr>
            <w:tcW w:w="2048" w:type="dxa"/>
            <w:gridSpan w:val="3"/>
            <w:hideMark/>
          </w:tcPr>
          <w:p w14:paraId="0F09485F" w14:textId="77777777" w:rsidR="000A55AA" w:rsidRPr="008B3312" w:rsidRDefault="000A55AA" w:rsidP="00950116">
            <w:pPr>
              <w:jc w:val="center"/>
              <w:rPr>
                <w:rFonts w:ascii="Times New Roman" w:hAnsi="Times New Roman" w:cs="Times New Roman"/>
                <w:b/>
                <w:bCs/>
                <w:sz w:val="20"/>
                <w:szCs w:val="20"/>
              </w:rPr>
            </w:pPr>
            <w:r>
              <w:rPr>
                <w:rFonts w:ascii="Times New Roman" w:hAnsi="Times New Roman"/>
                <w:b/>
                <w:sz w:val="20"/>
              </w:rPr>
              <w:t>ÉLÉMENT À DÉCLARER</w:t>
            </w:r>
          </w:p>
        </w:tc>
        <w:tc>
          <w:tcPr>
            <w:tcW w:w="5941" w:type="dxa"/>
            <w:hideMark/>
          </w:tcPr>
          <w:p w14:paraId="722A2AB7" w14:textId="77777777" w:rsidR="000A55AA" w:rsidRPr="008B3312" w:rsidRDefault="000A55AA" w:rsidP="00950116">
            <w:pPr>
              <w:jc w:val="center"/>
              <w:rPr>
                <w:rFonts w:ascii="Times New Roman" w:hAnsi="Times New Roman" w:cs="Times New Roman"/>
                <w:b/>
                <w:bCs/>
                <w:sz w:val="20"/>
                <w:szCs w:val="20"/>
              </w:rPr>
            </w:pPr>
            <w:r>
              <w:rPr>
                <w:rFonts w:ascii="Times New Roman" w:hAnsi="Times New Roman"/>
                <w:b/>
                <w:sz w:val="20"/>
              </w:rPr>
              <w:t>INSTRUCTIONS</w:t>
            </w:r>
          </w:p>
        </w:tc>
      </w:tr>
      <w:tr w:rsidR="000A55AA" w:rsidRPr="008B3312" w14:paraId="36C54CD7" w14:textId="77777777" w:rsidTr="00950116">
        <w:trPr>
          <w:trHeight w:val="600"/>
        </w:trPr>
        <w:tc>
          <w:tcPr>
            <w:tcW w:w="1191" w:type="dxa"/>
            <w:hideMark/>
          </w:tcPr>
          <w:p w14:paraId="141D943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C0010</w:t>
            </w:r>
          </w:p>
        </w:tc>
        <w:tc>
          <w:tcPr>
            <w:tcW w:w="2048" w:type="dxa"/>
            <w:gridSpan w:val="3"/>
            <w:hideMark/>
          </w:tcPr>
          <w:p w14:paraId="4DCAAE3C" w14:textId="77777777" w:rsidR="000A55AA" w:rsidRPr="008B3312" w:rsidRDefault="000A55AA">
            <w:pPr>
              <w:rPr>
                <w:rFonts w:ascii="Times New Roman" w:hAnsi="Times New Roman" w:cs="Times New Roman"/>
                <w:sz w:val="20"/>
                <w:szCs w:val="20"/>
              </w:rPr>
            </w:pPr>
            <w:r>
              <w:rPr>
                <w:rFonts w:ascii="Times New Roman" w:hAnsi="Times New Roman"/>
                <w:sz w:val="20"/>
              </w:rPr>
              <w:t>Code du programme de réassurance</w:t>
            </w:r>
          </w:p>
        </w:tc>
        <w:tc>
          <w:tcPr>
            <w:tcW w:w="5941" w:type="dxa"/>
            <w:hideMark/>
          </w:tcPr>
          <w:p w14:paraId="738B017F" w14:textId="79F1AC87" w:rsidR="000A55AA" w:rsidRPr="008B3312" w:rsidRDefault="000A55AA" w:rsidP="00011FC3">
            <w:pPr>
              <w:rPr>
                <w:rFonts w:ascii="Times New Roman" w:hAnsi="Times New Roman" w:cs="Times New Roman"/>
                <w:sz w:val="20"/>
                <w:szCs w:val="20"/>
              </w:rPr>
            </w:pPr>
            <w:r>
              <w:rPr>
                <w:rFonts w:ascii="Times New Roman" w:hAnsi="Times New Roman"/>
                <w:sz w:val="20"/>
              </w:rPr>
              <w:t xml:space="preserve">Code unique (propre </w:t>
            </w:r>
            <w:r w:rsidR="005D0064">
              <w:rPr>
                <w:rFonts w:ascii="Times New Roman" w:hAnsi="Times New Roman"/>
                <w:sz w:val="20"/>
              </w:rPr>
              <w:t>à l’O</w:t>
            </w:r>
            <w:r w:rsidR="00011FC3">
              <w:rPr>
                <w:rFonts w:ascii="Times New Roman" w:hAnsi="Times New Roman"/>
                <w:sz w:val="20"/>
              </w:rPr>
              <w:t>RPS</w:t>
            </w:r>
            <w:r>
              <w:rPr>
                <w:rFonts w:ascii="Times New Roman" w:hAnsi="Times New Roman"/>
                <w:sz w:val="20"/>
              </w:rPr>
              <w:t>) couvrant tous les placements et/ou traités de réassurance faisant partie du même programme de réassurance.</w:t>
            </w:r>
          </w:p>
        </w:tc>
      </w:tr>
      <w:tr w:rsidR="000A55AA" w:rsidRPr="008B3312" w14:paraId="4A2EF210" w14:textId="77777777" w:rsidTr="00950116">
        <w:trPr>
          <w:trHeight w:val="750"/>
        </w:trPr>
        <w:tc>
          <w:tcPr>
            <w:tcW w:w="1191" w:type="dxa"/>
            <w:hideMark/>
          </w:tcPr>
          <w:p w14:paraId="4A21969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C0020</w:t>
            </w:r>
          </w:p>
        </w:tc>
        <w:tc>
          <w:tcPr>
            <w:tcW w:w="2048" w:type="dxa"/>
            <w:gridSpan w:val="3"/>
            <w:hideMark/>
          </w:tcPr>
          <w:p w14:paraId="059A16F1" w14:textId="77777777" w:rsidR="000A55AA" w:rsidRPr="008B3312" w:rsidRDefault="000A55AA">
            <w:pPr>
              <w:rPr>
                <w:rFonts w:ascii="Times New Roman" w:hAnsi="Times New Roman" w:cs="Times New Roman"/>
                <w:sz w:val="20"/>
                <w:szCs w:val="20"/>
              </w:rPr>
            </w:pPr>
            <w:r>
              <w:rPr>
                <w:rFonts w:ascii="Times New Roman" w:hAnsi="Times New Roman"/>
                <w:sz w:val="20"/>
              </w:rPr>
              <w:t>Code d’identification du traité</w:t>
            </w:r>
          </w:p>
        </w:tc>
        <w:tc>
          <w:tcPr>
            <w:tcW w:w="5941" w:type="dxa"/>
            <w:hideMark/>
          </w:tcPr>
          <w:p w14:paraId="036EBC00" w14:textId="084D529A" w:rsidR="000A55AA" w:rsidRPr="008B3312" w:rsidRDefault="000A55AA" w:rsidP="00011FC3">
            <w:pPr>
              <w:rPr>
                <w:rFonts w:ascii="Times New Roman" w:hAnsi="Times New Roman" w:cs="Times New Roman"/>
                <w:sz w:val="20"/>
                <w:szCs w:val="20"/>
              </w:rPr>
            </w:pPr>
            <w:r>
              <w:rPr>
                <w:rFonts w:ascii="Times New Roman" w:hAnsi="Times New Roman"/>
                <w:sz w:val="20"/>
              </w:rPr>
              <w:t xml:space="preserve">Code d’identification du traité qui identifie celui-ci de manière exclusive, qui doit être réutilisé dans les déclarations suivantes. Il s’agit généralement le numéro initial du traité enregistré dans les livres comptables </w:t>
            </w:r>
            <w:r w:rsidR="005D0064">
              <w:rPr>
                <w:rFonts w:ascii="Times New Roman" w:hAnsi="Times New Roman"/>
                <w:sz w:val="20"/>
              </w:rPr>
              <w:t>de l’O</w:t>
            </w:r>
            <w:r w:rsidR="00011FC3">
              <w:rPr>
                <w:rFonts w:ascii="Times New Roman" w:hAnsi="Times New Roman"/>
                <w:sz w:val="20"/>
              </w:rPr>
              <w:t>RPS</w:t>
            </w:r>
            <w:r>
              <w:rPr>
                <w:rFonts w:ascii="Times New Roman" w:hAnsi="Times New Roman"/>
                <w:sz w:val="20"/>
              </w:rPr>
              <w:t>.</w:t>
            </w:r>
          </w:p>
        </w:tc>
      </w:tr>
      <w:tr w:rsidR="000A55AA" w:rsidRPr="008B3312" w14:paraId="13466041" w14:textId="77777777" w:rsidTr="0044578D">
        <w:trPr>
          <w:trHeight w:val="699"/>
        </w:trPr>
        <w:tc>
          <w:tcPr>
            <w:tcW w:w="1191" w:type="dxa"/>
            <w:hideMark/>
          </w:tcPr>
          <w:p w14:paraId="0609342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C0030</w:t>
            </w:r>
          </w:p>
        </w:tc>
        <w:tc>
          <w:tcPr>
            <w:tcW w:w="2048" w:type="dxa"/>
            <w:gridSpan w:val="3"/>
            <w:hideMark/>
          </w:tcPr>
          <w:p w14:paraId="2A222B3C" w14:textId="77777777" w:rsidR="000A55AA" w:rsidRPr="008B3312" w:rsidRDefault="000A55AA">
            <w:pPr>
              <w:rPr>
                <w:rFonts w:ascii="Times New Roman" w:hAnsi="Times New Roman" w:cs="Times New Roman"/>
                <w:sz w:val="20"/>
                <w:szCs w:val="20"/>
              </w:rPr>
            </w:pPr>
            <w:r>
              <w:rPr>
                <w:rFonts w:ascii="Times New Roman" w:hAnsi="Times New Roman"/>
                <w:sz w:val="20"/>
              </w:rPr>
              <w:t>Numéro de section progressif dans le traité</w:t>
            </w:r>
          </w:p>
        </w:tc>
        <w:tc>
          <w:tcPr>
            <w:tcW w:w="5941" w:type="dxa"/>
            <w:hideMark/>
          </w:tcPr>
          <w:p w14:paraId="7BE174AF" w14:textId="212CB91A" w:rsidR="000A55AA" w:rsidRPr="008B3312" w:rsidRDefault="000A55AA" w:rsidP="00011FC3">
            <w:pPr>
              <w:rPr>
                <w:rFonts w:ascii="Times New Roman" w:hAnsi="Times New Roman" w:cs="Times New Roman"/>
                <w:sz w:val="20"/>
                <w:szCs w:val="20"/>
              </w:rPr>
            </w:pPr>
            <w:r>
              <w:rPr>
                <w:rFonts w:ascii="Times New Roman" w:hAnsi="Times New Roman"/>
                <w:sz w:val="20"/>
              </w:rPr>
              <w:t xml:space="preserve">Le numéro de section progressif attribué par </w:t>
            </w:r>
            <w:r w:rsidR="005D0064">
              <w:rPr>
                <w:rFonts w:ascii="Times New Roman" w:hAnsi="Times New Roman"/>
                <w:sz w:val="20"/>
              </w:rPr>
              <w:t>l’O</w:t>
            </w:r>
            <w:r w:rsidR="00011FC3">
              <w:rPr>
                <w:rFonts w:ascii="Times New Roman" w:hAnsi="Times New Roman"/>
                <w:sz w:val="20"/>
              </w:rPr>
              <w:t xml:space="preserve">RPS </w:t>
            </w:r>
            <w:r>
              <w:rPr>
                <w:rFonts w:ascii="Times New Roman" w:hAnsi="Times New Roman"/>
                <w:sz w:val="20"/>
              </w:rPr>
              <w:t>aux différentes sections du traité, lorsque le traité couvre par exemple plusieurs</w:t>
            </w:r>
            <w:r w:rsidR="00011FC3">
              <w:rPr>
                <w:rFonts w:ascii="Times New Roman" w:hAnsi="Times New Roman"/>
                <w:sz w:val="20"/>
              </w:rPr>
              <w:t xml:space="preserve"> risques</w:t>
            </w:r>
            <w:r w:rsidR="00F820E5">
              <w:rPr>
                <w:rFonts w:ascii="Times New Roman" w:hAnsi="Times New Roman"/>
                <w:sz w:val="20"/>
              </w:rPr>
              <w:t xml:space="preserve"> (au sens de </w:t>
            </w:r>
            <w:r w:rsidR="00F820E5" w:rsidRPr="004F1DD8">
              <w:rPr>
                <w:rFonts w:ascii="Times New Roman" w:hAnsi="Times New Roman"/>
                <w:sz w:val="20"/>
              </w:rPr>
              <w:t xml:space="preserve">la </w:t>
            </w:r>
            <w:r w:rsidR="00F820E5" w:rsidRPr="0013206F">
              <w:rPr>
                <w:rFonts w:ascii="Times New Roman" w:hAnsi="Times New Roman"/>
                <w:sz w:val="20"/>
              </w:rPr>
              <w:t>colonne C0071</w:t>
            </w:r>
            <w:r w:rsidR="00F820E5">
              <w:rPr>
                <w:rFonts w:ascii="Times New Roman" w:hAnsi="Times New Roman"/>
                <w:sz w:val="20"/>
              </w:rPr>
              <w:t xml:space="preserve"> du modèle RP.30.03)</w:t>
            </w:r>
            <w:r>
              <w:rPr>
                <w:rFonts w:ascii="Times New Roman" w:hAnsi="Times New Roman"/>
                <w:sz w:val="20"/>
              </w:rPr>
              <w:t xml:space="preserve">, ou couvre différents </w:t>
            </w:r>
            <w:r w:rsidR="00011FC3">
              <w:rPr>
                <w:rFonts w:ascii="Times New Roman" w:hAnsi="Times New Roman"/>
                <w:sz w:val="20"/>
              </w:rPr>
              <w:t>risques</w:t>
            </w:r>
            <w:r>
              <w:rPr>
                <w:rFonts w:ascii="Times New Roman" w:hAnsi="Times New Roman"/>
                <w:sz w:val="20"/>
              </w:rPr>
              <w:t xml:space="preserve"> avec différentes limites. Les traités avec des conditions différentes sont considérés comme des traités différents aux fins de la déclaration des informations, et doivent être déclarés dans des sections distinctes. Lorsque différents </w:t>
            </w:r>
            <w:r w:rsidR="00011FC3">
              <w:rPr>
                <w:rFonts w:ascii="Times New Roman" w:hAnsi="Times New Roman"/>
                <w:sz w:val="20"/>
              </w:rPr>
              <w:t>risques</w:t>
            </w:r>
            <w:r>
              <w:rPr>
                <w:rFonts w:ascii="Times New Roman" w:hAnsi="Times New Roman"/>
                <w:sz w:val="20"/>
              </w:rPr>
              <w:t xml:space="preserve"> sont couverts par le même traité, les conditions relatives à chacun des </w:t>
            </w:r>
            <w:r w:rsidR="00011FC3">
              <w:rPr>
                <w:rFonts w:ascii="Times New Roman" w:hAnsi="Times New Roman"/>
                <w:sz w:val="20"/>
              </w:rPr>
              <w:t>risques</w:t>
            </w:r>
            <w:r>
              <w:rPr>
                <w:rFonts w:ascii="Times New Roman" w:hAnsi="Times New Roman"/>
                <w:sz w:val="20"/>
              </w:rPr>
              <w:t xml:space="preserve"> doivent être précisés séparément sous chaque numéro de section. Les traités couvrant différents types de réassurance (par exemple, une section en excédent de plein et une autre en excédent de sinistre) dans un même traité sont déclarés dans les différentes sections. Les traités couvrant différentes tranches d’un même programme doivent être déclarés dans les différentes sections.</w:t>
            </w:r>
          </w:p>
        </w:tc>
      </w:tr>
      <w:tr w:rsidR="000A55AA" w:rsidRPr="008B3312" w14:paraId="4B9DB26A" w14:textId="77777777" w:rsidTr="00950116">
        <w:trPr>
          <w:trHeight w:val="771"/>
        </w:trPr>
        <w:tc>
          <w:tcPr>
            <w:tcW w:w="1191" w:type="dxa"/>
            <w:hideMark/>
          </w:tcPr>
          <w:p w14:paraId="0DE748B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C0040</w:t>
            </w:r>
          </w:p>
        </w:tc>
        <w:tc>
          <w:tcPr>
            <w:tcW w:w="2048" w:type="dxa"/>
            <w:gridSpan w:val="3"/>
            <w:hideMark/>
          </w:tcPr>
          <w:p w14:paraId="7CDCBF82" w14:textId="77777777" w:rsidR="000A55AA" w:rsidRPr="008B3312" w:rsidRDefault="000A55AA">
            <w:pPr>
              <w:rPr>
                <w:rFonts w:ascii="Times New Roman" w:hAnsi="Times New Roman" w:cs="Times New Roman"/>
                <w:sz w:val="20"/>
                <w:szCs w:val="20"/>
              </w:rPr>
            </w:pPr>
            <w:r>
              <w:rPr>
                <w:rFonts w:ascii="Times New Roman" w:hAnsi="Times New Roman"/>
                <w:sz w:val="20"/>
              </w:rPr>
              <w:t>Numéro progressif de l’excédent/de la tranche du programme</w:t>
            </w:r>
          </w:p>
        </w:tc>
        <w:tc>
          <w:tcPr>
            <w:tcW w:w="5941" w:type="dxa"/>
            <w:hideMark/>
          </w:tcPr>
          <w:p w14:paraId="3BABDF2E" w14:textId="77777777" w:rsidR="000A55AA" w:rsidRPr="008B3312" w:rsidRDefault="000A55AA">
            <w:pPr>
              <w:rPr>
                <w:rFonts w:ascii="Times New Roman" w:hAnsi="Times New Roman" w:cs="Times New Roman"/>
                <w:sz w:val="20"/>
                <w:szCs w:val="20"/>
              </w:rPr>
            </w:pPr>
            <w:r>
              <w:rPr>
                <w:rFonts w:ascii="Times New Roman" w:hAnsi="Times New Roman"/>
                <w:sz w:val="20"/>
              </w:rPr>
              <w:t>Le numéro progressif de l’excédent/de la tranche, lorsque le traité fait partie d’un programme plus vaste.</w:t>
            </w:r>
          </w:p>
        </w:tc>
      </w:tr>
      <w:tr w:rsidR="000A55AA" w:rsidRPr="008B3312" w14:paraId="0AAB3005" w14:textId="77777777" w:rsidTr="00950116">
        <w:trPr>
          <w:trHeight w:val="315"/>
        </w:trPr>
        <w:tc>
          <w:tcPr>
            <w:tcW w:w="1191" w:type="dxa"/>
            <w:hideMark/>
          </w:tcPr>
          <w:p w14:paraId="7BD26A0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C0050</w:t>
            </w:r>
          </w:p>
        </w:tc>
        <w:tc>
          <w:tcPr>
            <w:tcW w:w="2048" w:type="dxa"/>
            <w:gridSpan w:val="3"/>
            <w:hideMark/>
          </w:tcPr>
          <w:p w14:paraId="523A0FAB" w14:textId="77777777" w:rsidR="000A55AA" w:rsidRPr="008B3312" w:rsidRDefault="000A55AA">
            <w:pPr>
              <w:rPr>
                <w:rFonts w:ascii="Times New Roman" w:hAnsi="Times New Roman" w:cs="Times New Roman"/>
                <w:sz w:val="20"/>
                <w:szCs w:val="20"/>
              </w:rPr>
            </w:pPr>
            <w:r>
              <w:rPr>
                <w:rFonts w:ascii="Times New Roman" w:hAnsi="Times New Roman"/>
                <w:sz w:val="20"/>
              </w:rPr>
              <w:t>Code réassureur</w:t>
            </w:r>
          </w:p>
        </w:tc>
        <w:tc>
          <w:tcPr>
            <w:tcW w:w="5941" w:type="dxa"/>
            <w:hideMark/>
          </w:tcPr>
          <w:p w14:paraId="1877E279" w14:textId="08F2DA08"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 xml:space="preserve">Code d’identification du réassureur,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5D0064">
              <w:rPr>
                <w:rFonts w:ascii="Times New Roman" w:hAnsi="Times New Roman"/>
                <w:sz w:val="20"/>
              </w:rPr>
              <w:t>l’O</w:t>
            </w:r>
            <w:r w:rsidR="00011FC3">
              <w:rPr>
                <w:rFonts w:ascii="Times New Roman" w:hAnsi="Times New Roman"/>
                <w:sz w:val="20"/>
              </w:rPr>
              <w:t>RPS</w:t>
            </w:r>
            <w:r w:rsidR="0072092D">
              <w:rPr>
                <w:rFonts w:ascii="Times New Roman" w:hAnsi="Times New Roman"/>
                <w:sz w:val="20"/>
              </w:rPr>
              <w:t>.</w:t>
            </w:r>
          </w:p>
          <w:p w14:paraId="4A37FD25" w14:textId="77777777" w:rsidR="000A55AA" w:rsidRPr="008B3312" w:rsidRDefault="000A55AA" w:rsidP="00950116">
            <w:pPr>
              <w:rPr>
                <w:rFonts w:ascii="Times New Roman" w:eastAsia="Times New Roman" w:hAnsi="Times New Roman" w:cs="Times New Roman"/>
                <w:sz w:val="20"/>
                <w:szCs w:val="20"/>
              </w:rPr>
            </w:pPr>
          </w:p>
          <w:p w14:paraId="60F74F54" w14:textId="380B5B57" w:rsidR="000A55AA" w:rsidRPr="008B3312" w:rsidRDefault="000A55AA" w:rsidP="00011FC3">
            <w:pPr>
              <w:ind w:right="175"/>
              <w:rPr>
                <w:rFonts w:ascii="Times New Roman" w:hAnsi="Times New Roman" w:cs="Times New Roman"/>
                <w:sz w:val="20"/>
                <w:szCs w:val="20"/>
              </w:rPr>
            </w:pPr>
            <w:r>
              <w:rPr>
                <w:rFonts w:ascii="Times New Roman" w:hAnsi="Times New Roman"/>
                <w:sz w:val="20"/>
              </w:rPr>
              <w:t xml:space="preserve">Si un code spécifique est attribué par </w:t>
            </w:r>
            <w:r w:rsidR="005D0064">
              <w:rPr>
                <w:rFonts w:ascii="Times New Roman" w:hAnsi="Times New Roman"/>
                <w:sz w:val="20"/>
              </w:rPr>
              <w:t>l’O</w:t>
            </w:r>
            <w:r w:rsidR="00011FC3">
              <w:rPr>
                <w:rFonts w:ascii="Times New Roman" w:hAnsi="Times New Roman"/>
                <w:sz w:val="20"/>
              </w:rPr>
              <w:t>RPS</w:t>
            </w:r>
            <w:r>
              <w:rPr>
                <w:rFonts w:ascii="Times New Roman" w:hAnsi="Times New Roman"/>
                <w:sz w:val="20"/>
              </w:rPr>
              <w:t>, ce code doit être unique pour le réassureur et n’être identique à aucun autre code attribué par l’entreprise ni à aucun code LEI.</w:t>
            </w:r>
          </w:p>
        </w:tc>
      </w:tr>
      <w:tr w:rsidR="000A55AA" w:rsidRPr="008B3312" w14:paraId="5A1EAF70" w14:textId="77777777" w:rsidTr="00950116">
        <w:trPr>
          <w:trHeight w:val="1055"/>
        </w:trPr>
        <w:tc>
          <w:tcPr>
            <w:tcW w:w="1213" w:type="dxa"/>
            <w:gridSpan w:val="2"/>
          </w:tcPr>
          <w:p w14:paraId="645DF5D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C0060</w:t>
            </w:r>
          </w:p>
        </w:tc>
        <w:tc>
          <w:tcPr>
            <w:tcW w:w="2026" w:type="dxa"/>
            <w:gridSpan w:val="2"/>
          </w:tcPr>
          <w:p w14:paraId="03AE65D9" w14:textId="77777777" w:rsidR="000A55AA" w:rsidRPr="008B3312" w:rsidRDefault="000A55AA" w:rsidP="00950116">
            <w:pPr>
              <w:ind w:right="-1286"/>
              <w:rPr>
                <w:rFonts w:ascii="Times New Roman" w:hAnsi="Times New Roman" w:cs="Times New Roman"/>
                <w:sz w:val="20"/>
                <w:szCs w:val="20"/>
              </w:rPr>
            </w:pPr>
            <w:r>
              <w:rPr>
                <w:rFonts w:ascii="Times New Roman" w:hAnsi="Times New Roman"/>
                <w:sz w:val="20"/>
              </w:rPr>
              <w:t xml:space="preserve">Type de code </w:t>
            </w:r>
          </w:p>
          <w:p w14:paraId="5485F6A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Réassureur</w:t>
            </w:r>
          </w:p>
        </w:tc>
        <w:tc>
          <w:tcPr>
            <w:tcW w:w="5941" w:type="dxa"/>
          </w:tcPr>
          <w:p w14:paraId="3253F65A" w14:textId="77777777" w:rsidR="000A55AA" w:rsidRPr="008B3312" w:rsidRDefault="000A55AA" w:rsidP="00950116">
            <w:pPr>
              <w:ind w:right="175"/>
              <w:rPr>
                <w:rFonts w:ascii="Times New Roman" w:hAnsi="Times New Roman" w:cs="Times New Roman"/>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réassureur». </w:t>
            </w: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color w:val="000000"/>
                <w:sz w:val="20"/>
              </w:rPr>
              <w:t xml:space="preserve">1 – LEI </w:t>
            </w:r>
            <w:r w:rsidR="00FE79E2">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0A55AA" w:rsidRPr="008B3312" w14:paraId="5734966D" w14:textId="77777777" w:rsidTr="00950116">
        <w:trPr>
          <w:trHeight w:val="315"/>
        </w:trPr>
        <w:tc>
          <w:tcPr>
            <w:tcW w:w="1191" w:type="dxa"/>
            <w:hideMark/>
          </w:tcPr>
          <w:p w14:paraId="663D463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lastRenderedPageBreak/>
              <w:t>C0070</w:t>
            </w:r>
          </w:p>
        </w:tc>
        <w:tc>
          <w:tcPr>
            <w:tcW w:w="2048" w:type="dxa"/>
            <w:gridSpan w:val="3"/>
            <w:hideMark/>
          </w:tcPr>
          <w:p w14:paraId="57BC50E0" w14:textId="77777777" w:rsidR="000A55AA" w:rsidRPr="008B3312" w:rsidRDefault="000A55AA">
            <w:pPr>
              <w:rPr>
                <w:rFonts w:ascii="Times New Roman" w:hAnsi="Times New Roman" w:cs="Times New Roman"/>
                <w:sz w:val="20"/>
                <w:szCs w:val="20"/>
              </w:rPr>
            </w:pPr>
            <w:r>
              <w:rPr>
                <w:rFonts w:ascii="Times New Roman" w:hAnsi="Times New Roman"/>
                <w:sz w:val="20"/>
              </w:rPr>
              <w:t>Code courtier</w:t>
            </w:r>
          </w:p>
        </w:tc>
        <w:tc>
          <w:tcPr>
            <w:tcW w:w="5941" w:type="dxa"/>
            <w:hideMark/>
          </w:tcPr>
          <w:p w14:paraId="6E777C7C" w14:textId="4D1267F9" w:rsidR="000A55AA" w:rsidRPr="008B3312" w:rsidRDefault="000A55AA" w:rsidP="00950116">
            <w:pPr>
              <w:tabs>
                <w:tab w:val="left" w:pos="5945"/>
              </w:tabs>
              <w:ind w:right="156"/>
              <w:rPr>
                <w:rFonts w:ascii="Times New Roman" w:eastAsia="Times New Roman" w:hAnsi="Times New Roman" w:cs="Times New Roman"/>
                <w:sz w:val="20"/>
                <w:szCs w:val="20"/>
              </w:rPr>
            </w:pPr>
            <w:r>
              <w:rPr>
                <w:rFonts w:ascii="Times New Roman" w:hAnsi="Times New Roman"/>
                <w:sz w:val="20"/>
              </w:rPr>
              <w:t xml:space="preserve">Code d’identification du courtier,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5D0064">
              <w:rPr>
                <w:rFonts w:ascii="Times New Roman" w:hAnsi="Times New Roman"/>
                <w:sz w:val="20"/>
              </w:rPr>
              <w:t>l’O</w:t>
            </w:r>
            <w:r w:rsidR="00011FC3">
              <w:rPr>
                <w:rFonts w:ascii="Times New Roman" w:hAnsi="Times New Roman"/>
                <w:sz w:val="20"/>
              </w:rPr>
              <w:t>RPS</w:t>
            </w:r>
            <w:r w:rsidR="0072092D">
              <w:rPr>
                <w:rFonts w:ascii="Times New Roman" w:hAnsi="Times New Roman"/>
                <w:sz w:val="20"/>
              </w:rPr>
              <w:t>.</w:t>
            </w:r>
          </w:p>
          <w:p w14:paraId="78EF9C73" w14:textId="77777777" w:rsidR="000A55AA" w:rsidRPr="008B3312" w:rsidRDefault="000A55AA" w:rsidP="00950116">
            <w:pPr>
              <w:tabs>
                <w:tab w:val="left" w:pos="5945"/>
              </w:tabs>
              <w:ind w:right="156"/>
              <w:rPr>
                <w:rFonts w:ascii="Times New Roman" w:eastAsia="Times New Roman" w:hAnsi="Times New Roman" w:cs="Times New Roman"/>
                <w:sz w:val="20"/>
                <w:szCs w:val="20"/>
              </w:rPr>
            </w:pPr>
          </w:p>
          <w:p w14:paraId="1B51EE47" w14:textId="77777777"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Si un code spécifique est attribué par l’entreprise, ce code doit être unique pour le courtier et n’être identique à aucun autre code attribué par l’entreprise ni à aucun code LEI.</w:t>
            </w:r>
          </w:p>
          <w:p w14:paraId="312ECF11" w14:textId="77777777" w:rsidR="000A55AA" w:rsidRPr="008B3312" w:rsidRDefault="000A55AA" w:rsidP="00950116">
            <w:pPr>
              <w:tabs>
                <w:tab w:val="left" w:pos="5945"/>
              </w:tabs>
              <w:ind w:right="156"/>
              <w:rPr>
                <w:rFonts w:ascii="Times New Roman" w:hAnsi="Times New Roman" w:cs="Times New Roman"/>
                <w:sz w:val="20"/>
                <w:szCs w:val="20"/>
              </w:rPr>
            </w:pPr>
          </w:p>
          <w:p w14:paraId="6BCA9EA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Si plusieurs courtiers ont participé au placement de la réassurance, n’indiquer que le principal courtier dominant.</w:t>
            </w:r>
          </w:p>
        </w:tc>
      </w:tr>
      <w:tr w:rsidR="000A55AA" w:rsidRPr="008B3312" w14:paraId="2E4477F8" w14:textId="77777777" w:rsidTr="00950116">
        <w:trPr>
          <w:trHeight w:val="792"/>
        </w:trPr>
        <w:tc>
          <w:tcPr>
            <w:tcW w:w="1191" w:type="dxa"/>
          </w:tcPr>
          <w:p w14:paraId="177BAAE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C0080</w:t>
            </w:r>
          </w:p>
        </w:tc>
        <w:tc>
          <w:tcPr>
            <w:tcW w:w="2048" w:type="dxa"/>
            <w:gridSpan w:val="3"/>
          </w:tcPr>
          <w:p w14:paraId="7E57B7C1" w14:textId="77777777" w:rsidR="000A55AA" w:rsidRPr="008B3312" w:rsidRDefault="000A55AA">
            <w:pPr>
              <w:rPr>
                <w:rFonts w:ascii="Times New Roman" w:hAnsi="Times New Roman" w:cs="Times New Roman"/>
                <w:sz w:val="20"/>
                <w:szCs w:val="20"/>
              </w:rPr>
            </w:pPr>
            <w:r>
              <w:rPr>
                <w:rFonts w:ascii="Times New Roman" w:hAnsi="Times New Roman"/>
                <w:sz w:val="20"/>
              </w:rPr>
              <w:t>Type de code du courtier</w:t>
            </w:r>
          </w:p>
        </w:tc>
        <w:tc>
          <w:tcPr>
            <w:tcW w:w="5941" w:type="dxa"/>
          </w:tcPr>
          <w:p w14:paraId="06315988" w14:textId="77777777" w:rsidR="000A55AA" w:rsidRPr="008B3312" w:rsidRDefault="000A55AA" w:rsidP="00950116">
            <w:pPr>
              <w:rPr>
                <w:rFonts w:ascii="Times New Roman" w:hAnsi="Times New Roman" w:cs="Times New Roman"/>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courtier».</w:t>
            </w:r>
            <w:r w:rsidR="00FE79E2">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sidR="00FE79E2">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0A55AA" w:rsidRPr="008B3312" w14:paraId="4432FC39" w14:textId="77777777" w:rsidTr="00950116">
        <w:trPr>
          <w:trHeight w:val="1542"/>
        </w:trPr>
        <w:tc>
          <w:tcPr>
            <w:tcW w:w="1191" w:type="dxa"/>
            <w:hideMark/>
          </w:tcPr>
          <w:p w14:paraId="13BB3C7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C0090</w:t>
            </w:r>
          </w:p>
        </w:tc>
        <w:tc>
          <w:tcPr>
            <w:tcW w:w="2048" w:type="dxa"/>
            <w:gridSpan w:val="3"/>
            <w:hideMark/>
          </w:tcPr>
          <w:p w14:paraId="110B4CC4" w14:textId="77777777" w:rsidR="000A55AA" w:rsidRPr="008B3312" w:rsidRDefault="000A55AA">
            <w:pPr>
              <w:rPr>
                <w:rFonts w:ascii="Times New Roman" w:hAnsi="Times New Roman" w:cs="Times New Roman"/>
                <w:sz w:val="20"/>
                <w:szCs w:val="20"/>
              </w:rPr>
            </w:pPr>
            <w:r>
              <w:rPr>
                <w:rFonts w:ascii="Times New Roman" w:hAnsi="Times New Roman"/>
                <w:sz w:val="20"/>
              </w:rPr>
              <w:t>Code d’activité courtier</w:t>
            </w:r>
          </w:p>
          <w:p w14:paraId="798CC32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w:t>
            </w:r>
          </w:p>
        </w:tc>
        <w:tc>
          <w:tcPr>
            <w:tcW w:w="5941" w:type="dxa"/>
            <w:hideMark/>
          </w:tcPr>
          <w:p w14:paraId="2826D79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Représente les activités du courtier concerné, du point de vue de l’entreprise. Si le courtier combine plusieurs activités, les mentionner toutes, séparées par des virgules. </w:t>
            </w:r>
          </w:p>
          <w:p w14:paraId="752915B7" w14:textId="77777777" w:rsidR="000A55AA" w:rsidRPr="008B3312" w:rsidRDefault="0072092D" w:rsidP="00950116">
            <w:pPr>
              <w:rPr>
                <w:rFonts w:ascii="Times New Roman" w:hAnsi="Times New Roman" w:cs="Times New Roman"/>
                <w:sz w:val="20"/>
                <w:szCs w:val="20"/>
              </w:rPr>
            </w:pPr>
            <w:r>
              <w:rPr>
                <w:rFonts w:ascii="Times New Roman" w:hAnsi="Times New Roman"/>
                <w:sz w:val="20"/>
              </w:rPr>
              <w:t>– Intermédiaire de placement</w:t>
            </w:r>
            <w:r w:rsidR="00FE79E2">
              <w:rPr>
                <w:rFonts w:ascii="Times New Roman" w:hAnsi="Times New Roman" w:cs="Times New Roman"/>
                <w:sz w:val="20"/>
                <w:szCs w:val="20"/>
              </w:rPr>
              <w:br/>
            </w:r>
            <w:r>
              <w:rPr>
                <w:rFonts w:ascii="Times New Roman" w:hAnsi="Times New Roman"/>
                <w:sz w:val="20"/>
              </w:rPr>
              <w:t>– Souscription pour compte de</w:t>
            </w:r>
            <w:r w:rsidR="00FE79E2">
              <w:rPr>
                <w:rFonts w:ascii="Times New Roman" w:hAnsi="Times New Roman" w:cs="Times New Roman"/>
                <w:sz w:val="20"/>
                <w:szCs w:val="20"/>
              </w:rPr>
              <w:br/>
            </w:r>
            <w:r>
              <w:rPr>
                <w:rFonts w:ascii="Times New Roman" w:hAnsi="Times New Roman"/>
                <w:sz w:val="20"/>
              </w:rPr>
              <w:t>– Services financiers</w:t>
            </w:r>
          </w:p>
        </w:tc>
      </w:tr>
      <w:tr w:rsidR="000A55AA" w:rsidRPr="008B3312" w14:paraId="3F59C156" w14:textId="77777777" w:rsidTr="00950116">
        <w:trPr>
          <w:trHeight w:val="615"/>
        </w:trPr>
        <w:tc>
          <w:tcPr>
            <w:tcW w:w="1191" w:type="dxa"/>
            <w:hideMark/>
          </w:tcPr>
          <w:p w14:paraId="73030287"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C0100</w:t>
            </w:r>
          </w:p>
        </w:tc>
        <w:tc>
          <w:tcPr>
            <w:tcW w:w="2048" w:type="dxa"/>
            <w:gridSpan w:val="3"/>
            <w:tcBorders>
              <w:bottom w:val="single" w:sz="4" w:space="0" w:color="auto"/>
            </w:tcBorders>
            <w:hideMark/>
          </w:tcPr>
          <w:p w14:paraId="5584DD7E" w14:textId="77777777" w:rsidR="000A55AA" w:rsidRPr="008B3312" w:rsidRDefault="000A55AA">
            <w:pPr>
              <w:rPr>
                <w:rFonts w:ascii="Times New Roman" w:hAnsi="Times New Roman" w:cs="Times New Roman"/>
                <w:sz w:val="20"/>
                <w:szCs w:val="20"/>
              </w:rPr>
            </w:pPr>
            <w:r>
              <w:rPr>
                <w:rFonts w:ascii="Times New Roman" w:hAnsi="Times New Roman"/>
                <w:sz w:val="20"/>
              </w:rPr>
              <w:t>Part réassureur (%)</w:t>
            </w:r>
          </w:p>
        </w:tc>
        <w:tc>
          <w:tcPr>
            <w:tcW w:w="5941" w:type="dxa"/>
            <w:hideMark/>
          </w:tcPr>
          <w:p w14:paraId="65320CB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Pourcentage du traité de réassurance accepté par réassureur indiqué en C0050, exprimé en pourcentage absolu du placement du traité.</w:t>
            </w:r>
          </w:p>
          <w:p w14:paraId="4C1E3EB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À déclarer en valeur décimale.</w:t>
            </w:r>
          </w:p>
        </w:tc>
      </w:tr>
      <w:tr w:rsidR="000A55AA" w:rsidRPr="008B3312" w14:paraId="22DA5EDF" w14:textId="77777777" w:rsidTr="00950116">
        <w:trPr>
          <w:trHeight w:val="1380"/>
        </w:trPr>
        <w:tc>
          <w:tcPr>
            <w:tcW w:w="1191" w:type="dxa"/>
            <w:hideMark/>
          </w:tcPr>
          <w:p w14:paraId="715AD09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C0110</w:t>
            </w:r>
          </w:p>
        </w:tc>
        <w:tc>
          <w:tcPr>
            <w:tcW w:w="2048" w:type="dxa"/>
            <w:gridSpan w:val="3"/>
            <w:hideMark/>
          </w:tcPr>
          <w:p w14:paraId="440019BA" w14:textId="77777777" w:rsidR="000A55AA" w:rsidRPr="008B3312" w:rsidRDefault="000A55AA">
            <w:pPr>
              <w:rPr>
                <w:rFonts w:ascii="Times New Roman" w:hAnsi="Times New Roman" w:cs="Times New Roman"/>
                <w:sz w:val="20"/>
                <w:szCs w:val="20"/>
              </w:rPr>
            </w:pPr>
            <w:r>
              <w:rPr>
                <w:rFonts w:ascii="Times New Roman" w:hAnsi="Times New Roman"/>
                <w:sz w:val="20"/>
              </w:rPr>
              <w:t>Exposition cédée pour la part du réassureur</w:t>
            </w:r>
          </w:p>
        </w:tc>
        <w:tc>
          <w:tcPr>
            <w:tcW w:w="5941" w:type="dxa"/>
            <w:hideMark/>
          </w:tcPr>
          <w:p w14:paraId="52E7C052" w14:textId="5D178DEF"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Montant de l’exposition réassurée auprès du réassureur. Ce montant est basé sur la couverture maximale par risque/événement et est calculé selon la </w:t>
            </w:r>
            <w:proofErr w:type="gramStart"/>
            <w:r>
              <w:rPr>
                <w:rFonts w:ascii="Times New Roman" w:hAnsi="Times New Roman"/>
                <w:sz w:val="20"/>
              </w:rPr>
              <w:t>formule:</w:t>
            </w:r>
            <w:proofErr w:type="gramEnd"/>
            <w:r>
              <w:rPr>
                <w:rFonts w:ascii="Times New Roman" w:hAnsi="Times New Roman"/>
                <w:sz w:val="20"/>
              </w:rPr>
              <w:t xml:space="preserve"> Couverture maximale de l’élément par risque ou événement (déclarée au point C0230 de </w:t>
            </w:r>
            <w:r w:rsidR="00126B85">
              <w:rPr>
                <w:rFonts w:ascii="Times New Roman" w:hAnsi="Times New Roman"/>
                <w:sz w:val="20"/>
              </w:rPr>
              <w:t>RP.3</w:t>
            </w:r>
            <w:r>
              <w:rPr>
                <w:rFonts w:ascii="Times New Roman" w:hAnsi="Times New Roman"/>
                <w:sz w:val="20"/>
              </w:rPr>
              <w:t xml:space="preserve">0.03) × part de l’élément du réassureur (%) (déclarée en C0100 de 30.04). </w:t>
            </w:r>
          </w:p>
          <w:p w14:paraId="1FC9FC22" w14:textId="6BACE71C"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Si en C0230 du modèle </w:t>
            </w:r>
            <w:r w:rsidR="00126B85">
              <w:rPr>
                <w:rFonts w:ascii="Times New Roman" w:hAnsi="Times New Roman"/>
                <w:sz w:val="20"/>
              </w:rPr>
              <w:t>RP.3</w:t>
            </w:r>
            <w:r>
              <w:rPr>
                <w:rFonts w:ascii="Times New Roman" w:hAnsi="Times New Roman"/>
                <w:sz w:val="20"/>
              </w:rPr>
              <w:t>0.03, la valeur est</w:t>
            </w:r>
            <w:proofErr w:type="gramStart"/>
            <w:r>
              <w:rPr>
                <w:rFonts w:ascii="Times New Roman" w:hAnsi="Times New Roman"/>
                <w:sz w:val="20"/>
              </w:rPr>
              <w:t xml:space="preserve"> «illimité</w:t>
            </w:r>
            <w:r w:rsidR="00F820E5">
              <w:rPr>
                <w:rFonts w:ascii="Times New Roman" w:hAnsi="Times New Roman"/>
                <w:sz w:val="20"/>
              </w:rPr>
              <w:t>e</w:t>
            </w:r>
            <w:proofErr w:type="gramEnd"/>
            <w:r>
              <w:rPr>
                <w:rFonts w:ascii="Times New Roman" w:hAnsi="Times New Roman"/>
                <w:sz w:val="20"/>
              </w:rPr>
              <w:t>», indiquer «-1» dans cette cellule.</w:t>
            </w:r>
          </w:p>
        </w:tc>
      </w:tr>
      <w:tr w:rsidR="000A55AA" w:rsidRPr="008B3312" w14:paraId="5AB22BE1" w14:textId="77777777" w:rsidTr="00950116">
        <w:trPr>
          <w:trHeight w:val="1427"/>
        </w:trPr>
        <w:tc>
          <w:tcPr>
            <w:tcW w:w="1191" w:type="dxa"/>
          </w:tcPr>
          <w:p w14:paraId="2E76658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C0120</w:t>
            </w:r>
          </w:p>
        </w:tc>
        <w:tc>
          <w:tcPr>
            <w:tcW w:w="2048" w:type="dxa"/>
            <w:gridSpan w:val="3"/>
          </w:tcPr>
          <w:p w14:paraId="0F21E80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Type de sûreté (le cas échéant)</w:t>
            </w:r>
          </w:p>
        </w:tc>
        <w:tc>
          <w:tcPr>
            <w:tcW w:w="5941" w:type="dxa"/>
          </w:tcPr>
          <w:p w14:paraId="22D005CE"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 xml:space="preserve">Le type de sûreté détenue. Choisir impérativement l’une des options </w:t>
            </w:r>
            <w:proofErr w:type="gramStart"/>
            <w:r>
              <w:rPr>
                <w:rFonts w:ascii="Times New Roman" w:hAnsi="Times New Roman"/>
                <w:sz w:val="20"/>
              </w:rPr>
              <w:t>suivantes:</w:t>
            </w:r>
            <w:proofErr w:type="gramEnd"/>
          </w:p>
          <w:p w14:paraId="217B6377"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1 – Liquidités ou équivalent en fiducie</w:t>
            </w:r>
          </w:p>
          <w:p w14:paraId="15A3857B"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2 – Liquidités ou équivalent conservé</w:t>
            </w:r>
          </w:p>
          <w:p w14:paraId="3D446A78"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3 – Lettre de crédit</w:t>
            </w:r>
          </w:p>
          <w:p w14:paraId="04B54C92"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4 – Autre</w:t>
            </w:r>
          </w:p>
          <w:p w14:paraId="3A4741C0"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5 – Aucune</w:t>
            </w:r>
          </w:p>
        </w:tc>
      </w:tr>
      <w:tr w:rsidR="000A55AA" w:rsidRPr="008B3312" w14:paraId="227CFA14" w14:textId="77777777" w:rsidTr="00950116">
        <w:trPr>
          <w:trHeight w:val="916"/>
        </w:trPr>
        <w:tc>
          <w:tcPr>
            <w:tcW w:w="1191" w:type="dxa"/>
          </w:tcPr>
          <w:p w14:paraId="004A3B5F"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C0130</w:t>
            </w:r>
          </w:p>
        </w:tc>
        <w:tc>
          <w:tcPr>
            <w:tcW w:w="2048" w:type="dxa"/>
            <w:gridSpan w:val="3"/>
          </w:tcPr>
          <w:p w14:paraId="3AD45CD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Description de la limite de la sûreté des réassureurs </w:t>
            </w:r>
          </w:p>
        </w:tc>
        <w:tc>
          <w:tcPr>
            <w:tcW w:w="5941" w:type="dxa"/>
          </w:tcPr>
          <w:p w14:paraId="7FF9855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Description de la limite de la sûreté du réassureur, pour l’élément spécifique indiqué dans le traité (par exemple, 90 % des provisions techniques ou 90 % des primes), s’il y a lieu.</w:t>
            </w:r>
          </w:p>
        </w:tc>
      </w:tr>
      <w:tr w:rsidR="000A55AA" w:rsidRPr="008B3312" w14:paraId="7476A151" w14:textId="77777777" w:rsidTr="00950116">
        <w:trPr>
          <w:trHeight w:val="300"/>
        </w:trPr>
        <w:tc>
          <w:tcPr>
            <w:tcW w:w="1191" w:type="dxa"/>
          </w:tcPr>
          <w:p w14:paraId="2F928FD5"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C0140</w:t>
            </w:r>
          </w:p>
        </w:tc>
        <w:tc>
          <w:tcPr>
            <w:tcW w:w="2048" w:type="dxa"/>
            <w:gridSpan w:val="3"/>
          </w:tcPr>
          <w:p w14:paraId="24A4AB8F" w14:textId="77777777" w:rsidR="000A55AA" w:rsidRPr="008B3312" w:rsidRDefault="000A55AA">
            <w:pPr>
              <w:rPr>
                <w:rFonts w:ascii="Times New Roman" w:hAnsi="Times New Roman" w:cs="Times New Roman"/>
                <w:sz w:val="20"/>
                <w:szCs w:val="20"/>
              </w:rPr>
            </w:pPr>
            <w:r>
              <w:rPr>
                <w:rFonts w:ascii="Times New Roman" w:hAnsi="Times New Roman"/>
                <w:sz w:val="20"/>
              </w:rPr>
              <w:t>Code du fournisseur de la sûreté (le cas échéant)</w:t>
            </w:r>
          </w:p>
        </w:tc>
        <w:tc>
          <w:tcPr>
            <w:tcW w:w="5941" w:type="dxa"/>
          </w:tcPr>
          <w:p w14:paraId="5C5643DF" w14:textId="2EC8F491" w:rsidR="000A55AA" w:rsidRPr="008B3312" w:rsidRDefault="000A55AA" w:rsidP="00950116">
            <w:pPr>
              <w:rPr>
                <w:rFonts w:ascii="Times New Roman" w:hAnsi="Times New Roman" w:cs="Times New Roman"/>
                <w:sz w:val="20"/>
                <w:szCs w:val="20"/>
              </w:rPr>
            </w:pPr>
            <w:r>
              <w:rPr>
                <w:rFonts w:ascii="Times New Roman" w:hAnsi="Times New Roman"/>
                <w:sz w:val="20"/>
              </w:rPr>
              <w:t>Identification au moyen du code LEI s’il est disponible.</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0A55AA" w:rsidRPr="008B3312" w14:paraId="18421581" w14:textId="77777777" w:rsidTr="00950116">
        <w:trPr>
          <w:trHeight w:val="300"/>
        </w:trPr>
        <w:tc>
          <w:tcPr>
            <w:tcW w:w="1191" w:type="dxa"/>
          </w:tcPr>
          <w:p w14:paraId="0617A26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C0150</w:t>
            </w:r>
          </w:p>
        </w:tc>
        <w:tc>
          <w:tcPr>
            <w:tcW w:w="2048" w:type="dxa"/>
            <w:gridSpan w:val="3"/>
          </w:tcPr>
          <w:p w14:paraId="53BF0F21" w14:textId="77777777" w:rsidR="000A55AA" w:rsidRPr="008B3312" w:rsidRDefault="000A55AA">
            <w:pPr>
              <w:rPr>
                <w:rFonts w:ascii="Times New Roman" w:hAnsi="Times New Roman" w:cs="Times New Roman"/>
                <w:sz w:val="20"/>
                <w:szCs w:val="20"/>
              </w:rPr>
            </w:pPr>
            <w:r>
              <w:rPr>
                <w:rFonts w:ascii="Times New Roman" w:hAnsi="Times New Roman"/>
                <w:sz w:val="20"/>
              </w:rPr>
              <w:t>Type de code du fournisseur de la sûreté</w:t>
            </w:r>
          </w:p>
        </w:tc>
        <w:tc>
          <w:tcPr>
            <w:tcW w:w="5941" w:type="dxa"/>
          </w:tcPr>
          <w:p w14:paraId="63B45587" w14:textId="77777777" w:rsidR="000A55AA" w:rsidRPr="008B3312" w:rsidRDefault="000A55AA">
            <w:pPr>
              <w:rPr>
                <w:rFonts w:ascii="Times New Roman" w:hAnsi="Times New Roman" w:cs="Times New Roman"/>
                <w:sz w:val="20"/>
                <w:szCs w:val="20"/>
              </w:rPr>
            </w:pPr>
            <w:r>
              <w:rPr>
                <w:rFonts w:ascii="Times New Roman" w:hAnsi="Times New Roman"/>
                <w:color w:val="000000"/>
                <w:sz w:val="20"/>
              </w:rPr>
              <w:t>Identification du code utilisé sous</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du fournisseur de la sûreté (le cas échéant)».</w:t>
            </w:r>
            <w:r w:rsidR="00FE79E2">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sidR="00FE79E2">
              <w:rPr>
                <w:rFonts w:ascii="Times New Roman" w:eastAsia="Times New Roman" w:hAnsi="Times New Roman" w:cs="Times New Roman"/>
                <w:color w:val="000000"/>
                <w:sz w:val="20"/>
                <w:szCs w:val="20"/>
              </w:rPr>
              <w:br/>
            </w:r>
            <w:r>
              <w:rPr>
                <w:rFonts w:ascii="Times New Roman" w:hAnsi="Times New Roman"/>
                <w:color w:val="000000"/>
                <w:sz w:val="20"/>
              </w:rPr>
              <w:t>9 – Aucun</w:t>
            </w:r>
          </w:p>
        </w:tc>
      </w:tr>
      <w:tr w:rsidR="000A55AA" w:rsidRPr="008B3312" w14:paraId="427EFFEC" w14:textId="77777777" w:rsidTr="00950116">
        <w:trPr>
          <w:trHeight w:val="509"/>
        </w:trPr>
        <w:tc>
          <w:tcPr>
            <w:tcW w:w="1191" w:type="dxa"/>
            <w:vMerge w:val="restart"/>
            <w:hideMark/>
          </w:tcPr>
          <w:p w14:paraId="3A3FBA33"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C0160</w:t>
            </w:r>
          </w:p>
        </w:tc>
        <w:tc>
          <w:tcPr>
            <w:tcW w:w="2048" w:type="dxa"/>
            <w:gridSpan w:val="3"/>
            <w:vMerge w:val="restart"/>
            <w:hideMark/>
          </w:tcPr>
          <w:p w14:paraId="39D7032E" w14:textId="77777777" w:rsidR="000A55AA" w:rsidRPr="008B3312" w:rsidRDefault="000A55AA">
            <w:pPr>
              <w:rPr>
                <w:rFonts w:ascii="Times New Roman" w:hAnsi="Times New Roman" w:cs="Times New Roman"/>
                <w:sz w:val="20"/>
                <w:szCs w:val="20"/>
              </w:rPr>
            </w:pPr>
            <w:r>
              <w:rPr>
                <w:rFonts w:ascii="Times New Roman" w:hAnsi="Times New Roman"/>
                <w:sz w:val="20"/>
              </w:rPr>
              <w:t>Estimation de la prime de réassurance sortante pour la part du réassureur</w:t>
            </w:r>
          </w:p>
        </w:tc>
        <w:tc>
          <w:tcPr>
            <w:tcW w:w="5941" w:type="dxa"/>
            <w:vMerge w:val="restart"/>
            <w:hideMark/>
          </w:tcPr>
          <w:p w14:paraId="08A1CE96" w14:textId="092E6341"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La prime de réassurance brute estimée du traité à payer par l’entreprise pour l’année de déclaration suivante (N + 1) pour la part de chaque réassureur. Ce montant est calculé conformément aux exemples suivants:  </w:t>
            </w:r>
            <w:r w:rsidR="00FE79E2">
              <w:rPr>
                <w:rFonts w:ascii="Times New Roman" w:hAnsi="Times New Roman" w:cs="Times New Roman"/>
                <w:sz w:val="20"/>
                <w:szCs w:val="20"/>
              </w:rPr>
              <w:br/>
            </w:r>
            <w:r>
              <w:rPr>
                <w:rFonts w:ascii="Times New Roman" w:hAnsi="Times New Roman"/>
                <w:sz w:val="20"/>
              </w:rPr>
              <w:t xml:space="preserve">  Cas 1: pour les traités en quote-part et en excédent de perte: la part déclarée en Part réassureur (C0100), multipliée par l’élément Chiffre d’affaires brut estimé de la prime du traité (C0160) déclaré en </w:t>
            </w:r>
            <w:r w:rsidR="00126B85">
              <w:rPr>
                <w:rFonts w:ascii="Times New Roman" w:hAnsi="Times New Roman"/>
                <w:sz w:val="20"/>
              </w:rPr>
              <w:t>RP.3</w:t>
            </w:r>
            <w:r>
              <w:rPr>
                <w:rFonts w:ascii="Times New Roman" w:hAnsi="Times New Roman"/>
                <w:sz w:val="20"/>
              </w:rPr>
              <w:t>0.03.</w:t>
            </w:r>
            <w:r w:rsidR="00FE79E2">
              <w:rPr>
                <w:rFonts w:ascii="Times New Roman" w:hAnsi="Times New Roman" w:cs="Times New Roman"/>
                <w:sz w:val="20"/>
                <w:szCs w:val="20"/>
              </w:rPr>
              <w:br/>
            </w:r>
            <w:r w:rsidR="00FE79E2">
              <w:rPr>
                <w:rFonts w:ascii="Times New Roman" w:hAnsi="Times New Roman" w:cs="Times New Roman"/>
                <w:sz w:val="20"/>
                <w:szCs w:val="20"/>
              </w:rPr>
              <w:lastRenderedPageBreak/>
              <w:br/>
            </w:r>
            <w:r>
              <w:rPr>
                <w:rFonts w:ascii="Times New Roman" w:hAnsi="Times New Roman"/>
                <w:sz w:val="20"/>
              </w:rPr>
              <w:t xml:space="preserve">  Cas 2: pour les traités en excédent de plein si le traité prévoit un taux fixe: le taux déclaré en Excédent de plein taux 1 (C0360) déclaré en </w:t>
            </w:r>
            <w:r w:rsidR="00126B85">
              <w:rPr>
                <w:rFonts w:ascii="Times New Roman" w:hAnsi="Times New Roman"/>
                <w:sz w:val="20"/>
              </w:rPr>
              <w:t>RP.3</w:t>
            </w:r>
            <w:r>
              <w:rPr>
                <w:rFonts w:ascii="Times New Roman" w:hAnsi="Times New Roman"/>
                <w:sz w:val="20"/>
              </w:rPr>
              <w:t xml:space="preserve">0.03, multiplié par l’élément Chiffre d’affaires estimé prime de base (C0150) déclaré en </w:t>
            </w:r>
            <w:r w:rsidR="00126B85">
              <w:rPr>
                <w:rFonts w:ascii="Times New Roman" w:hAnsi="Times New Roman"/>
                <w:sz w:val="20"/>
              </w:rPr>
              <w:t>RP.3</w:t>
            </w:r>
            <w:r>
              <w:rPr>
                <w:rFonts w:ascii="Times New Roman" w:hAnsi="Times New Roman"/>
                <w:sz w:val="20"/>
              </w:rPr>
              <w:t>0.03, multiplié par la part déclarée en Part réassureur (C0100).</w:t>
            </w:r>
            <w:r w:rsidR="00FE79E2">
              <w:rPr>
                <w:rFonts w:ascii="Times New Roman" w:hAnsi="Times New Roman" w:cs="Times New Roman"/>
                <w:sz w:val="20"/>
                <w:szCs w:val="20"/>
              </w:rPr>
              <w:br/>
            </w:r>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Cas 3: pour les traités en excédent de plein si le traité prévoit un taux glissant: le taux déclaré en Excédent de plein taux 2 (C0370) déclaré en </w:t>
            </w:r>
            <w:r w:rsidR="00126B85">
              <w:rPr>
                <w:rFonts w:ascii="Times New Roman" w:hAnsi="Times New Roman"/>
                <w:sz w:val="20"/>
              </w:rPr>
              <w:t>RP.3</w:t>
            </w:r>
            <w:r>
              <w:rPr>
                <w:rFonts w:ascii="Times New Roman" w:hAnsi="Times New Roman"/>
                <w:sz w:val="20"/>
              </w:rPr>
              <w:t xml:space="preserve">0.03, multiplié par l’élément Chiffre d’affaires estimé prime de base (C0150) déclaré en </w:t>
            </w:r>
            <w:r w:rsidR="00126B85">
              <w:rPr>
                <w:rFonts w:ascii="Times New Roman" w:hAnsi="Times New Roman"/>
                <w:sz w:val="20"/>
              </w:rPr>
              <w:t>RP.3</w:t>
            </w:r>
            <w:r>
              <w:rPr>
                <w:rFonts w:ascii="Times New Roman" w:hAnsi="Times New Roman"/>
                <w:sz w:val="20"/>
              </w:rPr>
              <w:t>0.03, multiplié par la part déclarée en Part réassureur (C0100).</w:t>
            </w:r>
          </w:p>
        </w:tc>
      </w:tr>
      <w:tr w:rsidR="000A55AA" w:rsidRPr="008B3312" w14:paraId="59B1E63D" w14:textId="77777777" w:rsidTr="00950116">
        <w:trPr>
          <w:trHeight w:val="509"/>
        </w:trPr>
        <w:tc>
          <w:tcPr>
            <w:tcW w:w="1191" w:type="dxa"/>
            <w:vMerge/>
            <w:hideMark/>
          </w:tcPr>
          <w:p w14:paraId="1D2CD9C0" w14:textId="77777777" w:rsidR="000A55AA" w:rsidRPr="008B3312" w:rsidRDefault="000A55AA">
            <w:pPr>
              <w:rPr>
                <w:rFonts w:ascii="Times New Roman" w:hAnsi="Times New Roman" w:cs="Times New Roman"/>
                <w:sz w:val="20"/>
                <w:szCs w:val="20"/>
              </w:rPr>
            </w:pPr>
          </w:p>
        </w:tc>
        <w:tc>
          <w:tcPr>
            <w:tcW w:w="2048" w:type="dxa"/>
            <w:gridSpan w:val="3"/>
            <w:vMerge/>
            <w:hideMark/>
          </w:tcPr>
          <w:p w14:paraId="5CAA6C7F" w14:textId="77777777" w:rsidR="000A55AA" w:rsidRPr="008B3312" w:rsidRDefault="000A55AA">
            <w:pPr>
              <w:rPr>
                <w:rFonts w:ascii="Times New Roman" w:hAnsi="Times New Roman" w:cs="Times New Roman"/>
                <w:sz w:val="20"/>
                <w:szCs w:val="20"/>
              </w:rPr>
            </w:pPr>
          </w:p>
        </w:tc>
        <w:tc>
          <w:tcPr>
            <w:tcW w:w="5941" w:type="dxa"/>
            <w:vMerge/>
            <w:hideMark/>
          </w:tcPr>
          <w:p w14:paraId="1111247F" w14:textId="77777777" w:rsidR="000A55AA" w:rsidRPr="008B3312" w:rsidRDefault="000A55AA">
            <w:pPr>
              <w:rPr>
                <w:rFonts w:ascii="Times New Roman" w:hAnsi="Times New Roman" w:cs="Times New Roman"/>
                <w:sz w:val="20"/>
                <w:szCs w:val="20"/>
              </w:rPr>
            </w:pPr>
          </w:p>
        </w:tc>
      </w:tr>
      <w:tr w:rsidR="000A55AA" w:rsidRPr="008B3312" w14:paraId="30E50A50" w14:textId="77777777" w:rsidTr="00950116">
        <w:trPr>
          <w:trHeight w:val="509"/>
        </w:trPr>
        <w:tc>
          <w:tcPr>
            <w:tcW w:w="1191" w:type="dxa"/>
            <w:vMerge/>
            <w:hideMark/>
          </w:tcPr>
          <w:p w14:paraId="18DAA4A7" w14:textId="77777777" w:rsidR="000A55AA" w:rsidRPr="008B3312" w:rsidRDefault="000A55AA">
            <w:pPr>
              <w:rPr>
                <w:rFonts w:ascii="Times New Roman" w:hAnsi="Times New Roman" w:cs="Times New Roman"/>
                <w:sz w:val="20"/>
                <w:szCs w:val="20"/>
              </w:rPr>
            </w:pPr>
          </w:p>
        </w:tc>
        <w:tc>
          <w:tcPr>
            <w:tcW w:w="2048" w:type="dxa"/>
            <w:gridSpan w:val="3"/>
            <w:vMerge/>
            <w:hideMark/>
          </w:tcPr>
          <w:p w14:paraId="16EB6320" w14:textId="77777777" w:rsidR="000A55AA" w:rsidRPr="008B3312" w:rsidRDefault="000A55AA">
            <w:pPr>
              <w:rPr>
                <w:rFonts w:ascii="Times New Roman" w:hAnsi="Times New Roman" w:cs="Times New Roman"/>
                <w:sz w:val="20"/>
                <w:szCs w:val="20"/>
              </w:rPr>
            </w:pPr>
          </w:p>
        </w:tc>
        <w:tc>
          <w:tcPr>
            <w:tcW w:w="5941" w:type="dxa"/>
            <w:vMerge/>
            <w:hideMark/>
          </w:tcPr>
          <w:p w14:paraId="5F468EE7" w14:textId="77777777" w:rsidR="000A55AA" w:rsidRPr="008B3312" w:rsidRDefault="000A55AA">
            <w:pPr>
              <w:rPr>
                <w:rFonts w:ascii="Times New Roman" w:hAnsi="Times New Roman" w:cs="Times New Roman"/>
                <w:sz w:val="20"/>
                <w:szCs w:val="20"/>
              </w:rPr>
            </w:pPr>
          </w:p>
        </w:tc>
      </w:tr>
      <w:tr w:rsidR="000A55AA" w:rsidRPr="008B3312" w14:paraId="4C36E51B" w14:textId="77777777" w:rsidTr="00950116">
        <w:trPr>
          <w:trHeight w:val="509"/>
        </w:trPr>
        <w:tc>
          <w:tcPr>
            <w:tcW w:w="1191" w:type="dxa"/>
            <w:vMerge/>
            <w:hideMark/>
          </w:tcPr>
          <w:p w14:paraId="5DC96319" w14:textId="77777777" w:rsidR="000A55AA" w:rsidRPr="008B3312" w:rsidRDefault="000A55AA">
            <w:pPr>
              <w:rPr>
                <w:rFonts w:ascii="Times New Roman" w:hAnsi="Times New Roman" w:cs="Times New Roman"/>
                <w:sz w:val="20"/>
                <w:szCs w:val="20"/>
              </w:rPr>
            </w:pPr>
          </w:p>
        </w:tc>
        <w:tc>
          <w:tcPr>
            <w:tcW w:w="2048" w:type="dxa"/>
            <w:gridSpan w:val="3"/>
            <w:vMerge/>
            <w:hideMark/>
          </w:tcPr>
          <w:p w14:paraId="11EB8D3A" w14:textId="77777777" w:rsidR="000A55AA" w:rsidRPr="008B3312" w:rsidRDefault="000A55AA">
            <w:pPr>
              <w:rPr>
                <w:rFonts w:ascii="Times New Roman" w:hAnsi="Times New Roman" w:cs="Times New Roman"/>
                <w:sz w:val="20"/>
                <w:szCs w:val="20"/>
              </w:rPr>
            </w:pPr>
          </w:p>
        </w:tc>
        <w:tc>
          <w:tcPr>
            <w:tcW w:w="5941" w:type="dxa"/>
            <w:vMerge/>
            <w:hideMark/>
          </w:tcPr>
          <w:p w14:paraId="1495A711" w14:textId="77777777" w:rsidR="000A55AA" w:rsidRPr="008B3312" w:rsidRDefault="000A55AA">
            <w:pPr>
              <w:rPr>
                <w:rFonts w:ascii="Times New Roman" w:hAnsi="Times New Roman" w:cs="Times New Roman"/>
                <w:sz w:val="20"/>
                <w:szCs w:val="20"/>
              </w:rPr>
            </w:pPr>
          </w:p>
        </w:tc>
      </w:tr>
      <w:tr w:rsidR="000A55AA" w:rsidRPr="008B3312" w14:paraId="5777B09A" w14:textId="77777777" w:rsidTr="00950116">
        <w:trPr>
          <w:trHeight w:val="2929"/>
        </w:trPr>
        <w:tc>
          <w:tcPr>
            <w:tcW w:w="1191" w:type="dxa"/>
            <w:vMerge/>
            <w:hideMark/>
          </w:tcPr>
          <w:p w14:paraId="710023E8" w14:textId="77777777" w:rsidR="000A55AA" w:rsidRPr="008B3312" w:rsidRDefault="000A55AA">
            <w:pPr>
              <w:rPr>
                <w:rFonts w:ascii="Times New Roman" w:hAnsi="Times New Roman" w:cs="Times New Roman"/>
                <w:sz w:val="20"/>
                <w:szCs w:val="20"/>
              </w:rPr>
            </w:pPr>
          </w:p>
        </w:tc>
        <w:tc>
          <w:tcPr>
            <w:tcW w:w="2048" w:type="dxa"/>
            <w:gridSpan w:val="3"/>
            <w:vMerge/>
            <w:hideMark/>
          </w:tcPr>
          <w:p w14:paraId="2D6E7916" w14:textId="77777777" w:rsidR="000A55AA" w:rsidRPr="008B3312" w:rsidRDefault="000A55AA">
            <w:pPr>
              <w:rPr>
                <w:rFonts w:ascii="Times New Roman" w:hAnsi="Times New Roman" w:cs="Times New Roman"/>
                <w:sz w:val="20"/>
                <w:szCs w:val="20"/>
              </w:rPr>
            </w:pPr>
          </w:p>
        </w:tc>
        <w:tc>
          <w:tcPr>
            <w:tcW w:w="5941" w:type="dxa"/>
            <w:vMerge/>
            <w:hideMark/>
          </w:tcPr>
          <w:p w14:paraId="022819F0" w14:textId="77777777" w:rsidR="000A55AA" w:rsidRPr="008B3312" w:rsidRDefault="000A55AA">
            <w:pPr>
              <w:rPr>
                <w:rFonts w:ascii="Times New Roman" w:hAnsi="Times New Roman" w:cs="Times New Roman"/>
                <w:sz w:val="20"/>
                <w:szCs w:val="20"/>
              </w:rPr>
            </w:pPr>
          </w:p>
        </w:tc>
      </w:tr>
      <w:tr w:rsidR="000A55AA" w:rsidRPr="008B3312" w14:paraId="7B9D11C0" w14:textId="77777777" w:rsidTr="00950116">
        <w:trPr>
          <w:trHeight w:val="915"/>
        </w:trPr>
        <w:tc>
          <w:tcPr>
            <w:tcW w:w="1191" w:type="dxa"/>
            <w:hideMark/>
          </w:tcPr>
          <w:p w14:paraId="25BEE86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C0170</w:t>
            </w:r>
          </w:p>
        </w:tc>
        <w:tc>
          <w:tcPr>
            <w:tcW w:w="2048" w:type="dxa"/>
            <w:gridSpan w:val="3"/>
            <w:hideMark/>
          </w:tcPr>
          <w:p w14:paraId="27E77E55" w14:textId="77777777" w:rsidR="000A55AA" w:rsidRPr="008B3312" w:rsidRDefault="000A55AA">
            <w:pPr>
              <w:rPr>
                <w:rFonts w:ascii="Times New Roman" w:hAnsi="Times New Roman" w:cs="Times New Roman"/>
                <w:sz w:val="20"/>
                <w:szCs w:val="20"/>
              </w:rPr>
            </w:pPr>
            <w:r>
              <w:rPr>
                <w:rFonts w:ascii="Times New Roman" w:hAnsi="Times New Roman"/>
                <w:sz w:val="20"/>
              </w:rPr>
              <w:t>Commentaires</w:t>
            </w:r>
          </w:p>
        </w:tc>
        <w:tc>
          <w:tcPr>
            <w:tcW w:w="5941" w:type="dxa"/>
            <w:hideMark/>
          </w:tcPr>
          <w:p w14:paraId="76E64975" w14:textId="198F4896" w:rsidR="000A55AA" w:rsidRPr="008B3312" w:rsidRDefault="000A55AA" w:rsidP="00907D61">
            <w:pPr>
              <w:rPr>
                <w:rFonts w:ascii="Times New Roman" w:hAnsi="Times New Roman" w:cs="Times New Roman"/>
                <w:sz w:val="20"/>
                <w:szCs w:val="20"/>
              </w:rPr>
            </w:pPr>
            <w:r>
              <w:rPr>
                <w:rFonts w:ascii="Times New Roman" w:hAnsi="Times New Roman"/>
                <w:sz w:val="20"/>
              </w:rPr>
              <w:t xml:space="preserve">Description des cas où la participation du réassureur ne correspond pas à un placement facultatif ou de traité standard, ou toute autre information que l’entreprise doit porter à l’attention de </w:t>
            </w:r>
            <w:r w:rsidR="00907D61">
              <w:rPr>
                <w:rFonts w:ascii="Times New Roman" w:hAnsi="Times New Roman"/>
                <w:sz w:val="20"/>
              </w:rPr>
              <w:t>l’Autorité de contrôle prudentiel et de résolution.</w:t>
            </w:r>
          </w:p>
        </w:tc>
      </w:tr>
      <w:tr w:rsidR="000A55AA" w:rsidRPr="008B3312" w14:paraId="5D2B2707" w14:textId="77777777" w:rsidTr="00950116">
        <w:trPr>
          <w:trHeight w:val="556"/>
        </w:trPr>
        <w:tc>
          <w:tcPr>
            <w:tcW w:w="9180" w:type="dxa"/>
            <w:gridSpan w:val="5"/>
            <w:noWrap/>
            <w:hideMark/>
          </w:tcPr>
          <w:p w14:paraId="53BEE384" w14:textId="77777777" w:rsidR="000A55AA" w:rsidRPr="008B3312" w:rsidRDefault="000A55AA" w:rsidP="00950116">
            <w:pPr>
              <w:spacing w:before="120" w:after="120"/>
              <w:rPr>
                <w:rFonts w:ascii="Times New Roman" w:hAnsi="Times New Roman" w:cs="Times New Roman"/>
                <w:sz w:val="20"/>
                <w:szCs w:val="20"/>
              </w:rPr>
            </w:pPr>
            <w:r>
              <w:rPr>
                <w:rFonts w:ascii="Times New Roman" w:hAnsi="Times New Roman"/>
                <w:b/>
                <w:sz w:val="20"/>
              </w:rPr>
              <w:t>Informations sur les réassureurs et les courtiers</w:t>
            </w:r>
          </w:p>
        </w:tc>
      </w:tr>
      <w:tr w:rsidR="000A55AA" w:rsidRPr="008B3312" w14:paraId="69423272" w14:textId="77777777" w:rsidTr="0044578D">
        <w:trPr>
          <w:trHeight w:val="1279"/>
        </w:trPr>
        <w:tc>
          <w:tcPr>
            <w:tcW w:w="1213" w:type="dxa"/>
            <w:gridSpan w:val="2"/>
            <w:hideMark/>
          </w:tcPr>
          <w:p w14:paraId="5B851CD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C0180</w:t>
            </w:r>
          </w:p>
        </w:tc>
        <w:tc>
          <w:tcPr>
            <w:tcW w:w="2026" w:type="dxa"/>
            <w:gridSpan w:val="2"/>
            <w:hideMark/>
          </w:tcPr>
          <w:p w14:paraId="1CB07A7D" w14:textId="77777777" w:rsidR="000A55AA" w:rsidRPr="008B3312" w:rsidRDefault="000A55AA">
            <w:pPr>
              <w:rPr>
                <w:rFonts w:ascii="Times New Roman" w:hAnsi="Times New Roman" w:cs="Times New Roman"/>
                <w:sz w:val="20"/>
                <w:szCs w:val="20"/>
              </w:rPr>
            </w:pPr>
            <w:r>
              <w:rPr>
                <w:rFonts w:ascii="Times New Roman" w:hAnsi="Times New Roman"/>
                <w:sz w:val="20"/>
              </w:rPr>
              <w:t>Code réassureur</w:t>
            </w:r>
          </w:p>
        </w:tc>
        <w:tc>
          <w:tcPr>
            <w:tcW w:w="5941" w:type="dxa"/>
            <w:hideMark/>
          </w:tcPr>
          <w:p w14:paraId="3957D617" w14:textId="5DDDCCA3"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 xml:space="preserve">Code d’identification du réassureur,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5D0064">
              <w:rPr>
                <w:rFonts w:ascii="Times New Roman" w:hAnsi="Times New Roman"/>
                <w:sz w:val="20"/>
              </w:rPr>
              <w:t>l’O</w:t>
            </w:r>
            <w:r w:rsidR="00011FC3">
              <w:rPr>
                <w:rFonts w:ascii="Times New Roman" w:hAnsi="Times New Roman"/>
                <w:sz w:val="20"/>
              </w:rPr>
              <w:t>RPS</w:t>
            </w:r>
            <w:r w:rsidR="0072092D">
              <w:rPr>
                <w:rFonts w:ascii="Times New Roman" w:hAnsi="Times New Roman"/>
                <w:sz w:val="20"/>
              </w:rPr>
              <w:t>.</w:t>
            </w:r>
          </w:p>
          <w:p w14:paraId="79BD1189" w14:textId="77777777" w:rsidR="000A55AA" w:rsidRPr="008B3312" w:rsidRDefault="000A55AA" w:rsidP="00950116">
            <w:pPr>
              <w:rPr>
                <w:rFonts w:ascii="Times New Roman" w:hAnsi="Times New Roman" w:cs="Times New Roman"/>
                <w:sz w:val="20"/>
                <w:szCs w:val="20"/>
              </w:rPr>
            </w:pPr>
          </w:p>
          <w:p w14:paraId="480B016B" w14:textId="1659DCD6" w:rsidR="000A55AA" w:rsidRPr="008B3312" w:rsidRDefault="000A55AA" w:rsidP="0044578D">
            <w:pPr>
              <w:ind w:right="175"/>
              <w:rPr>
                <w:rFonts w:ascii="Times New Roman" w:hAnsi="Times New Roman" w:cs="Times New Roman"/>
                <w:sz w:val="20"/>
                <w:szCs w:val="20"/>
              </w:rPr>
            </w:pPr>
            <w:r>
              <w:rPr>
                <w:rFonts w:ascii="Times New Roman" w:hAnsi="Times New Roman"/>
                <w:sz w:val="20"/>
              </w:rPr>
              <w:t xml:space="preserve">Si un code spécifique est attribué par </w:t>
            </w:r>
            <w:r w:rsidR="005D0064">
              <w:rPr>
                <w:rFonts w:ascii="Times New Roman" w:hAnsi="Times New Roman"/>
                <w:sz w:val="20"/>
              </w:rPr>
              <w:t>l’O</w:t>
            </w:r>
            <w:r w:rsidR="00011FC3">
              <w:rPr>
                <w:rFonts w:ascii="Times New Roman" w:hAnsi="Times New Roman"/>
                <w:sz w:val="20"/>
              </w:rPr>
              <w:t>RPS</w:t>
            </w:r>
            <w:r>
              <w:rPr>
                <w:rFonts w:ascii="Times New Roman" w:hAnsi="Times New Roman"/>
                <w:sz w:val="20"/>
              </w:rPr>
              <w:t>, ce code doit être unique pour le réassureur et n’être identique à aucun autre code attribué par l’entreprise ni à aucun code LEI.</w:t>
            </w:r>
          </w:p>
        </w:tc>
      </w:tr>
      <w:tr w:rsidR="000A55AA" w:rsidRPr="008B3312" w14:paraId="6B7A560E" w14:textId="77777777" w:rsidTr="0044578D">
        <w:trPr>
          <w:trHeight w:val="554"/>
        </w:trPr>
        <w:tc>
          <w:tcPr>
            <w:tcW w:w="1213" w:type="dxa"/>
            <w:gridSpan w:val="2"/>
          </w:tcPr>
          <w:p w14:paraId="2B9631A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C0190</w:t>
            </w:r>
          </w:p>
        </w:tc>
        <w:tc>
          <w:tcPr>
            <w:tcW w:w="2026" w:type="dxa"/>
            <w:gridSpan w:val="2"/>
          </w:tcPr>
          <w:p w14:paraId="3BFCBA20" w14:textId="77777777" w:rsidR="000A55AA" w:rsidRPr="008B3312" w:rsidRDefault="000A55AA" w:rsidP="00950116">
            <w:pPr>
              <w:ind w:right="-1286"/>
              <w:rPr>
                <w:rFonts w:ascii="Times New Roman" w:hAnsi="Times New Roman" w:cs="Times New Roman"/>
                <w:sz w:val="20"/>
                <w:szCs w:val="20"/>
              </w:rPr>
            </w:pPr>
            <w:r>
              <w:rPr>
                <w:rFonts w:ascii="Times New Roman" w:hAnsi="Times New Roman"/>
                <w:sz w:val="20"/>
              </w:rPr>
              <w:t xml:space="preserve">Type de code </w:t>
            </w:r>
          </w:p>
          <w:p w14:paraId="697D3643" w14:textId="77777777" w:rsidR="000A55AA" w:rsidRPr="008B3312" w:rsidRDefault="000A55AA">
            <w:pPr>
              <w:rPr>
                <w:rFonts w:ascii="Times New Roman" w:hAnsi="Times New Roman" w:cs="Times New Roman"/>
                <w:sz w:val="20"/>
                <w:szCs w:val="20"/>
              </w:rPr>
            </w:pPr>
            <w:r>
              <w:rPr>
                <w:rFonts w:ascii="Times New Roman" w:hAnsi="Times New Roman"/>
                <w:sz w:val="20"/>
              </w:rPr>
              <w:t>Réassureur</w:t>
            </w:r>
          </w:p>
        </w:tc>
        <w:tc>
          <w:tcPr>
            <w:tcW w:w="5941" w:type="dxa"/>
          </w:tcPr>
          <w:p w14:paraId="0397A3FA" w14:textId="77777777" w:rsidR="000A55AA" w:rsidRPr="008B3312" w:rsidRDefault="000A55AA" w:rsidP="00950116">
            <w:pPr>
              <w:ind w:right="175"/>
              <w:rPr>
                <w:rFonts w:ascii="Times New Roman" w:hAnsi="Times New Roman" w:cs="Times New Roman"/>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réassureur». </w:t>
            </w: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color w:val="000000"/>
                <w:sz w:val="20"/>
              </w:rPr>
              <w:t xml:space="preserve">1 – LEI </w:t>
            </w:r>
            <w:r w:rsidR="00FE79E2">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0A55AA" w:rsidRPr="008B3312" w14:paraId="3ED8A466" w14:textId="77777777" w:rsidTr="00950116">
        <w:tc>
          <w:tcPr>
            <w:tcW w:w="1213" w:type="dxa"/>
            <w:gridSpan w:val="2"/>
            <w:hideMark/>
          </w:tcPr>
          <w:p w14:paraId="4F4445A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C0200</w:t>
            </w:r>
          </w:p>
        </w:tc>
        <w:tc>
          <w:tcPr>
            <w:tcW w:w="2026" w:type="dxa"/>
            <w:gridSpan w:val="2"/>
            <w:hideMark/>
          </w:tcPr>
          <w:p w14:paraId="093201F3" w14:textId="77777777" w:rsidR="000A55AA" w:rsidRPr="008B3312" w:rsidRDefault="000A55AA">
            <w:pPr>
              <w:rPr>
                <w:rFonts w:ascii="Times New Roman" w:hAnsi="Times New Roman" w:cs="Times New Roman"/>
                <w:sz w:val="20"/>
                <w:szCs w:val="20"/>
              </w:rPr>
            </w:pPr>
            <w:r>
              <w:rPr>
                <w:rFonts w:ascii="Times New Roman" w:hAnsi="Times New Roman"/>
                <w:sz w:val="20"/>
              </w:rPr>
              <w:t>Nom juridique du réassureur</w:t>
            </w:r>
          </w:p>
        </w:tc>
        <w:tc>
          <w:tcPr>
            <w:tcW w:w="5941" w:type="dxa"/>
            <w:hideMark/>
          </w:tcPr>
          <w:p w14:paraId="5E8183AB" w14:textId="77777777" w:rsidR="000A55AA" w:rsidRPr="008B3312" w:rsidRDefault="000A55AA">
            <w:pPr>
              <w:rPr>
                <w:rFonts w:ascii="Times New Roman" w:hAnsi="Times New Roman" w:cs="Times New Roman"/>
                <w:sz w:val="20"/>
                <w:szCs w:val="20"/>
              </w:rPr>
            </w:pPr>
            <w:r>
              <w:rPr>
                <w:rFonts w:ascii="Times New Roman" w:hAnsi="Times New Roman"/>
                <w:sz w:val="20"/>
              </w:rPr>
              <w:t>Nom juridique du réassureur auquel le risque de souscription a été transféré. Le nom officiel du réassureur auquel a été transféré le risque est celui figurant sur le contrat de réassurance. Il n’est pas permis d’indiquer le nom d’un courtier de réassurance ni un nom général ou incomplet, les réassureurs internationaux ayant différentes entreprises exploitantes pouvant être situées dans différents pays.</w:t>
            </w:r>
          </w:p>
          <w:p w14:paraId="29A52066" w14:textId="77777777" w:rsidR="000A55AA" w:rsidRPr="008B3312" w:rsidRDefault="000A55AA">
            <w:pPr>
              <w:rPr>
                <w:rFonts w:ascii="Times New Roman" w:hAnsi="Times New Roman" w:cs="Times New Roman"/>
                <w:sz w:val="20"/>
                <w:szCs w:val="20"/>
              </w:rPr>
            </w:pPr>
            <w:r>
              <w:rPr>
                <w:rFonts w:ascii="Times New Roman" w:hAnsi="Times New Roman"/>
                <w:sz w:val="20"/>
              </w:rPr>
              <w:t>Dans le cas d’un pool de réassurance, le nom du pool (ou celui de son administrateur) ne peut être utilisé que si le pool est une personne morale. </w:t>
            </w:r>
          </w:p>
        </w:tc>
      </w:tr>
      <w:tr w:rsidR="000A55AA" w:rsidRPr="008B3312" w14:paraId="6B268227" w14:textId="77777777" w:rsidTr="0044578D">
        <w:trPr>
          <w:trHeight w:val="132"/>
        </w:trPr>
        <w:tc>
          <w:tcPr>
            <w:tcW w:w="1213" w:type="dxa"/>
            <w:gridSpan w:val="2"/>
            <w:hideMark/>
          </w:tcPr>
          <w:p w14:paraId="1827B18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C0210</w:t>
            </w:r>
          </w:p>
        </w:tc>
        <w:tc>
          <w:tcPr>
            <w:tcW w:w="2026" w:type="dxa"/>
            <w:gridSpan w:val="2"/>
            <w:hideMark/>
          </w:tcPr>
          <w:p w14:paraId="45D14A2D" w14:textId="77777777" w:rsidR="000A55AA" w:rsidRPr="008B3312" w:rsidRDefault="000A55AA">
            <w:pPr>
              <w:rPr>
                <w:rFonts w:ascii="Times New Roman" w:hAnsi="Times New Roman" w:cs="Times New Roman"/>
                <w:sz w:val="20"/>
                <w:szCs w:val="20"/>
              </w:rPr>
            </w:pPr>
            <w:r>
              <w:rPr>
                <w:rFonts w:ascii="Times New Roman" w:hAnsi="Times New Roman"/>
                <w:sz w:val="20"/>
              </w:rPr>
              <w:t>Type de réassureur</w:t>
            </w:r>
          </w:p>
          <w:p w14:paraId="09176F8D"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w:t>
            </w:r>
          </w:p>
        </w:tc>
        <w:tc>
          <w:tcPr>
            <w:tcW w:w="5941" w:type="dxa"/>
            <w:hideMark/>
          </w:tcPr>
          <w:p w14:paraId="631F2779" w14:textId="77777777" w:rsidR="000A55AA" w:rsidRPr="008B3312" w:rsidRDefault="000A55AA">
            <w:pPr>
              <w:rPr>
                <w:rFonts w:ascii="Times New Roman" w:hAnsi="Times New Roman" w:cs="Times New Roman"/>
                <w:sz w:val="20"/>
                <w:szCs w:val="20"/>
              </w:rPr>
            </w:pPr>
            <w:r>
              <w:rPr>
                <w:rFonts w:ascii="Times New Roman" w:hAnsi="Times New Roman"/>
                <w:sz w:val="20"/>
              </w:rPr>
              <w:t>Type de réassureur auquel le risque de souscription a été transféré.</w:t>
            </w:r>
          </w:p>
          <w:p w14:paraId="3D3A3016"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Pr>
                <w:rFonts w:ascii="Times New Roman" w:hAnsi="Times New Roman"/>
                <w:sz w:val="20"/>
              </w:rPr>
              <w:t xml:space="preserve"> </w:t>
            </w:r>
          </w:p>
          <w:p w14:paraId="7C53A1BE" w14:textId="77777777" w:rsidR="000A55AA" w:rsidRPr="008B3312" w:rsidRDefault="000A55AA" w:rsidP="00950116">
            <w:pPr>
              <w:ind w:left="360" w:right="175"/>
              <w:rPr>
                <w:rFonts w:ascii="Times New Roman" w:hAnsi="Times New Roman" w:cs="Times New Roman"/>
                <w:sz w:val="20"/>
                <w:szCs w:val="20"/>
              </w:rPr>
            </w:pPr>
            <w:r>
              <w:rPr>
                <w:rFonts w:ascii="Times New Roman" w:hAnsi="Times New Roman"/>
                <w:sz w:val="20"/>
              </w:rPr>
              <w:t>1 – Assureur vie direct</w:t>
            </w:r>
            <w:r w:rsidR="00FE79E2">
              <w:rPr>
                <w:rFonts w:ascii="Times New Roman" w:hAnsi="Times New Roman" w:cs="Times New Roman"/>
                <w:sz w:val="20"/>
                <w:szCs w:val="20"/>
              </w:rPr>
              <w:br/>
            </w:r>
            <w:r>
              <w:rPr>
                <w:rFonts w:ascii="Times New Roman" w:hAnsi="Times New Roman"/>
                <w:sz w:val="20"/>
              </w:rPr>
              <w:t>2 – Assureur non-vie direct</w:t>
            </w:r>
            <w:r w:rsidR="00FE79E2">
              <w:rPr>
                <w:rFonts w:ascii="Times New Roman" w:hAnsi="Times New Roman" w:cs="Times New Roman"/>
                <w:sz w:val="20"/>
                <w:szCs w:val="20"/>
              </w:rPr>
              <w:br/>
            </w:r>
            <w:r>
              <w:rPr>
                <w:rFonts w:ascii="Times New Roman" w:hAnsi="Times New Roman"/>
                <w:sz w:val="20"/>
              </w:rPr>
              <w:t xml:space="preserve">3 – Assureur </w:t>
            </w:r>
            <w:proofErr w:type="spellStart"/>
            <w:r>
              <w:rPr>
                <w:rFonts w:ascii="Times New Roman" w:hAnsi="Times New Roman"/>
                <w:sz w:val="20"/>
              </w:rPr>
              <w:t>multibranches</w:t>
            </w:r>
            <w:proofErr w:type="spellEnd"/>
            <w:r>
              <w:rPr>
                <w:rFonts w:ascii="Times New Roman" w:hAnsi="Times New Roman"/>
                <w:sz w:val="20"/>
              </w:rPr>
              <w:t xml:space="preserve"> direct</w:t>
            </w:r>
            <w:r w:rsidR="00FE79E2">
              <w:rPr>
                <w:rFonts w:ascii="Times New Roman" w:hAnsi="Times New Roman" w:cs="Times New Roman"/>
                <w:sz w:val="20"/>
                <w:szCs w:val="20"/>
              </w:rPr>
              <w:br/>
            </w:r>
            <w:r>
              <w:rPr>
                <w:rFonts w:ascii="Times New Roman" w:hAnsi="Times New Roman"/>
                <w:sz w:val="20"/>
              </w:rPr>
              <w:t xml:space="preserve">4 – Entreprise d’assurance captive </w:t>
            </w:r>
          </w:p>
          <w:p w14:paraId="2F70E97D" w14:textId="77777777" w:rsidR="000A55AA" w:rsidRPr="008B3312" w:rsidRDefault="000A55AA" w:rsidP="00950116">
            <w:pPr>
              <w:ind w:left="360" w:right="175"/>
              <w:rPr>
                <w:rFonts w:ascii="Times New Roman" w:hAnsi="Times New Roman" w:cs="Times New Roman"/>
                <w:sz w:val="20"/>
                <w:szCs w:val="20"/>
              </w:rPr>
            </w:pPr>
            <w:r>
              <w:rPr>
                <w:rFonts w:ascii="Times New Roman" w:hAnsi="Times New Roman"/>
                <w:sz w:val="20"/>
              </w:rPr>
              <w:t>5 – Réassureur interne (entreprise d’assurance dont la vocation principale est d’accepter des risques de la part des autres entreprises d’assurance du groupe)</w:t>
            </w:r>
            <w:r w:rsidR="00FE79E2">
              <w:rPr>
                <w:rFonts w:ascii="Times New Roman" w:hAnsi="Times New Roman" w:cs="Times New Roman"/>
                <w:sz w:val="20"/>
                <w:szCs w:val="20"/>
              </w:rPr>
              <w:br/>
            </w:r>
            <w:r>
              <w:rPr>
                <w:rFonts w:ascii="Times New Roman" w:hAnsi="Times New Roman"/>
                <w:sz w:val="20"/>
              </w:rPr>
              <w:t>6 – Réassureur externe (entreprise d’assurance qui accepte des risques de la part d’entreprises autres que les autres entreprises d’assurance du groupe)</w:t>
            </w:r>
            <w:r w:rsidR="00FE79E2">
              <w:rPr>
                <w:rFonts w:ascii="Times New Roman" w:hAnsi="Times New Roman" w:cs="Times New Roman"/>
                <w:sz w:val="20"/>
                <w:szCs w:val="20"/>
              </w:rPr>
              <w:br/>
            </w:r>
            <w:r>
              <w:rPr>
                <w:rFonts w:ascii="Times New Roman" w:hAnsi="Times New Roman"/>
                <w:sz w:val="20"/>
              </w:rPr>
              <w:t>7 – Entreprise de réassurance captive</w:t>
            </w:r>
            <w:r w:rsidR="00FE79E2">
              <w:rPr>
                <w:rFonts w:ascii="Times New Roman" w:hAnsi="Times New Roman" w:cs="Times New Roman"/>
                <w:sz w:val="20"/>
                <w:szCs w:val="20"/>
              </w:rPr>
              <w:br/>
            </w:r>
            <w:r>
              <w:rPr>
                <w:rFonts w:ascii="Times New Roman" w:hAnsi="Times New Roman"/>
                <w:sz w:val="20"/>
              </w:rPr>
              <w:t>8 – Véhicule de titrisation</w:t>
            </w:r>
            <w:r w:rsidR="00FE79E2">
              <w:rPr>
                <w:rFonts w:ascii="Times New Roman" w:hAnsi="Times New Roman" w:cs="Times New Roman"/>
                <w:sz w:val="20"/>
                <w:szCs w:val="20"/>
              </w:rPr>
              <w:br/>
            </w:r>
            <w:r>
              <w:rPr>
                <w:rFonts w:ascii="Times New Roman" w:hAnsi="Times New Roman"/>
                <w:sz w:val="20"/>
              </w:rPr>
              <w:t xml:space="preserve">9 – Entité de pool (à laquelle participent plusieurs entreprises d’assurance ou de réassurance) </w:t>
            </w:r>
          </w:p>
          <w:p w14:paraId="19BA36CE" w14:textId="77777777" w:rsidR="000A55AA" w:rsidRDefault="000A55AA" w:rsidP="00950116">
            <w:pPr>
              <w:ind w:left="360"/>
              <w:rPr>
                <w:rFonts w:ascii="Times New Roman" w:hAnsi="Times New Roman"/>
                <w:sz w:val="20"/>
              </w:rPr>
            </w:pPr>
            <w:r>
              <w:rPr>
                <w:rFonts w:ascii="Times New Roman" w:hAnsi="Times New Roman"/>
                <w:sz w:val="20"/>
              </w:rPr>
              <w:t>10 – Pool d’état</w:t>
            </w:r>
          </w:p>
          <w:p w14:paraId="17D540E0" w14:textId="77777777" w:rsidR="00011FC3" w:rsidRPr="008B3312" w:rsidRDefault="00011FC3" w:rsidP="00950116">
            <w:pPr>
              <w:ind w:left="360"/>
              <w:rPr>
                <w:rFonts w:ascii="Times New Roman" w:hAnsi="Times New Roman" w:cs="Times New Roman"/>
                <w:sz w:val="20"/>
                <w:szCs w:val="20"/>
              </w:rPr>
            </w:pPr>
            <w:r>
              <w:rPr>
                <w:rFonts w:ascii="Times New Roman" w:hAnsi="Times New Roman"/>
                <w:sz w:val="20"/>
              </w:rPr>
              <w:t>11 – FRPS/MRPS/URPS/IRPS</w:t>
            </w:r>
          </w:p>
        </w:tc>
      </w:tr>
      <w:tr w:rsidR="000A55AA" w:rsidRPr="008B3312" w14:paraId="0069052D" w14:textId="77777777" w:rsidTr="00950116">
        <w:trPr>
          <w:trHeight w:val="330"/>
        </w:trPr>
        <w:tc>
          <w:tcPr>
            <w:tcW w:w="1213" w:type="dxa"/>
            <w:gridSpan w:val="2"/>
            <w:hideMark/>
          </w:tcPr>
          <w:p w14:paraId="3F5BF586"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C0220</w:t>
            </w:r>
          </w:p>
        </w:tc>
        <w:tc>
          <w:tcPr>
            <w:tcW w:w="2026" w:type="dxa"/>
            <w:gridSpan w:val="2"/>
            <w:hideMark/>
          </w:tcPr>
          <w:p w14:paraId="45E6EA20" w14:textId="77777777" w:rsidR="000A55AA" w:rsidRPr="008B3312" w:rsidRDefault="000A55AA">
            <w:pPr>
              <w:rPr>
                <w:rFonts w:ascii="Times New Roman" w:hAnsi="Times New Roman" w:cs="Times New Roman"/>
                <w:sz w:val="20"/>
                <w:szCs w:val="20"/>
              </w:rPr>
            </w:pPr>
            <w:r>
              <w:rPr>
                <w:rFonts w:ascii="Times New Roman" w:hAnsi="Times New Roman"/>
                <w:sz w:val="20"/>
              </w:rPr>
              <w:t>Pays de résidence</w:t>
            </w:r>
          </w:p>
        </w:tc>
        <w:tc>
          <w:tcPr>
            <w:tcW w:w="5941" w:type="dxa"/>
          </w:tcPr>
          <w:p w14:paraId="46B09C4D" w14:textId="77777777" w:rsidR="000A55AA" w:rsidRPr="008B3312" w:rsidRDefault="000A55AA" w:rsidP="00F37D39">
            <w:pPr>
              <w:rPr>
                <w:rFonts w:ascii="Times New Roman" w:hAnsi="Times New Roman" w:cs="Times New Roman"/>
                <w:sz w:val="20"/>
                <w:szCs w:val="20"/>
              </w:rPr>
            </w:pPr>
            <w:r>
              <w:rPr>
                <w:rFonts w:ascii="Times New Roman" w:hAnsi="Times New Roman"/>
                <w:sz w:val="20"/>
              </w:rPr>
              <w:t>Indiquer le code ISO 3166-1 alpha-2 du pays dans lequel le réassureur est juridiquement autorisé ou agréé.</w:t>
            </w:r>
          </w:p>
        </w:tc>
      </w:tr>
      <w:tr w:rsidR="000A55AA" w:rsidRPr="008B3312" w14:paraId="0BD5B7B0" w14:textId="77777777" w:rsidTr="0044578D">
        <w:trPr>
          <w:trHeight w:val="932"/>
        </w:trPr>
        <w:tc>
          <w:tcPr>
            <w:tcW w:w="1213" w:type="dxa"/>
            <w:gridSpan w:val="2"/>
            <w:hideMark/>
          </w:tcPr>
          <w:p w14:paraId="57F84299" w14:textId="2B43C294" w:rsidR="000A55AA" w:rsidRPr="008B3312" w:rsidRDefault="00011FC3" w:rsidP="00011FC3">
            <w:pPr>
              <w:rPr>
                <w:rFonts w:ascii="Times New Roman" w:hAnsi="Times New Roman" w:cs="Times New Roman"/>
                <w:sz w:val="20"/>
                <w:szCs w:val="20"/>
              </w:rPr>
            </w:pPr>
            <w:r>
              <w:rPr>
                <w:rFonts w:ascii="Times New Roman" w:hAnsi="Times New Roman"/>
                <w:sz w:val="20"/>
              </w:rPr>
              <w:lastRenderedPageBreak/>
              <w:t>C0231</w:t>
            </w:r>
          </w:p>
        </w:tc>
        <w:tc>
          <w:tcPr>
            <w:tcW w:w="2026" w:type="dxa"/>
            <w:gridSpan w:val="2"/>
          </w:tcPr>
          <w:p w14:paraId="6A1FCAB6" w14:textId="618C6295" w:rsidR="000A55AA" w:rsidRPr="008B3312" w:rsidRDefault="00011FC3" w:rsidP="00011FC3">
            <w:pPr>
              <w:rPr>
                <w:rFonts w:ascii="Times New Roman" w:hAnsi="Times New Roman" w:cs="Times New Roman"/>
                <w:sz w:val="20"/>
                <w:szCs w:val="20"/>
              </w:rPr>
            </w:pPr>
            <w:r>
              <w:rPr>
                <w:rFonts w:ascii="Times New Roman" w:hAnsi="Times New Roman"/>
                <w:sz w:val="20"/>
              </w:rPr>
              <w:t xml:space="preserve"> Note de l’agence de notation</w:t>
            </w:r>
          </w:p>
        </w:tc>
        <w:tc>
          <w:tcPr>
            <w:tcW w:w="5941" w:type="dxa"/>
            <w:hideMark/>
          </w:tcPr>
          <w:p w14:paraId="60B09C41" w14:textId="61AEDE85" w:rsidR="000A55AA" w:rsidRDefault="000A55AA" w:rsidP="00950116">
            <w:pPr>
              <w:rPr>
                <w:rFonts w:ascii="Times New Roman" w:hAnsi="Times New Roman"/>
                <w:sz w:val="20"/>
              </w:rPr>
            </w:pPr>
            <w:r>
              <w:rPr>
                <w:rFonts w:ascii="Times New Roman" w:hAnsi="Times New Roman"/>
                <w:sz w:val="20"/>
              </w:rPr>
              <w:t xml:space="preserve">Notation du réassureur à la date de référence de la déclaration, délivrée par </w:t>
            </w:r>
            <w:r w:rsidR="00011FC3">
              <w:rPr>
                <w:rFonts w:ascii="Times New Roman" w:hAnsi="Times New Roman"/>
                <w:sz w:val="20"/>
              </w:rPr>
              <w:t>une agence de notation</w:t>
            </w:r>
            <w:r w:rsidR="00E54DF8">
              <w:rPr>
                <w:rFonts w:ascii="Times New Roman" w:hAnsi="Times New Roman"/>
                <w:sz w:val="20"/>
              </w:rPr>
              <w:t>.</w:t>
            </w:r>
          </w:p>
          <w:p w14:paraId="72675848" w14:textId="77777777" w:rsidR="00E54DF8" w:rsidRDefault="00E54DF8" w:rsidP="00950116">
            <w:pPr>
              <w:rPr>
                <w:rFonts w:ascii="Times New Roman" w:hAnsi="Times New Roman"/>
                <w:sz w:val="20"/>
              </w:rPr>
            </w:pPr>
          </w:p>
          <w:p w14:paraId="01B2A6DD" w14:textId="77777777" w:rsidR="00E54DF8" w:rsidRDefault="00E54DF8" w:rsidP="00950116">
            <w:pPr>
              <w:rPr>
                <w:rFonts w:ascii="Times New Roman" w:hAnsi="Times New Roman"/>
                <w:sz w:val="20"/>
              </w:rPr>
            </w:pPr>
            <w:r>
              <w:rPr>
                <w:rFonts w:ascii="Times New Roman" w:hAnsi="Times New Roman"/>
                <w:sz w:val="20"/>
              </w:rPr>
              <w:t>Si une note n’est pas assignée, la cellule doit rester vide.</w:t>
            </w:r>
          </w:p>
          <w:p w14:paraId="3DB8248F" w14:textId="77777777" w:rsidR="00E54DF8" w:rsidRPr="008B3312" w:rsidRDefault="00E54DF8" w:rsidP="00950116">
            <w:pPr>
              <w:rPr>
                <w:rFonts w:ascii="Times New Roman" w:hAnsi="Times New Roman" w:cs="Times New Roman"/>
                <w:sz w:val="20"/>
                <w:szCs w:val="20"/>
              </w:rPr>
            </w:pPr>
          </w:p>
          <w:p w14:paraId="4DF003FC" w14:textId="448427AF" w:rsidR="000A55AA" w:rsidRPr="008B3312" w:rsidRDefault="000A55AA" w:rsidP="00082D34">
            <w:pPr>
              <w:rPr>
                <w:rFonts w:ascii="Times New Roman" w:hAnsi="Times New Roman" w:cs="Times New Roman"/>
                <w:sz w:val="20"/>
                <w:szCs w:val="20"/>
              </w:rPr>
            </w:pPr>
          </w:p>
        </w:tc>
      </w:tr>
      <w:tr w:rsidR="000A55AA" w:rsidRPr="008B3312" w14:paraId="6EE56CC1" w14:textId="77777777" w:rsidTr="00950116">
        <w:trPr>
          <w:trHeight w:val="330"/>
        </w:trPr>
        <w:tc>
          <w:tcPr>
            <w:tcW w:w="1213" w:type="dxa"/>
            <w:gridSpan w:val="2"/>
            <w:hideMark/>
          </w:tcPr>
          <w:p w14:paraId="20F485F3" w14:textId="1CF3307B" w:rsidR="000A55AA" w:rsidRPr="008B3312" w:rsidRDefault="000A55AA" w:rsidP="00950116">
            <w:pPr>
              <w:rPr>
                <w:rFonts w:ascii="Times New Roman" w:hAnsi="Times New Roman" w:cs="Times New Roman"/>
                <w:sz w:val="20"/>
                <w:szCs w:val="20"/>
              </w:rPr>
            </w:pPr>
            <w:r>
              <w:rPr>
                <w:rFonts w:ascii="Times New Roman" w:hAnsi="Times New Roman"/>
                <w:sz w:val="20"/>
              </w:rPr>
              <w:t>C024</w:t>
            </w:r>
            <w:r w:rsidR="00011FC3">
              <w:rPr>
                <w:rFonts w:ascii="Times New Roman" w:hAnsi="Times New Roman"/>
                <w:sz w:val="20"/>
              </w:rPr>
              <w:t>1</w:t>
            </w:r>
          </w:p>
        </w:tc>
        <w:tc>
          <w:tcPr>
            <w:tcW w:w="2026" w:type="dxa"/>
            <w:gridSpan w:val="2"/>
            <w:hideMark/>
          </w:tcPr>
          <w:p w14:paraId="5FC378CB" w14:textId="3897923C" w:rsidR="000A55AA" w:rsidRPr="008B3312" w:rsidRDefault="00011FC3">
            <w:pPr>
              <w:rPr>
                <w:rFonts w:ascii="Times New Roman" w:hAnsi="Times New Roman" w:cs="Times New Roman"/>
                <w:sz w:val="20"/>
                <w:szCs w:val="20"/>
              </w:rPr>
            </w:pPr>
            <w:r>
              <w:rPr>
                <w:rFonts w:ascii="Times New Roman" w:hAnsi="Times New Roman"/>
                <w:sz w:val="20"/>
              </w:rPr>
              <w:t>Agence de notation</w:t>
            </w:r>
          </w:p>
        </w:tc>
        <w:tc>
          <w:tcPr>
            <w:tcW w:w="5941" w:type="dxa"/>
            <w:hideMark/>
          </w:tcPr>
          <w:p w14:paraId="68FDE274" w14:textId="426A6E9B" w:rsidR="000A55AA" w:rsidRPr="008B3312" w:rsidRDefault="000A55AA" w:rsidP="00E54DF8">
            <w:pPr>
              <w:rPr>
                <w:rFonts w:ascii="Times New Roman" w:hAnsi="Times New Roman" w:cs="Times New Roman"/>
                <w:sz w:val="20"/>
                <w:szCs w:val="20"/>
              </w:rPr>
            </w:pPr>
            <w:r>
              <w:rPr>
                <w:rFonts w:ascii="Times New Roman" w:hAnsi="Times New Roman"/>
                <w:sz w:val="20"/>
              </w:rPr>
              <w:t xml:space="preserve">Identifier </w:t>
            </w:r>
            <w:r w:rsidR="00011FC3">
              <w:rPr>
                <w:rFonts w:ascii="Times New Roman" w:hAnsi="Times New Roman"/>
                <w:sz w:val="20"/>
              </w:rPr>
              <w:t xml:space="preserve">l’agence de notation </w:t>
            </w:r>
            <w:r>
              <w:rPr>
                <w:rFonts w:ascii="Times New Roman" w:hAnsi="Times New Roman"/>
                <w:sz w:val="20"/>
              </w:rPr>
              <w:t>externe d’évaluation du crédit qui attribue la notation externe</w:t>
            </w:r>
            <w:r w:rsidR="00E54DF8">
              <w:rPr>
                <w:rFonts w:ascii="Times New Roman" w:hAnsi="Times New Roman"/>
                <w:sz w:val="20"/>
              </w:rPr>
              <w:t xml:space="preserve"> indiquée en cellule C0231</w:t>
            </w:r>
            <w:r w:rsidR="00011FC3">
              <w:rPr>
                <w:rFonts w:ascii="Times New Roman" w:hAnsi="Times New Roman"/>
                <w:sz w:val="20"/>
              </w:rPr>
              <w:t>.</w:t>
            </w:r>
          </w:p>
        </w:tc>
      </w:tr>
      <w:tr w:rsidR="000A55AA" w:rsidRPr="008B3312" w14:paraId="04BE483C" w14:textId="77777777" w:rsidTr="00950116">
        <w:trPr>
          <w:trHeight w:val="330"/>
        </w:trPr>
        <w:tc>
          <w:tcPr>
            <w:tcW w:w="1242" w:type="dxa"/>
            <w:gridSpan w:val="3"/>
            <w:hideMark/>
          </w:tcPr>
          <w:p w14:paraId="35AE4642"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C0270</w:t>
            </w:r>
          </w:p>
        </w:tc>
        <w:tc>
          <w:tcPr>
            <w:tcW w:w="1997" w:type="dxa"/>
            <w:hideMark/>
          </w:tcPr>
          <w:p w14:paraId="79CA10FD" w14:textId="77777777" w:rsidR="000A55AA" w:rsidRPr="008B3312" w:rsidRDefault="000A55AA">
            <w:pPr>
              <w:rPr>
                <w:rFonts w:ascii="Times New Roman" w:hAnsi="Times New Roman" w:cs="Times New Roman"/>
                <w:sz w:val="20"/>
                <w:szCs w:val="20"/>
              </w:rPr>
            </w:pPr>
            <w:r>
              <w:rPr>
                <w:rFonts w:ascii="Times New Roman" w:hAnsi="Times New Roman"/>
                <w:sz w:val="20"/>
              </w:rPr>
              <w:t>Code courtier</w:t>
            </w:r>
          </w:p>
        </w:tc>
        <w:tc>
          <w:tcPr>
            <w:tcW w:w="5941" w:type="dxa"/>
            <w:hideMark/>
          </w:tcPr>
          <w:p w14:paraId="57FAB0E5" w14:textId="4F051BBC"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 xml:space="preserve">Code d’identification du courtier,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eastAsia="Times New Roman" w:hAnsi="Times New Roman" w:cs="Times New Roman"/>
                <w:sz w:val="20"/>
                <w:szCs w:val="20"/>
              </w:rPr>
              <w:br/>
            </w:r>
            <w:r w:rsidR="0072092D">
              <w:rPr>
                <w:rFonts w:ascii="Times New Roman" w:hAnsi="Times New Roman"/>
                <w:sz w:val="20"/>
              </w:rPr>
              <w:t xml:space="preserve">– Identifiant d’entité juridique (LEI); </w:t>
            </w:r>
            <w:r w:rsidR="00FE79E2">
              <w:rPr>
                <w:rFonts w:ascii="Times New Roman" w:eastAsia="Times New Roman" w:hAnsi="Times New Roman" w:cs="Times New Roman"/>
                <w:sz w:val="20"/>
                <w:szCs w:val="20"/>
              </w:rPr>
              <w:br/>
            </w:r>
            <w:r w:rsidR="0072092D">
              <w:rPr>
                <w:rFonts w:ascii="Times New Roman" w:hAnsi="Times New Roman"/>
                <w:sz w:val="20"/>
              </w:rPr>
              <w:t xml:space="preserve">– Code spécifique attribué par </w:t>
            </w:r>
            <w:r w:rsidR="005D0064">
              <w:rPr>
                <w:rFonts w:ascii="Times New Roman" w:hAnsi="Times New Roman"/>
                <w:sz w:val="20"/>
              </w:rPr>
              <w:t>l’O</w:t>
            </w:r>
            <w:r w:rsidR="00D16A51">
              <w:rPr>
                <w:rFonts w:ascii="Times New Roman" w:hAnsi="Times New Roman"/>
                <w:sz w:val="20"/>
              </w:rPr>
              <w:t>RPS</w:t>
            </w:r>
            <w:r w:rsidR="0072092D">
              <w:rPr>
                <w:rFonts w:ascii="Times New Roman" w:hAnsi="Times New Roman"/>
                <w:sz w:val="20"/>
              </w:rPr>
              <w:t>.</w:t>
            </w:r>
          </w:p>
          <w:p w14:paraId="47612C1D" w14:textId="77777777" w:rsidR="000A55AA" w:rsidRPr="008B3312" w:rsidRDefault="000A55AA" w:rsidP="00950116">
            <w:pPr>
              <w:ind w:right="175"/>
              <w:rPr>
                <w:rFonts w:ascii="Times New Roman" w:eastAsia="Times New Roman" w:hAnsi="Times New Roman" w:cs="Times New Roman"/>
                <w:sz w:val="20"/>
                <w:szCs w:val="20"/>
              </w:rPr>
            </w:pPr>
          </w:p>
          <w:p w14:paraId="75E63617" w14:textId="46F4CAA3" w:rsidR="000A55AA" w:rsidRPr="008B3312" w:rsidRDefault="000A55AA" w:rsidP="00950116">
            <w:pPr>
              <w:ind w:right="175"/>
              <w:rPr>
                <w:rFonts w:ascii="Times New Roman" w:eastAsia="Times New Roman" w:hAnsi="Times New Roman" w:cs="Times New Roman"/>
                <w:sz w:val="20"/>
                <w:szCs w:val="20"/>
              </w:rPr>
            </w:pPr>
            <w:r>
              <w:rPr>
                <w:rFonts w:ascii="Times New Roman" w:hAnsi="Times New Roman"/>
                <w:sz w:val="20"/>
              </w:rPr>
              <w:t xml:space="preserve">Si un code spécifique est attribué par </w:t>
            </w:r>
            <w:r w:rsidR="005D0064">
              <w:rPr>
                <w:rFonts w:ascii="Times New Roman" w:hAnsi="Times New Roman"/>
                <w:sz w:val="20"/>
              </w:rPr>
              <w:t>l’O</w:t>
            </w:r>
            <w:r w:rsidR="00D16A51">
              <w:rPr>
                <w:rFonts w:ascii="Times New Roman" w:hAnsi="Times New Roman"/>
                <w:sz w:val="20"/>
              </w:rPr>
              <w:t>RPS</w:t>
            </w:r>
            <w:r>
              <w:rPr>
                <w:rFonts w:ascii="Times New Roman" w:hAnsi="Times New Roman"/>
                <w:sz w:val="20"/>
              </w:rPr>
              <w:t>, ce code doit être unique pour le courtier et n’être identique à aucun autre code attribué par l’entreprise ni à aucun code LEI.</w:t>
            </w:r>
          </w:p>
          <w:p w14:paraId="1BB5FD3B" w14:textId="77777777" w:rsidR="000A55AA" w:rsidRPr="008B3312" w:rsidRDefault="000A55AA" w:rsidP="00950116">
            <w:pPr>
              <w:ind w:right="175"/>
              <w:rPr>
                <w:rFonts w:ascii="Times New Roman" w:eastAsia="Times New Roman" w:hAnsi="Times New Roman" w:cs="Times New Roman"/>
                <w:sz w:val="20"/>
                <w:szCs w:val="20"/>
              </w:rPr>
            </w:pPr>
          </w:p>
          <w:p w14:paraId="2FC07110" w14:textId="77777777" w:rsidR="000A55AA" w:rsidRPr="008B3312" w:rsidRDefault="000A55AA" w:rsidP="00950116">
            <w:pPr>
              <w:ind w:right="175"/>
              <w:rPr>
                <w:rFonts w:ascii="Times New Roman" w:hAnsi="Times New Roman" w:cs="Times New Roman"/>
                <w:sz w:val="20"/>
                <w:szCs w:val="20"/>
              </w:rPr>
            </w:pPr>
            <w:r>
              <w:rPr>
                <w:rFonts w:ascii="Times New Roman" w:hAnsi="Times New Roman"/>
                <w:sz w:val="20"/>
              </w:rPr>
              <w:t>Lorsqu’un traité de réassurance est couvert par plusieurs courtiers, ne déclarer que le courtier dominant.</w:t>
            </w:r>
          </w:p>
        </w:tc>
      </w:tr>
      <w:tr w:rsidR="000A55AA" w:rsidRPr="008B3312" w14:paraId="19D67145" w14:textId="77777777" w:rsidTr="00950116">
        <w:trPr>
          <w:trHeight w:val="330"/>
        </w:trPr>
        <w:tc>
          <w:tcPr>
            <w:tcW w:w="1242" w:type="dxa"/>
            <w:gridSpan w:val="3"/>
          </w:tcPr>
          <w:p w14:paraId="12E5DBF9"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C0280</w:t>
            </w:r>
          </w:p>
        </w:tc>
        <w:tc>
          <w:tcPr>
            <w:tcW w:w="1997" w:type="dxa"/>
          </w:tcPr>
          <w:p w14:paraId="17349F73" w14:textId="77777777" w:rsidR="000A55AA" w:rsidRPr="008B3312" w:rsidRDefault="000A55AA">
            <w:pPr>
              <w:rPr>
                <w:rFonts w:ascii="Times New Roman" w:hAnsi="Times New Roman" w:cs="Times New Roman"/>
                <w:sz w:val="20"/>
                <w:szCs w:val="20"/>
              </w:rPr>
            </w:pPr>
            <w:r>
              <w:rPr>
                <w:rFonts w:ascii="Times New Roman" w:hAnsi="Times New Roman"/>
                <w:sz w:val="20"/>
              </w:rPr>
              <w:t>Type de code du courtier</w:t>
            </w:r>
          </w:p>
        </w:tc>
        <w:tc>
          <w:tcPr>
            <w:tcW w:w="5941" w:type="dxa"/>
          </w:tcPr>
          <w:p w14:paraId="58D5B6E6" w14:textId="77777777" w:rsidR="000A55AA" w:rsidRPr="008B3312" w:rsidRDefault="000A55AA" w:rsidP="00950116">
            <w:pPr>
              <w:ind w:right="175"/>
              <w:rPr>
                <w:rFonts w:ascii="Times New Roman" w:hAnsi="Times New Roman" w:cs="Times New Roman"/>
                <w:sz w:val="20"/>
                <w:szCs w:val="20"/>
              </w:rPr>
            </w:pPr>
            <w:r>
              <w:rPr>
                <w:rFonts w:ascii="Times New Roman" w:hAnsi="Times New Roman"/>
                <w:color w:val="000000"/>
                <w:sz w:val="20"/>
              </w:rPr>
              <w:t>Indiquer le type de code utilisé dans la rubrique</w:t>
            </w:r>
            <w:proofErr w:type="gramStart"/>
            <w:r>
              <w:rPr>
                <w:rFonts w:ascii="Times New Roman" w:hAnsi="Times New Roman"/>
                <w:color w:val="000000"/>
                <w:sz w:val="20"/>
              </w:rPr>
              <w:t xml:space="preserve"> «Code</w:t>
            </w:r>
            <w:proofErr w:type="gramEnd"/>
            <w:r>
              <w:rPr>
                <w:rFonts w:ascii="Times New Roman" w:hAnsi="Times New Roman"/>
                <w:color w:val="000000"/>
                <w:sz w:val="20"/>
              </w:rPr>
              <w:t xml:space="preserve"> courtier».</w:t>
            </w:r>
            <w:r w:rsidR="00FE79E2">
              <w:rPr>
                <w:rFonts w:ascii="Times New Roman" w:eastAsia="Times New Roman" w:hAnsi="Times New Roman" w:cs="Times New Roman"/>
                <w:color w:val="000000"/>
                <w:sz w:val="20"/>
                <w:szCs w:val="20"/>
              </w:rPr>
              <w:br/>
            </w:r>
            <w:r>
              <w:rPr>
                <w:rFonts w:ascii="Times New Roman" w:hAnsi="Times New Roman"/>
                <w:color w:val="000000"/>
                <w:sz w:val="20"/>
              </w:rPr>
              <w:t xml:space="preserve">1 – LEI </w:t>
            </w:r>
            <w:r w:rsidR="00FE79E2">
              <w:rPr>
                <w:rFonts w:ascii="Times New Roman" w:eastAsia="Times New Roman" w:hAnsi="Times New Roman" w:cs="Times New Roman"/>
                <w:color w:val="000000"/>
                <w:sz w:val="20"/>
                <w:szCs w:val="20"/>
              </w:rPr>
              <w:br/>
            </w:r>
            <w:r>
              <w:rPr>
                <w:rFonts w:ascii="Times New Roman" w:hAnsi="Times New Roman"/>
                <w:color w:val="000000"/>
                <w:sz w:val="20"/>
              </w:rPr>
              <w:t>2 – Code spécifique</w:t>
            </w:r>
          </w:p>
        </w:tc>
      </w:tr>
      <w:tr w:rsidR="000A55AA" w:rsidRPr="008B3312" w14:paraId="3C0BEB61" w14:textId="77777777" w:rsidTr="00950116">
        <w:trPr>
          <w:trHeight w:val="330"/>
        </w:trPr>
        <w:tc>
          <w:tcPr>
            <w:tcW w:w="1242" w:type="dxa"/>
            <w:gridSpan w:val="3"/>
            <w:hideMark/>
          </w:tcPr>
          <w:p w14:paraId="52C42421"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C0290</w:t>
            </w:r>
          </w:p>
        </w:tc>
        <w:tc>
          <w:tcPr>
            <w:tcW w:w="1997" w:type="dxa"/>
            <w:hideMark/>
          </w:tcPr>
          <w:p w14:paraId="49AAEB71" w14:textId="77777777" w:rsidR="000A55AA" w:rsidRPr="008B3312" w:rsidRDefault="000A55AA">
            <w:pPr>
              <w:rPr>
                <w:rFonts w:ascii="Times New Roman" w:hAnsi="Times New Roman" w:cs="Times New Roman"/>
                <w:sz w:val="20"/>
                <w:szCs w:val="20"/>
              </w:rPr>
            </w:pPr>
            <w:r>
              <w:rPr>
                <w:rFonts w:ascii="Times New Roman" w:hAnsi="Times New Roman"/>
                <w:sz w:val="20"/>
              </w:rPr>
              <w:t>Nom juridique du courtier</w:t>
            </w:r>
          </w:p>
        </w:tc>
        <w:tc>
          <w:tcPr>
            <w:tcW w:w="5941" w:type="dxa"/>
            <w:hideMark/>
          </w:tcPr>
          <w:p w14:paraId="3D1725A4" w14:textId="77777777" w:rsidR="000A55AA" w:rsidRPr="008B3312" w:rsidRDefault="000A55AA">
            <w:pPr>
              <w:rPr>
                <w:rFonts w:ascii="Times New Roman" w:hAnsi="Times New Roman" w:cs="Times New Roman"/>
                <w:sz w:val="20"/>
                <w:szCs w:val="20"/>
              </w:rPr>
            </w:pPr>
            <w:r>
              <w:rPr>
                <w:rFonts w:ascii="Times New Roman" w:hAnsi="Times New Roman"/>
                <w:sz w:val="20"/>
              </w:rPr>
              <w:t>Nom légal du courtier.</w:t>
            </w:r>
          </w:p>
        </w:tc>
      </w:tr>
      <w:tr w:rsidR="000A55AA" w:rsidRPr="008B3312" w14:paraId="7084A8E0" w14:textId="77777777" w:rsidTr="00950116">
        <w:trPr>
          <w:trHeight w:val="300"/>
        </w:trPr>
        <w:tc>
          <w:tcPr>
            <w:tcW w:w="1242" w:type="dxa"/>
            <w:gridSpan w:val="3"/>
          </w:tcPr>
          <w:p w14:paraId="3051CA2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C0300</w:t>
            </w:r>
          </w:p>
        </w:tc>
        <w:tc>
          <w:tcPr>
            <w:tcW w:w="1997" w:type="dxa"/>
          </w:tcPr>
          <w:p w14:paraId="4CC5BCF8"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Code du fournisseur de la sûreté (le cas échéant)</w:t>
            </w:r>
          </w:p>
        </w:tc>
        <w:tc>
          <w:tcPr>
            <w:tcW w:w="5941" w:type="dxa"/>
          </w:tcPr>
          <w:p w14:paraId="58EF5EC4" w14:textId="6E5B3524" w:rsidR="000A55AA" w:rsidRPr="008B3312" w:rsidRDefault="000A55AA">
            <w:pPr>
              <w:rPr>
                <w:rFonts w:ascii="Times New Roman" w:hAnsi="Times New Roman" w:cs="Times New Roman"/>
                <w:sz w:val="20"/>
                <w:szCs w:val="20"/>
              </w:rPr>
            </w:pPr>
            <w:r>
              <w:rPr>
                <w:rFonts w:ascii="Times New Roman" w:hAnsi="Times New Roman"/>
                <w:sz w:val="20"/>
              </w:rPr>
              <w:t>Identification au moyen du code LEI s’il est disponible.</w:t>
            </w:r>
            <w:r w:rsidR="00FE79E2">
              <w:rPr>
                <w:rFonts w:ascii="Times New Roman" w:hAnsi="Times New Roman" w:cs="Times New Roman"/>
                <w:sz w:val="20"/>
                <w:szCs w:val="20"/>
              </w:rPr>
              <w:br/>
            </w:r>
          </w:p>
          <w:p w14:paraId="72137BE3" w14:textId="77777777" w:rsidR="000A55AA" w:rsidRPr="008B3312" w:rsidRDefault="000A55AA">
            <w:pPr>
              <w:rPr>
                <w:rFonts w:ascii="Times New Roman" w:hAnsi="Times New Roman" w:cs="Times New Roman"/>
                <w:sz w:val="20"/>
                <w:szCs w:val="20"/>
              </w:rPr>
            </w:pPr>
            <w:r>
              <w:rPr>
                <w:rFonts w:ascii="Times New Roman" w:hAnsi="Times New Roman"/>
                <w:sz w:val="20"/>
              </w:rPr>
              <w:t>S’il n’existe pas, ne rien déclarer pour cet élément.</w:t>
            </w:r>
          </w:p>
        </w:tc>
      </w:tr>
      <w:tr w:rsidR="000A55AA" w:rsidRPr="008B3312" w14:paraId="6AEE5F43" w14:textId="77777777" w:rsidTr="0044578D">
        <w:trPr>
          <w:trHeight w:val="746"/>
        </w:trPr>
        <w:tc>
          <w:tcPr>
            <w:tcW w:w="1242" w:type="dxa"/>
            <w:gridSpan w:val="3"/>
          </w:tcPr>
          <w:p w14:paraId="2C4F8B7E"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C0310</w:t>
            </w:r>
          </w:p>
        </w:tc>
        <w:tc>
          <w:tcPr>
            <w:tcW w:w="1997" w:type="dxa"/>
          </w:tcPr>
          <w:p w14:paraId="02A72CD4"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Type de code du fournisseur de la sûreté (le cas échéant)</w:t>
            </w:r>
          </w:p>
        </w:tc>
        <w:tc>
          <w:tcPr>
            <w:tcW w:w="5941" w:type="dxa"/>
          </w:tcPr>
          <w:p w14:paraId="626F8280" w14:textId="77777777" w:rsidR="000A55AA" w:rsidRPr="008B3312" w:rsidRDefault="000A55AA">
            <w:pPr>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du fournisseur de la sûreté (le cas échéant)».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0A55AA" w:rsidRPr="008B3312" w14:paraId="0A0E82CD" w14:textId="77777777" w:rsidTr="00950116">
        <w:trPr>
          <w:trHeight w:val="300"/>
        </w:trPr>
        <w:tc>
          <w:tcPr>
            <w:tcW w:w="1242" w:type="dxa"/>
            <w:gridSpan w:val="3"/>
          </w:tcPr>
          <w:p w14:paraId="55C97A5C"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C0320</w:t>
            </w:r>
          </w:p>
        </w:tc>
        <w:tc>
          <w:tcPr>
            <w:tcW w:w="1997" w:type="dxa"/>
          </w:tcPr>
          <w:p w14:paraId="2D68005A"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Nom du fournisseur de la sûreté</w:t>
            </w:r>
          </w:p>
        </w:tc>
        <w:tc>
          <w:tcPr>
            <w:tcW w:w="5941" w:type="dxa"/>
          </w:tcPr>
          <w:p w14:paraId="09E249E0" w14:textId="77777777" w:rsidR="000A55AA" w:rsidRPr="008B3312" w:rsidRDefault="000A55AA" w:rsidP="00950116">
            <w:pPr>
              <w:rPr>
                <w:rFonts w:ascii="Times New Roman" w:hAnsi="Times New Roman" w:cs="Times New Roman"/>
                <w:sz w:val="20"/>
                <w:szCs w:val="20"/>
              </w:rPr>
            </w:pPr>
            <w:r>
              <w:rPr>
                <w:rFonts w:ascii="Times New Roman" w:hAnsi="Times New Roman"/>
                <w:sz w:val="20"/>
              </w:rPr>
              <w:t xml:space="preserve">Le nom du fournisseur de la sûreté dépendra du type de la sûreté indiqué en C0120.  </w:t>
            </w:r>
          </w:p>
          <w:p w14:paraId="4938CD4C" w14:textId="77777777" w:rsidR="000A55AA" w:rsidRPr="008B3312" w:rsidRDefault="000A55AA" w:rsidP="00803166">
            <w:pPr>
              <w:pStyle w:val="Paragraphedeliste"/>
              <w:numPr>
                <w:ilvl w:val="0"/>
                <w:numId w:val="50"/>
              </w:numPr>
              <w:jc w:val="left"/>
              <w:rPr>
                <w:sz w:val="20"/>
              </w:rPr>
            </w:pPr>
            <w:r>
              <w:rPr>
                <w:sz w:val="20"/>
              </w:rPr>
              <w:t xml:space="preserve">Lorsque la sûreté est détenue en fiducie, le fournisseur de la sûreté est le fournisseur de la fiducie. </w:t>
            </w:r>
          </w:p>
          <w:p w14:paraId="2328BBEC" w14:textId="77777777" w:rsidR="000A55AA" w:rsidRPr="008B3312" w:rsidRDefault="000A55AA" w:rsidP="00803166">
            <w:pPr>
              <w:pStyle w:val="Paragraphedeliste"/>
              <w:numPr>
                <w:ilvl w:val="0"/>
                <w:numId w:val="50"/>
              </w:numPr>
              <w:jc w:val="left"/>
              <w:rPr>
                <w:sz w:val="20"/>
              </w:rPr>
            </w:pPr>
            <w:r>
              <w:rPr>
                <w:sz w:val="20"/>
              </w:rPr>
              <w:t>Lorsque la sûreté repose sur des liquidités ou des fonds conservés, cet élément peut rester vide.</w:t>
            </w:r>
          </w:p>
          <w:p w14:paraId="6CBE0202" w14:textId="77777777" w:rsidR="000A55AA" w:rsidRPr="008B3312" w:rsidRDefault="000A55AA" w:rsidP="00803166">
            <w:pPr>
              <w:pStyle w:val="Paragraphedeliste"/>
              <w:numPr>
                <w:ilvl w:val="0"/>
                <w:numId w:val="50"/>
              </w:numPr>
              <w:jc w:val="left"/>
              <w:rPr>
                <w:sz w:val="20"/>
              </w:rPr>
            </w:pPr>
            <w:r>
              <w:rPr>
                <w:sz w:val="20"/>
              </w:rPr>
              <w:t>Lorsque la sûreté est une lettre de crédit, le fournisseur sera l’établissement financier fournissant ce service.</w:t>
            </w:r>
          </w:p>
          <w:p w14:paraId="505FE62F" w14:textId="77777777" w:rsidR="000A55AA" w:rsidRPr="008B3312" w:rsidRDefault="000A55AA" w:rsidP="00803166">
            <w:pPr>
              <w:pStyle w:val="Paragraphedeliste"/>
              <w:numPr>
                <w:ilvl w:val="0"/>
                <w:numId w:val="50"/>
              </w:numPr>
              <w:jc w:val="left"/>
              <w:rPr>
                <w:sz w:val="20"/>
              </w:rPr>
            </w:pPr>
            <w:r>
              <w:rPr>
                <w:sz w:val="20"/>
              </w:rPr>
              <w:t>S’il s’agit d’un autre fournisseur, ne le déclarer que s’il y a lieu.</w:t>
            </w:r>
          </w:p>
        </w:tc>
      </w:tr>
    </w:tbl>
    <w:p w14:paraId="69BCB143" w14:textId="77777777" w:rsidR="000A55AA" w:rsidRPr="008B3312" w:rsidRDefault="000A55AA">
      <w:pPr>
        <w:rPr>
          <w:rFonts w:ascii="Times New Roman" w:hAnsi="Times New Roman" w:cs="Times New Roman"/>
          <w:sz w:val="20"/>
          <w:szCs w:val="20"/>
        </w:rPr>
      </w:pPr>
    </w:p>
    <w:p w14:paraId="06E9396D" w14:textId="040AD863" w:rsidR="000A55AA" w:rsidRDefault="005D0064">
      <w:pPr>
        <w:rPr>
          <w:rFonts w:ascii="Times New Roman" w:hAnsi="Times New Roman" w:cs="Times New Roman"/>
          <w:b/>
          <w:bCs/>
          <w:sz w:val="20"/>
          <w:szCs w:val="20"/>
        </w:rPr>
      </w:pPr>
      <w:r>
        <w:rPr>
          <w:rFonts w:ascii="Times New Roman" w:hAnsi="Times New Roman" w:cs="Times New Roman"/>
          <w:b/>
          <w:bCs/>
          <w:sz w:val="20"/>
          <w:szCs w:val="20"/>
        </w:rPr>
        <w:t>Tableau de l’état</w:t>
      </w:r>
    </w:p>
    <w:p w14:paraId="2F1C0929" w14:textId="6586DD70" w:rsidR="005D0064" w:rsidRPr="008B3312" w:rsidRDefault="005D0064" w:rsidP="005D0064">
      <w:pPr>
        <w:ind w:hanging="1134"/>
        <w:rPr>
          <w:rFonts w:ascii="Times New Roman" w:hAnsi="Times New Roman" w:cs="Times New Roman"/>
          <w:b/>
          <w:bCs/>
          <w:sz w:val="20"/>
          <w:szCs w:val="20"/>
        </w:rPr>
      </w:pPr>
      <w:r w:rsidRPr="005D0064">
        <w:rPr>
          <w:noProof/>
          <w:lang w:bidi="ar-SA"/>
        </w:rPr>
        <w:lastRenderedPageBreak/>
        <w:drawing>
          <wp:inline distT="0" distB="0" distL="0" distR="0" wp14:anchorId="17F2148F" wp14:editId="3BA63B46">
            <wp:extent cx="7410450" cy="4011098"/>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16735" cy="4014500"/>
                    </a:xfrm>
                    <a:prstGeom prst="rect">
                      <a:avLst/>
                    </a:prstGeom>
                    <a:noFill/>
                    <a:ln>
                      <a:noFill/>
                    </a:ln>
                  </pic:spPr>
                </pic:pic>
              </a:graphicData>
            </a:graphic>
          </wp:inline>
        </w:drawing>
      </w:r>
    </w:p>
    <w:p w14:paraId="7E2F67F6" w14:textId="77777777" w:rsidR="00270A08" w:rsidRDefault="00270A08">
      <w:pPr>
        <w:rPr>
          <w:rFonts w:ascii="Times New Roman" w:hAnsi="Times New Roman"/>
          <w:b/>
          <w:sz w:val="20"/>
        </w:rPr>
      </w:pPr>
      <w:r>
        <w:rPr>
          <w:rFonts w:ascii="Times New Roman" w:hAnsi="Times New Roman"/>
          <w:b/>
          <w:sz w:val="20"/>
        </w:rPr>
        <w:br w:type="page"/>
      </w:r>
    </w:p>
    <w:p w14:paraId="76C88871" w14:textId="77777777" w:rsidR="00637AB7" w:rsidRPr="00166F34" w:rsidRDefault="00637AB7" w:rsidP="0095672C">
      <w:pPr>
        <w:rPr>
          <w:rFonts w:ascii="Times New Roman" w:hAnsi="Times New Roman"/>
        </w:rPr>
      </w:pP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06F"/>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4EDB"/>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064"/>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6F697C"/>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128E"/>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01"/>
    <w:rsid w:val="00BC1FF6"/>
    <w:rsid w:val="00BC6107"/>
    <w:rsid w:val="00BD243A"/>
    <w:rsid w:val="00BE1B63"/>
    <w:rsid w:val="00BE57D0"/>
    <w:rsid w:val="00BF4262"/>
    <w:rsid w:val="00C03D09"/>
    <w:rsid w:val="00C051D6"/>
    <w:rsid w:val="00C13933"/>
    <w:rsid w:val="00C16CE6"/>
    <w:rsid w:val="00C22F9F"/>
    <w:rsid w:val="00C238BC"/>
    <w:rsid w:val="00C2410F"/>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FB159919-D2CF-4251-8884-9A550151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AEE57BEC-6E49-4834-8571-7786FC7B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4258</Words>
  <Characters>23425</Characters>
  <Application>Microsoft Office Word</Application>
  <DocSecurity>0</DocSecurity>
  <Lines>195</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2024-03-12T09:06:00Z</dcterms:created>
  <dcterms:modified xsi:type="dcterms:W3CDTF">2024-03-12T09:06:00Z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