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510D5" w14:textId="7275C9D3" w:rsidR="00E57F8E" w:rsidRDefault="00C80BAE" w:rsidP="00E57F8E">
      <w:pPr>
        <w:pStyle w:val="Annexesous-titre1"/>
      </w:pPr>
      <w:r>
        <w:rPr>
          <w:noProof/>
        </w:rPr>
        <w:drawing>
          <wp:inline distT="0" distB="0" distL="0" distR="0" wp14:anchorId="50A81215" wp14:editId="5ACA9FA5">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59F378BE" w14:textId="77777777" w:rsidR="00E57F8E" w:rsidRPr="00775EA8" w:rsidRDefault="00E57F8E" w:rsidP="00E57F8E">
      <w:bookmarkStart w:id="0" w:name="_GoBack"/>
      <w:bookmarkEnd w:id="0"/>
    </w:p>
    <w:p w14:paraId="6C6C0828" w14:textId="77777777" w:rsidR="00E57F8E" w:rsidRPr="007A3845" w:rsidRDefault="00E57F8E" w:rsidP="00E57F8E">
      <w:pPr>
        <w:spacing w:after="0" w:line="240" w:lineRule="auto"/>
        <w:jc w:val="center"/>
        <w:rPr>
          <w:rFonts w:ascii="Arial" w:hAnsi="Arial" w:cs="Arial"/>
          <w:b/>
          <w:color w:val="003B8E"/>
          <w:sz w:val="32"/>
          <w:szCs w:val="32"/>
        </w:rPr>
      </w:pPr>
      <w:r>
        <w:rPr>
          <w:rFonts w:ascii="Arial" w:hAnsi="Arial" w:cs="Arial"/>
          <w:b/>
          <w:color w:val="003B8E"/>
          <w:sz w:val="32"/>
          <w:szCs w:val="32"/>
        </w:rPr>
        <w:t>Guide méthodologique</w:t>
      </w:r>
    </w:p>
    <w:p w14:paraId="01F23F75" w14:textId="564F16E6" w:rsidR="00E57F8E" w:rsidRDefault="00E57F8E" w:rsidP="00E57F8E">
      <w:pPr>
        <w:spacing w:after="0" w:line="240" w:lineRule="auto"/>
        <w:jc w:val="center"/>
        <w:rPr>
          <w:rFonts w:ascii="Times New Roman" w:hAnsi="Times New Roman"/>
          <w:b/>
          <w:sz w:val="24"/>
          <w:u w:val="single"/>
        </w:rPr>
      </w:pPr>
      <w:r w:rsidRPr="007A3845">
        <w:rPr>
          <w:rFonts w:ascii="Arial" w:hAnsi="Arial" w:cs="Arial"/>
          <w:b/>
          <w:color w:val="003B8E"/>
          <w:sz w:val="32"/>
          <w:szCs w:val="32"/>
        </w:rPr>
        <w:t>Utilisation de</w:t>
      </w:r>
      <w:r>
        <w:rPr>
          <w:rFonts w:ascii="Arial" w:hAnsi="Arial" w:cs="Arial"/>
          <w:b/>
          <w:color w:val="003B8E"/>
          <w:sz w:val="32"/>
          <w:szCs w:val="32"/>
        </w:rPr>
        <w:t xml:space="preserve">s </w:t>
      </w:r>
      <w:r w:rsidRPr="007A3845">
        <w:rPr>
          <w:rFonts w:ascii="Arial" w:hAnsi="Arial" w:cs="Arial"/>
          <w:b/>
          <w:color w:val="003B8E"/>
          <w:sz w:val="32"/>
          <w:szCs w:val="32"/>
        </w:rPr>
        <w:t>état</w:t>
      </w:r>
      <w:r>
        <w:rPr>
          <w:rFonts w:ascii="Arial" w:hAnsi="Arial" w:cs="Arial"/>
          <w:b/>
          <w:color w:val="003B8E"/>
          <w:sz w:val="32"/>
          <w:szCs w:val="32"/>
        </w:rPr>
        <w:t>s de</w:t>
      </w:r>
      <w:r w:rsidRPr="007A3845">
        <w:rPr>
          <w:rFonts w:ascii="Arial" w:hAnsi="Arial" w:cs="Arial"/>
          <w:b/>
          <w:color w:val="003B8E"/>
          <w:sz w:val="32"/>
          <w:szCs w:val="32"/>
        </w:rPr>
        <w:t xml:space="preserve"> </w:t>
      </w:r>
      <w:r>
        <w:rPr>
          <w:rFonts w:ascii="Arial" w:hAnsi="Arial" w:cs="Arial"/>
          <w:b/>
          <w:color w:val="003B8E"/>
          <w:sz w:val="32"/>
          <w:szCs w:val="32"/>
        </w:rPr>
        <w:t>test</w:t>
      </w:r>
      <w:r w:rsidR="00890082">
        <w:rPr>
          <w:rFonts w:ascii="Arial" w:hAnsi="Arial" w:cs="Arial"/>
          <w:b/>
          <w:color w:val="003B8E"/>
          <w:sz w:val="32"/>
          <w:szCs w:val="32"/>
        </w:rPr>
        <w:t>s</w:t>
      </w:r>
      <w:r>
        <w:rPr>
          <w:rFonts w:ascii="Arial" w:hAnsi="Arial" w:cs="Arial"/>
          <w:b/>
          <w:color w:val="003B8E"/>
          <w:sz w:val="32"/>
          <w:szCs w:val="32"/>
        </w:rPr>
        <w:t xml:space="preserve"> de résistance</w:t>
      </w:r>
      <w:r w:rsidRPr="007A3845">
        <w:rPr>
          <w:rFonts w:ascii="Arial" w:hAnsi="Arial" w:cs="Arial"/>
          <w:b/>
          <w:color w:val="003B8E"/>
          <w:sz w:val="32"/>
          <w:szCs w:val="32"/>
        </w:rPr>
        <w:t xml:space="preserve"> – </w:t>
      </w:r>
      <w:r>
        <w:rPr>
          <w:rFonts w:ascii="Arial" w:hAnsi="Arial" w:cs="Arial"/>
          <w:b/>
          <w:color w:val="003B8E"/>
          <w:sz w:val="32"/>
          <w:szCs w:val="32"/>
        </w:rPr>
        <w:t>RP.43</w:t>
      </w:r>
      <w:r w:rsidR="00890082">
        <w:rPr>
          <w:rFonts w:ascii="Arial" w:hAnsi="Arial" w:cs="Arial"/>
          <w:b/>
          <w:color w:val="003B8E"/>
          <w:sz w:val="32"/>
          <w:szCs w:val="32"/>
        </w:rPr>
        <w:t>.01</w:t>
      </w:r>
    </w:p>
    <w:p w14:paraId="457928A5" w14:textId="77777777" w:rsidR="00E57F8E" w:rsidRDefault="00E57F8E">
      <w:pPr>
        <w:rPr>
          <w:rFonts w:ascii="Times New Roman" w:hAnsi="Times New Roman"/>
          <w:b/>
          <w:sz w:val="24"/>
          <w:u w:val="single"/>
        </w:rPr>
      </w:pPr>
    </w:p>
    <w:p w14:paraId="31E7EF6E" w14:textId="27130850" w:rsidR="00270A08" w:rsidRPr="00165936" w:rsidRDefault="0095672C" w:rsidP="00270A08">
      <w:pPr>
        <w:jc w:val="both"/>
        <w:rPr>
          <w:rFonts w:ascii="Times New Roman" w:hAnsi="Times New Roman"/>
        </w:rPr>
      </w:pPr>
      <w:r>
        <w:rPr>
          <w:rFonts w:ascii="Times New Roman" w:hAnsi="Times New Roman"/>
          <w:sz w:val="20"/>
        </w:rPr>
        <w:t xml:space="preserve"> </w:t>
      </w:r>
      <w:r w:rsidR="00270A08" w:rsidRPr="00165936">
        <w:rPr>
          <w:rFonts w:ascii="Times New Roman" w:hAnsi="Times New Roman"/>
        </w:rPr>
        <w:t xml:space="preserve">Cette section concerne la déclaration annuelle demandée aux </w:t>
      </w:r>
      <w:r w:rsidR="009114CA" w:rsidRPr="00165936">
        <w:rPr>
          <w:rFonts w:ascii="Times New Roman" w:hAnsi="Times New Roman"/>
        </w:rPr>
        <w:t>organismes de retraite professionnelle supplémentaire</w:t>
      </w:r>
      <w:r w:rsidR="00270A08" w:rsidRPr="00165936">
        <w:rPr>
          <w:rFonts w:ascii="Times New Roman" w:hAnsi="Times New Roman"/>
        </w:rPr>
        <w:t>. Elle comprend 4 modèles, 1 par scénario :</w:t>
      </w:r>
    </w:p>
    <w:p w14:paraId="29D92EA5" w14:textId="39A895BE" w:rsidR="00270A08" w:rsidRPr="00165936" w:rsidRDefault="00270A08" w:rsidP="00270A08">
      <w:pPr>
        <w:pStyle w:val="Paragraphedeliste"/>
        <w:numPr>
          <w:ilvl w:val="0"/>
          <w:numId w:val="68"/>
        </w:numPr>
        <w:rPr>
          <w:szCs w:val="22"/>
        </w:rPr>
      </w:pPr>
      <w:r w:rsidRPr="00165936">
        <w:rPr>
          <w:szCs w:val="22"/>
        </w:rPr>
        <w:t>RP.4</w:t>
      </w:r>
      <w:r w:rsidR="00E575F2" w:rsidRPr="00165936">
        <w:rPr>
          <w:szCs w:val="22"/>
        </w:rPr>
        <w:t>3</w:t>
      </w:r>
      <w:r w:rsidRPr="00165936">
        <w:rPr>
          <w:szCs w:val="22"/>
        </w:rPr>
        <w:t>.01.01 : Tests de résistance - scénario central</w:t>
      </w:r>
    </w:p>
    <w:p w14:paraId="0BDF4810" w14:textId="0184196B" w:rsidR="00270A08" w:rsidRPr="00165936" w:rsidRDefault="00270A08" w:rsidP="00270A08">
      <w:pPr>
        <w:pStyle w:val="Paragraphedeliste"/>
        <w:numPr>
          <w:ilvl w:val="0"/>
          <w:numId w:val="68"/>
        </w:numPr>
        <w:rPr>
          <w:szCs w:val="22"/>
        </w:rPr>
      </w:pPr>
      <w:r w:rsidRPr="00165936">
        <w:rPr>
          <w:szCs w:val="22"/>
        </w:rPr>
        <w:t>RP.4</w:t>
      </w:r>
      <w:r w:rsidR="00E575F2" w:rsidRPr="00165936">
        <w:rPr>
          <w:szCs w:val="22"/>
        </w:rPr>
        <w:t>3</w:t>
      </w:r>
      <w:r w:rsidRPr="00165936">
        <w:rPr>
          <w:szCs w:val="22"/>
        </w:rPr>
        <w:t>.01.02 : Tests de résistance - scénario taux bas</w:t>
      </w:r>
    </w:p>
    <w:p w14:paraId="0FDC324E" w14:textId="16CA3311" w:rsidR="00270A08" w:rsidRPr="00165936" w:rsidRDefault="00270A08" w:rsidP="00270A08">
      <w:pPr>
        <w:pStyle w:val="Paragraphedeliste"/>
        <w:numPr>
          <w:ilvl w:val="0"/>
          <w:numId w:val="68"/>
        </w:numPr>
        <w:rPr>
          <w:szCs w:val="22"/>
        </w:rPr>
      </w:pPr>
      <w:r w:rsidRPr="00165936">
        <w:rPr>
          <w:szCs w:val="22"/>
        </w:rPr>
        <w:t>RP.4</w:t>
      </w:r>
      <w:r w:rsidR="00E575F2" w:rsidRPr="00165936">
        <w:rPr>
          <w:szCs w:val="22"/>
        </w:rPr>
        <w:t>3</w:t>
      </w:r>
      <w:r w:rsidRPr="00165936">
        <w:rPr>
          <w:szCs w:val="22"/>
        </w:rPr>
        <w:t>.01.03 : Tests de résistance - scénario actions et immobilier</w:t>
      </w:r>
    </w:p>
    <w:p w14:paraId="0D829F6C" w14:textId="70555997" w:rsidR="00270A08" w:rsidRPr="00165936" w:rsidRDefault="00270A08" w:rsidP="00270A08">
      <w:pPr>
        <w:pStyle w:val="Paragraphedeliste"/>
        <w:numPr>
          <w:ilvl w:val="0"/>
          <w:numId w:val="68"/>
        </w:numPr>
        <w:rPr>
          <w:szCs w:val="22"/>
        </w:rPr>
      </w:pPr>
      <w:r w:rsidRPr="00165936">
        <w:rPr>
          <w:szCs w:val="22"/>
        </w:rPr>
        <w:t>RP.4</w:t>
      </w:r>
      <w:r w:rsidR="00E575F2" w:rsidRPr="00165936">
        <w:rPr>
          <w:szCs w:val="22"/>
        </w:rPr>
        <w:t>3</w:t>
      </w:r>
      <w:r w:rsidRPr="00165936">
        <w:rPr>
          <w:szCs w:val="22"/>
        </w:rPr>
        <w:t>.01.04 : Tests de résistance - scénario longévité</w:t>
      </w:r>
    </w:p>
    <w:p w14:paraId="672AB7D7" w14:textId="77777777" w:rsidR="00270A08" w:rsidRPr="00165936" w:rsidRDefault="00270A08" w:rsidP="00270A08">
      <w:pPr>
        <w:pStyle w:val="Paragraphedeliste"/>
        <w:rPr>
          <w:szCs w:val="22"/>
        </w:rPr>
      </w:pPr>
    </w:p>
    <w:p w14:paraId="0FB44877" w14:textId="201FD296" w:rsidR="00724947" w:rsidRPr="00165936" w:rsidRDefault="00270A08" w:rsidP="00270A08">
      <w:pPr>
        <w:jc w:val="both"/>
        <w:rPr>
          <w:rFonts w:ascii="Times New Roman" w:hAnsi="Times New Roman"/>
        </w:rPr>
      </w:pPr>
      <w:r w:rsidRPr="00165936">
        <w:rPr>
          <w:rFonts w:ascii="Times New Roman" w:hAnsi="Times New Roman"/>
        </w:rPr>
        <w:t>Ces modèles visent à estimer, pour chaque scénario</w:t>
      </w:r>
      <w:r w:rsidR="00C541C5">
        <w:rPr>
          <w:rFonts w:ascii="Times New Roman" w:hAnsi="Times New Roman"/>
        </w:rPr>
        <w:t xml:space="preserve"> défini au R385-4 du code des assurances</w:t>
      </w:r>
      <w:r w:rsidRPr="00165936">
        <w:rPr>
          <w:rFonts w:ascii="Times New Roman" w:hAnsi="Times New Roman"/>
        </w:rPr>
        <w:t>, l’évolution sur 10 ans du compte de résultat et de certains postes du bilan, du ratio de couverture de l’exigence de marge de solvabilité.</w:t>
      </w:r>
    </w:p>
    <w:p w14:paraId="21D0B0B0" w14:textId="5348D2D1" w:rsidR="00724947" w:rsidRPr="00165936" w:rsidRDefault="00270A08" w:rsidP="00270A08">
      <w:pPr>
        <w:jc w:val="both"/>
        <w:rPr>
          <w:rFonts w:ascii="Times New Roman" w:hAnsi="Times New Roman"/>
        </w:rPr>
      </w:pPr>
      <w:r w:rsidRPr="00165936">
        <w:rPr>
          <w:rFonts w:ascii="Times New Roman" w:hAnsi="Times New Roman"/>
        </w:rPr>
        <w:t>Les données demandées correspondent la plupart du temps aux notions comptables définies dans le règlement ANC 2015-11.</w:t>
      </w:r>
      <w:r w:rsidR="00724947" w:rsidRPr="00165936">
        <w:rPr>
          <w:rFonts w:ascii="Times New Roman" w:hAnsi="Times New Roman"/>
        </w:rPr>
        <w:t xml:space="preserve"> Elles doivent de façon générale être fournies à l’échelle d</w:t>
      </w:r>
      <w:r w:rsidR="00470C90" w:rsidRPr="00165936">
        <w:rPr>
          <w:rFonts w:ascii="Times New Roman" w:hAnsi="Times New Roman"/>
        </w:rPr>
        <w:t>e</w:t>
      </w:r>
      <w:r w:rsidR="00724947" w:rsidRPr="00165936">
        <w:rPr>
          <w:rFonts w:ascii="Times New Roman" w:hAnsi="Times New Roman"/>
        </w:rPr>
        <w:t xml:space="preserve"> </w:t>
      </w:r>
      <w:r w:rsidR="00470C90" w:rsidRPr="00165936">
        <w:rPr>
          <w:rFonts w:ascii="Times New Roman" w:hAnsi="Times New Roman"/>
        </w:rPr>
        <w:t xml:space="preserve">l’organisme de retraite professionnelle </w:t>
      </w:r>
      <w:r w:rsidR="00724947" w:rsidRPr="00165936">
        <w:rPr>
          <w:rFonts w:ascii="Times New Roman" w:hAnsi="Times New Roman"/>
        </w:rPr>
        <w:t>dans son ensemble, et non séparément pour le fonds général d’une part et les comptabilités auxiliaires d’affectation d’autre part. La seule exception à ce principe concerne les données relatives au  test de déclenchement de la provision pour aléas financiers (de R0800 à R0860) pour lesquelles les informations sont à fournir au niveau du fonds général uniquement.</w:t>
      </w:r>
    </w:p>
    <w:p w14:paraId="645F9802" w14:textId="425768E8" w:rsidR="00890082" w:rsidRDefault="00270A08" w:rsidP="00270A08">
      <w:pPr>
        <w:jc w:val="both"/>
        <w:rPr>
          <w:rFonts w:ascii="Times New Roman" w:hAnsi="Times New Roman"/>
        </w:rPr>
      </w:pPr>
      <w:r w:rsidRPr="00165936">
        <w:rPr>
          <w:rFonts w:ascii="Times New Roman" w:hAnsi="Times New Roman"/>
        </w:rPr>
        <w:t>Pour chaque modèle, la première colonne, « Ouverture », correspond aux valeurs de clôture du dernier exercice clos. Ces valeurs sont ensuite projetées sur 10 ans pour chaque scénario (10 colonnes suivantes).</w:t>
      </w:r>
    </w:p>
    <w:p w14:paraId="7D67B5CD" w14:textId="7F683472" w:rsidR="00733380" w:rsidRDefault="00733380" w:rsidP="00270A08">
      <w:pPr>
        <w:jc w:val="both"/>
        <w:rPr>
          <w:rFonts w:ascii="Times New Roman" w:hAnsi="Times New Roman"/>
        </w:rPr>
      </w:pPr>
      <w:r w:rsidRPr="00733380">
        <w:rPr>
          <w:rFonts w:ascii="Times New Roman" w:hAnsi="Times New Roman"/>
        </w:rPr>
        <w:t xml:space="preserve">Par défaut, </w:t>
      </w:r>
      <w:r>
        <w:rPr>
          <w:rFonts w:ascii="Times New Roman" w:hAnsi="Times New Roman"/>
        </w:rPr>
        <w:t>des</w:t>
      </w:r>
      <w:r w:rsidRPr="00733380">
        <w:rPr>
          <w:rFonts w:ascii="Times New Roman" w:hAnsi="Times New Roman"/>
        </w:rPr>
        <w:t xml:space="preserve"> valeurs positives</w:t>
      </w:r>
      <w:r>
        <w:rPr>
          <w:rFonts w:ascii="Times New Roman" w:hAnsi="Times New Roman"/>
        </w:rPr>
        <w:t xml:space="preserve"> ou nulles sont attendues</w:t>
      </w:r>
      <w:r w:rsidRPr="00733380">
        <w:rPr>
          <w:rFonts w:ascii="Times New Roman" w:hAnsi="Times New Roman"/>
        </w:rPr>
        <w:t>. Toutefois, pour certains champs qui requièrent des valeurs qui peuvent être positives ou négatives selon la situation, il convient d’inscrire la valeur en la « signant » négativement si la valeur attendue est négative.</w:t>
      </w:r>
    </w:p>
    <w:p w14:paraId="3F78BDB5" w14:textId="77777777" w:rsidR="00251C21" w:rsidRPr="002D31CA" w:rsidRDefault="00251C21" w:rsidP="00251C21">
      <w:pPr>
        <w:pStyle w:val="Paragraphedeliste"/>
        <w:numPr>
          <w:ilvl w:val="0"/>
          <w:numId w:val="73"/>
        </w:numPr>
        <w:rPr>
          <w:rFonts w:ascii="Arial" w:hAnsi="Arial" w:cs="Arial"/>
          <w:b/>
          <w:sz w:val="32"/>
          <w:szCs w:val="32"/>
        </w:rPr>
      </w:pPr>
      <w:r w:rsidRPr="002D31CA">
        <w:rPr>
          <w:rFonts w:ascii="Arial" w:hAnsi="Arial" w:cs="Arial"/>
          <w:b/>
          <w:sz w:val="32"/>
          <w:szCs w:val="32"/>
        </w:rPr>
        <w:t>Utilisation de l’état</w:t>
      </w:r>
    </w:p>
    <w:p w14:paraId="79798435" w14:textId="77777777" w:rsidR="00FF2F58" w:rsidRPr="00165936" w:rsidRDefault="00FF2F58" w:rsidP="00165936">
      <w:pPr>
        <w:spacing w:after="0"/>
        <w:jc w:val="both"/>
        <w:rPr>
          <w:rFonts w:ascii="Times New Roman" w:hAnsi="Times New Roman"/>
        </w:rPr>
      </w:pPr>
    </w:p>
    <w:tbl>
      <w:tblPr>
        <w:tblStyle w:val="Grilledutableau"/>
        <w:tblW w:w="0" w:type="auto"/>
        <w:tblLook w:val="04A0" w:firstRow="1" w:lastRow="0" w:firstColumn="1" w:lastColumn="0" w:noHBand="0" w:noVBand="1"/>
      </w:tblPr>
      <w:tblGrid>
        <w:gridCol w:w="1101"/>
        <w:gridCol w:w="3402"/>
        <w:gridCol w:w="4739"/>
      </w:tblGrid>
      <w:tr w:rsidR="00270A08" w:rsidRPr="00C80BAE" w14:paraId="637F0103" w14:textId="77777777" w:rsidTr="00165936">
        <w:trPr>
          <w:trHeight w:val="234"/>
          <w:tblHeader/>
        </w:trPr>
        <w:tc>
          <w:tcPr>
            <w:tcW w:w="1101" w:type="dxa"/>
            <w:noWrap/>
            <w:vAlign w:val="center"/>
            <w:hideMark/>
          </w:tcPr>
          <w:p w14:paraId="62190C99" w14:textId="6E434401" w:rsidR="00270A08" w:rsidRPr="00AA4F14" w:rsidRDefault="00683608" w:rsidP="00311F5E">
            <w:pPr>
              <w:jc w:val="center"/>
              <w:rPr>
                <w:rFonts w:ascii="Times New Roman" w:hAnsi="Times New Roman" w:cs="Times New Roman"/>
                <w:b/>
                <w:szCs w:val="20"/>
              </w:rPr>
            </w:pPr>
            <w:r w:rsidRPr="00AA4F14">
              <w:rPr>
                <w:rFonts w:ascii="Times New Roman" w:hAnsi="Times New Roman" w:cs="Times New Roman"/>
                <w:b/>
                <w:szCs w:val="20"/>
              </w:rPr>
              <w:t>Numéro de la cellule</w:t>
            </w:r>
            <w:r w:rsidRPr="00AA4F14" w:rsidDel="00683608">
              <w:rPr>
                <w:rFonts w:ascii="Times New Roman" w:hAnsi="Times New Roman" w:cs="Times New Roman"/>
                <w:b/>
                <w:i/>
                <w:szCs w:val="20"/>
              </w:rPr>
              <w:t xml:space="preserve"> </w:t>
            </w:r>
          </w:p>
        </w:tc>
        <w:tc>
          <w:tcPr>
            <w:tcW w:w="3402" w:type="dxa"/>
            <w:vAlign w:val="center"/>
            <w:hideMark/>
          </w:tcPr>
          <w:p w14:paraId="422C09DE" w14:textId="2594B9E6" w:rsidR="00270A08" w:rsidRPr="00AA4F14" w:rsidRDefault="00683608" w:rsidP="00311F5E">
            <w:pPr>
              <w:jc w:val="center"/>
              <w:rPr>
                <w:rFonts w:ascii="Times New Roman" w:hAnsi="Times New Roman" w:cs="Times New Roman"/>
                <w:b/>
                <w:bCs/>
                <w:szCs w:val="20"/>
              </w:rPr>
            </w:pPr>
            <w:r w:rsidRPr="00AA4F14">
              <w:rPr>
                <w:rFonts w:ascii="Times New Roman" w:hAnsi="Times New Roman" w:cs="Times New Roman"/>
                <w:b/>
                <w:szCs w:val="20"/>
              </w:rPr>
              <w:t>Intitulé</w:t>
            </w:r>
          </w:p>
        </w:tc>
        <w:tc>
          <w:tcPr>
            <w:tcW w:w="4739" w:type="dxa"/>
            <w:vAlign w:val="center"/>
            <w:hideMark/>
          </w:tcPr>
          <w:p w14:paraId="001C94A4" w14:textId="55AC76CF" w:rsidR="00270A08" w:rsidRPr="00AA4F14" w:rsidRDefault="00683608">
            <w:pPr>
              <w:jc w:val="center"/>
              <w:rPr>
                <w:rFonts w:ascii="Times New Roman" w:hAnsi="Times New Roman" w:cs="Times New Roman"/>
                <w:b/>
                <w:bCs/>
                <w:szCs w:val="20"/>
              </w:rPr>
            </w:pPr>
            <w:r w:rsidRPr="00AA4F14">
              <w:rPr>
                <w:rFonts w:ascii="Times New Roman" w:hAnsi="Times New Roman" w:cs="Times New Roman"/>
                <w:b/>
                <w:szCs w:val="20"/>
              </w:rPr>
              <w:t>Instructions</w:t>
            </w:r>
          </w:p>
        </w:tc>
      </w:tr>
      <w:tr w:rsidR="00270A08" w:rsidRPr="00C80BAE" w14:paraId="6B509A6E" w14:textId="77777777" w:rsidTr="0044578D">
        <w:trPr>
          <w:trHeight w:val="530"/>
        </w:trPr>
        <w:tc>
          <w:tcPr>
            <w:tcW w:w="1101" w:type="dxa"/>
          </w:tcPr>
          <w:p w14:paraId="1A56BB17"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R0010</w:t>
            </w:r>
          </w:p>
          <w:p w14:paraId="0C5431E8" w14:textId="77777777" w:rsidR="00270A08" w:rsidRPr="00AA4F14" w:rsidRDefault="00270A08" w:rsidP="00270A08">
            <w:pPr>
              <w:rPr>
                <w:rFonts w:ascii="Times New Roman" w:hAnsi="Times New Roman" w:cs="Times New Roman"/>
                <w:sz w:val="20"/>
                <w:szCs w:val="20"/>
              </w:rPr>
            </w:pPr>
          </w:p>
        </w:tc>
        <w:tc>
          <w:tcPr>
            <w:tcW w:w="3402" w:type="dxa"/>
          </w:tcPr>
          <w:p w14:paraId="150B4EE0"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Primes</w:t>
            </w:r>
          </w:p>
        </w:tc>
        <w:tc>
          <w:tcPr>
            <w:tcW w:w="4739" w:type="dxa"/>
          </w:tcPr>
          <w:p w14:paraId="57B283B3" w14:textId="3BEB0C8D" w:rsidR="00663BBB" w:rsidRPr="00AA4F14" w:rsidRDefault="0020709D" w:rsidP="00270A08">
            <w:pPr>
              <w:rPr>
                <w:rFonts w:ascii="Times New Roman" w:hAnsi="Times New Roman" w:cs="Times New Roman"/>
                <w:sz w:val="20"/>
                <w:szCs w:val="20"/>
              </w:rPr>
            </w:pPr>
            <w:r w:rsidRPr="00AA4F14">
              <w:rPr>
                <w:rFonts w:ascii="Times New Roman" w:hAnsi="Times New Roman" w:cs="Times New Roman"/>
                <w:sz w:val="20"/>
                <w:szCs w:val="20"/>
              </w:rPr>
              <w:t>Indiquer le m</w:t>
            </w:r>
            <w:r w:rsidR="00663BBB" w:rsidRPr="00AA4F14">
              <w:rPr>
                <w:rFonts w:ascii="Times New Roman" w:hAnsi="Times New Roman" w:cs="Times New Roman"/>
                <w:sz w:val="20"/>
                <w:szCs w:val="20"/>
              </w:rPr>
              <w:t xml:space="preserve">ontant </w:t>
            </w:r>
            <w:proofErr w:type="gramStart"/>
            <w:r w:rsidR="00663BBB" w:rsidRPr="00AA4F14">
              <w:rPr>
                <w:rFonts w:ascii="Times New Roman" w:hAnsi="Times New Roman" w:cs="Times New Roman"/>
                <w:sz w:val="20"/>
                <w:szCs w:val="20"/>
              </w:rPr>
              <w:t>total  primes</w:t>
            </w:r>
            <w:proofErr w:type="gramEnd"/>
            <w:r w:rsidR="00663BBB" w:rsidRPr="00AA4F14">
              <w:rPr>
                <w:rFonts w:ascii="Times New Roman" w:hAnsi="Times New Roman" w:cs="Times New Roman"/>
                <w:sz w:val="20"/>
                <w:szCs w:val="20"/>
              </w:rPr>
              <w:t xml:space="preserve">. </w:t>
            </w:r>
          </w:p>
          <w:p w14:paraId="6DDDA6B0" w14:textId="5456BD43" w:rsidR="00270A08" w:rsidRPr="00AA4F14" w:rsidRDefault="00270A08" w:rsidP="00270A08">
            <w:pPr>
              <w:rPr>
                <w:rFonts w:ascii="Times New Roman" w:hAnsi="Times New Roman" w:cs="Times New Roman"/>
                <w:sz w:val="20"/>
                <w:szCs w:val="20"/>
              </w:rPr>
            </w:pPr>
          </w:p>
        </w:tc>
      </w:tr>
      <w:tr w:rsidR="00270A08" w:rsidRPr="00C80BAE" w14:paraId="08CC1E16" w14:textId="77777777" w:rsidTr="0044578D">
        <w:trPr>
          <w:trHeight w:val="333"/>
        </w:trPr>
        <w:tc>
          <w:tcPr>
            <w:tcW w:w="1101" w:type="dxa"/>
          </w:tcPr>
          <w:p w14:paraId="0E416EC4" w14:textId="569F14B9"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R0020</w:t>
            </w:r>
          </w:p>
        </w:tc>
        <w:tc>
          <w:tcPr>
            <w:tcW w:w="3402" w:type="dxa"/>
          </w:tcPr>
          <w:p w14:paraId="7F4311F7"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Charges de prestations</w:t>
            </w:r>
          </w:p>
        </w:tc>
        <w:tc>
          <w:tcPr>
            <w:tcW w:w="4739" w:type="dxa"/>
          </w:tcPr>
          <w:p w14:paraId="41BCCDC4" w14:textId="0DCAB99C" w:rsidR="00663BBB" w:rsidRPr="00AA4F14" w:rsidRDefault="0020709D" w:rsidP="00270A08">
            <w:pPr>
              <w:rPr>
                <w:rFonts w:ascii="Times New Roman" w:hAnsi="Times New Roman" w:cs="Times New Roman"/>
                <w:sz w:val="20"/>
                <w:szCs w:val="20"/>
              </w:rPr>
            </w:pPr>
            <w:r w:rsidRPr="00AA4F14">
              <w:rPr>
                <w:rFonts w:ascii="Times New Roman" w:hAnsi="Times New Roman" w:cs="Times New Roman"/>
                <w:sz w:val="20"/>
                <w:szCs w:val="20"/>
              </w:rPr>
              <w:t>Indiquer le m</w:t>
            </w:r>
            <w:r w:rsidR="00663BBB" w:rsidRPr="00AA4F14">
              <w:rPr>
                <w:rFonts w:ascii="Times New Roman" w:hAnsi="Times New Roman" w:cs="Times New Roman"/>
                <w:sz w:val="20"/>
                <w:szCs w:val="20"/>
              </w:rPr>
              <w:t>ontant total des charges de prestations.</w:t>
            </w:r>
          </w:p>
          <w:p w14:paraId="4B153CD9" w14:textId="1EA799EB" w:rsidR="00270A08" w:rsidRPr="00AA4F14" w:rsidRDefault="00270A08" w:rsidP="00270A08">
            <w:pPr>
              <w:rPr>
                <w:rFonts w:ascii="Times New Roman" w:hAnsi="Times New Roman" w:cs="Times New Roman"/>
                <w:sz w:val="20"/>
                <w:szCs w:val="20"/>
              </w:rPr>
            </w:pPr>
          </w:p>
        </w:tc>
      </w:tr>
      <w:tr w:rsidR="00270A08" w:rsidRPr="00C80BAE" w14:paraId="66210320" w14:textId="77777777" w:rsidTr="0044578D">
        <w:trPr>
          <w:trHeight w:val="359"/>
        </w:trPr>
        <w:tc>
          <w:tcPr>
            <w:tcW w:w="1101" w:type="dxa"/>
          </w:tcPr>
          <w:p w14:paraId="19AAEFE3" w14:textId="032EA981"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R0030</w:t>
            </w:r>
          </w:p>
        </w:tc>
        <w:tc>
          <w:tcPr>
            <w:tcW w:w="3402" w:type="dxa"/>
          </w:tcPr>
          <w:p w14:paraId="4DC18C4A"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Rachats</w:t>
            </w:r>
          </w:p>
        </w:tc>
        <w:tc>
          <w:tcPr>
            <w:tcW w:w="4739" w:type="dxa"/>
          </w:tcPr>
          <w:p w14:paraId="3029706A" w14:textId="5A476D0F" w:rsidR="00663BBB" w:rsidRPr="00AA4F14" w:rsidRDefault="0020709D" w:rsidP="00270A08">
            <w:pPr>
              <w:rPr>
                <w:rFonts w:ascii="Times New Roman" w:hAnsi="Times New Roman" w:cs="Times New Roman"/>
                <w:sz w:val="20"/>
                <w:szCs w:val="20"/>
              </w:rPr>
            </w:pPr>
            <w:r w:rsidRPr="00AA4F14">
              <w:rPr>
                <w:rFonts w:ascii="Times New Roman" w:hAnsi="Times New Roman" w:cs="Times New Roman"/>
                <w:sz w:val="20"/>
                <w:szCs w:val="20"/>
              </w:rPr>
              <w:t>Indiquer le m</w:t>
            </w:r>
            <w:r w:rsidR="00663BBB" w:rsidRPr="00AA4F14">
              <w:rPr>
                <w:rFonts w:ascii="Times New Roman" w:hAnsi="Times New Roman" w:cs="Times New Roman"/>
                <w:sz w:val="20"/>
                <w:szCs w:val="20"/>
              </w:rPr>
              <w:t>ontant total des rachats.</w:t>
            </w:r>
          </w:p>
          <w:p w14:paraId="152FCEE6" w14:textId="1EC89966" w:rsidR="00270A08" w:rsidRPr="00AA4F14" w:rsidRDefault="00270A08" w:rsidP="00270A08">
            <w:pPr>
              <w:rPr>
                <w:rFonts w:ascii="Times New Roman" w:hAnsi="Times New Roman" w:cs="Times New Roman"/>
                <w:sz w:val="20"/>
                <w:szCs w:val="20"/>
              </w:rPr>
            </w:pPr>
          </w:p>
        </w:tc>
      </w:tr>
      <w:tr w:rsidR="00270A08" w:rsidRPr="00C80BAE" w14:paraId="6747EC8F" w14:textId="77777777" w:rsidTr="0044578D">
        <w:trPr>
          <w:trHeight w:val="409"/>
        </w:trPr>
        <w:tc>
          <w:tcPr>
            <w:tcW w:w="1101" w:type="dxa"/>
          </w:tcPr>
          <w:p w14:paraId="1B81DDF6" w14:textId="40CA4EFA"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R0040</w:t>
            </w:r>
          </w:p>
        </w:tc>
        <w:tc>
          <w:tcPr>
            <w:tcW w:w="3402" w:type="dxa"/>
          </w:tcPr>
          <w:p w14:paraId="602CD918"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Charges de provisions techniques</w:t>
            </w:r>
          </w:p>
        </w:tc>
        <w:tc>
          <w:tcPr>
            <w:tcW w:w="4739" w:type="dxa"/>
          </w:tcPr>
          <w:p w14:paraId="1B0BA904" w14:textId="1F13C455" w:rsidR="00663BBB" w:rsidRPr="00AA4F14" w:rsidRDefault="0020709D" w:rsidP="00270A08">
            <w:pPr>
              <w:rPr>
                <w:rFonts w:ascii="Times New Roman" w:hAnsi="Times New Roman" w:cs="Times New Roman"/>
                <w:sz w:val="20"/>
                <w:szCs w:val="20"/>
              </w:rPr>
            </w:pPr>
            <w:r w:rsidRPr="00AA4F14">
              <w:rPr>
                <w:rFonts w:ascii="Times New Roman" w:hAnsi="Times New Roman" w:cs="Times New Roman"/>
                <w:sz w:val="20"/>
                <w:szCs w:val="20"/>
              </w:rPr>
              <w:t>Indiquer le m</w:t>
            </w:r>
            <w:r w:rsidR="00663BBB" w:rsidRPr="00AA4F14">
              <w:rPr>
                <w:rFonts w:ascii="Times New Roman" w:hAnsi="Times New Roman" w:cs="Times New Roman"/>
                <w:sz w:val="20"/>
                <w:szCs w:val="20"/>
              </w:rPr>
              <w:t xml:space="preserve">ontant total des charges de provisions techniques. </w:t>
            </w:r>
          </w:p>
          <w:p w14:paraId="3391466F" w14:textId="10B1AD68" w:rsidR="00270A08" w:rsidRPr="00AA4F14" w:rsidRDefault="00270A08" w:rsidP="00270A08">
            <w:pPr>
              <w:rPr>
                <w:rFonts w:ascii="Times New Roman" w:hAnsi="Times New Roman" w:cs="Times New Roman"/>
                <w:sz w:val="20"/>
                <w:szCs w:val="20"/>
              </w:rPr>
            </w:pPr>
          </w:p>
        </w:tc>
      </w:tr>
      <w:tr w:rsidR="00270A08" w:rsidRPr="00C80BAE" w14:paraId="7F9C4CCB" w14:textId="77777777" w:rsidTr="0044578D">
        <w:trPr>
          <w:trHeight w:val="409"/>
        </w:trPr>
        <w:tc>
          <w:tcPr>
            <w:tcW w:w="1101" w:type="dxa"/>
          </w:tcPr>
          <w:p w14:paraId="4D4B1ACA"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lastRenderedPageBreak/>
              <w:t>R0050</w:t>
            </w:r>
          </w:p>
        </w:tc>
        <w:tc>
          <w:tcPr>
            <w:tcW w:w="3402" w:type="dxa"/>
          </w:tcPr>
          <w:p w14:paraId="554FA65A"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Ajustement ACAV</w:t>
            </w:r>
          </w:p>
        </w:tc>
        <w:tc>
          <w:tcPr>
            <w:tcW w:w="4739" w:type="dxa"/>
          </w:tcPr>
          <w:p w14:paraId="10A2D8D0" w14:textId="752E08D9" w:rsidR="00663BBB" w:rsidRPr="00AA4F14" w:rsidRDefault="0020709D" w:rsidP="00270A08">
            <w:pPr>
              <w:rPr>
                <w:rFonts w:ascii="Times New Roman" w:hAnsi="Times New Roman" w:cs="Times New Roman"/>
                <w:sz w:val="20"/>
                <w:szCs w:val="20"/>
              </w:rPr>
            </w:pPr>
            <w:r w:rsidRPr="00AA4F14">
              <w:rPr>
                <w:rFonts w:ascii="Times New Roman" w:hAnsi="Times New Roman" w:cs="Times New Roman"/>
                <w:sz w:val="20"/>
                <w:szCs w:val="20"/>
              </w:rPr>
              <w:t>Indiquer le m</w:t>
            </w:r>
            <w:r w:rsidR="00663BBB" w:rsidRPr="00AA4F14">
              <w:rPr>
                <w:rFonts w:ascii="Times New Roman" w:hAnsi="Times New Roman" w:cs="Times New Roman"/>
                <w:sz w:val="20"/>
                <w:szCs w:val="20"/>
              </w:rPr>
              <w:t>ontant de la revalorisation (plus ou moins-values non réalisées) des actifs représentatifs des contrats en unités de comptes.</w:t>
            </w:r>
          </w:p>
          <w:p w14:paraId="6BADA4E8" w14:textId="0B562FF9" w:rsidR="00270A08" w:rsidRPr="00AA4F14" w:rsidRDefault="00270A08" w:rsidP="00270A08">
            <w:pPr>
              <w:rPr>
                <w:rFonts w:ascii="Times New Roman" w:hAnsi="Times New Roman" w:cs="Times New Roman"/>
                <w:sz w:val="20"/>
                <w:szCs w:val="20"/>
              </w:rPr>
            </w:pPr>
          </w:p>
        </w:tc>
      </w:tr>
      <w:tr w:rsidR="00270A08" w:rsidRPr="00C80BAE" w14:paraId="0BA1EC77" w14:textId="77777777" w:rsidTr="0044578D">
        <w:trPr>
          <w:trHeight w:val="409"/>
        </w:trPr>
        <w:tc>
          <w:tcPr>
            <w:tcW w:w="1101" w:type="dxa"/>
          </w:tcPr>
          <w:p w14:paraId="2A3AF2F8"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R0060</w:t>
            </w:r>
          </w:p>
        </w:tc>
        <w:tc>
          <w:tcPr>
            <w:tcW w:w="3402" w:type="dxa"/>
          </w:tcPr>
          <w:p w14:paraId="3287EB3D"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Solde de souscription</w:t>
            </w:r>
          </w:p>
        </w:tc>
        <w:tc>
          <w:tcPr>
            <w:tcW w:w="4739" w:type="dxa"/>
          </w:tcPr>
          <w:p w14:paraId="47E05445" w14:textId="047B17FC"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Correspond à la différence entre la somme des primes et de l’ajustement ACAV et la somme des charges de prestations et des charges de provisions techniques</w:t>
            </w:r>
            <w:r w:rsidR="00CC4E6B" w:rsidRPr="00AA4F14">
              <w:rPr>
                <w:rFonts w:ascii="Times New Roman" w:hAnsi="Times New Roman" w:cs="Times New Roman"/>
                <w:sz w:val="20"/>
                <w:szCs w:val="20"/>
              </w:rPr>
              <w:t>.</w:t>
            </w:r>
          </w:p>
          <w:p w14:paraId="23584027" w14:textId="67803946" w:rsidR="00733380" w:rsidRPr="00AA4F14" w:rsidRDefault="00733380" w:rsidP="00733380">
            <w:pPr>
              <w:rPr>
                <w:rFonts w:ascii="Times New Roman" w:hAnsi="Times New Roman" w:cs="Times New Roman"/>
                <w:sz w:val="20"/>
                <w:szCs w:val="20"/>
              </w:rPr>
            </w:pPr>
          </w:p>
        </w:tc>
      </w:tr>
      <w:tr w:rsidR="00270A08" w:rsidRPr="00C80BAE" w14:paraId="4EAB6F06" w14:textId="77777777" w:rsidTr="0044578D">
        <w:trPr>
          <w:trHeight w:val="409"/>
        </w:trPr>
        <w:tc>
          <w:tcPr>
            <w:tcW w:w="1101" w:type="dxa"/>
          </w:tcPr>
          <w:p w14:paraId="5DF951F8"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R0070</w:t>
            </w:r>
          </w:p>
        </w:tc>
        <w:tc>
          <w:tcPr>
            <w:tcW w:w="3402" w:type="dxa"/>
          </w:tcPr>
          <w:p w14:paraId="40CA6E89"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Frais d’acquisition</w:t>
            </w:r>
          </w:p>
        </w:tc>
        <w:tc>
          <w:tcPr>
            <w:tcW w:w="4739" w:type="dxa"/>
          </w:tcPr>
          <w:p w14:paraId="6CA24A31" w14:textId="30E90973" w:rsidR="00387D12" w:rsidRPr="00AA4F14" w:rsidRDefault="0020709D" w:rsidP="00270A08">
            <w:pPr>
              <w:rPr>
                <w:rFonts w:ascii="Times New Roman" w:hAnsi="Times New Roman" w:cs="Times New Roman"/>
                <w:sz w:val="20"/>
                <w:szCs w:val="20"/>
              </w:rPr>
            </w:pPr>
            <w:r w:rsidRPr="00AA4F14">
              <w:rPr>
                <w:rFonts w:ascii="Times New Roman" w:hAnsi="Times New Roman" w:cs="Times New Roman"/>
                <w:sz w:val="20"/>
                <w:szCs w:val="20"/>
              </w:rPr>
              <w:t>Indiquer le m</w:t>
            </w:r>
            <w:r w:rsidR="00387D12" w:rsidRPr="00AA4F14">
              <w:rPr>
                <w:rFonts w:ascii="Times New Roman" w:hAnsi="Times New Roman" w:cs="Times New Roman"/>
                <w:sz w:val="20"/>
                <w:szCs w:val="20"/>
              </w:rPr>
              <w:t>ontant total des frais d’acquisition.</w:t>
            </w:r>
          </w:p>
          <w:p w14:paraId="30FF56A3" w14:textId="0153DEB1" w:rsidR="00270A08" w:rsidRPr="00AA4F14" w:rsidRDefault="00270A08" w:rsidP="00270A08">
            <w:pPr>
              <w:rPr>
                <w:rFonts w:ascii="Times New Roman" w:hAnsi="Times New Roman" w:cs="Times New Roman"/>
                <w:bCs/>
                <w:sz w:val="20"/>
                <w:szCs w:val="20"/>
              </w:rPr>
            </w:pPr>
          </w:p>
        </w:tc>
      </w:tr>
      <w:tr w:rsidR="00270A08" w:rsidRPr="00C80BAE" w14:paraId="38ED3AA5" w14:textId="77777777" w:rsidTr="0044578D">
        <w:trPr>
          <w:trHeight w:val="409"/>
        </w:trPr>
        <w:tc>
          <w:tcPr>
            <w:tcW w:w="1101" w:type="dxa"/>
          </w:tcPr>
          <w:p w14:paraId="21CF21C8" w14:textId="29053596"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R0080</w:t>
            </w:r>
          </w:p>
        </w:tc>
        <w:tc>
          <w:tcPr>
            <w:tcW w:w="3402" w:type="dxa"/>
          </w:tcPr>
          <w:p w14:paraId="224FBF03"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Autres charges de gestion nettes</w:t>
            </w:r>
          </w:p>
        </w:tc>
        <w:tc>
          <w:tcPr>
            <w:tcW w:w="4739" w:type="dxa"/>
          </w:tcPr>
          <w:p w14:paraId="47E571AA" w14:textId="13F8BD28" w:rsidR="00387D12" w:rsidRPr="00AA4F14" w:rsidRDefault="0020709D" w:rsidP="00270A08">
            <w:pPr>
              <w:rPr>
                <w:rFonts w:ascii="Times New Roman" w:hAnsi="Times New Roman" w:cs="Times New Roman"/>
                <w:sz w:val="20"/>
                <w:szCs w:val="20"/>
              </w:rPr>
            </w:pPr>
            <w:r w:rsidRPr="00AA4F14">
              <w:rPr>
                <w:rFonts w:ascii="Times New Roman" w:hAnsi="Times New Roman" w:cs="Times New Roman"/>
                <w:sz w:val="20"/>
                <w:szCs w:val="20"/>
              </w:rPr>
              <w:t>Indiquer le m</w:t>
            </w:r>
            <w:r w:rsidR="00387D12" w:rsidRPr="00AA4F14">
              <w:rPr>
                <w:rFonts w:ascii="Times New Roman" w:hAnsi="Times New Roman" w:cs="Times New Roman"/>
                <w:sz w:val="20"/>
                <w:szCs w:val="20"/>
              </w:rPr>
              <w:t>ontant total des autres charges de gestion nettes.</w:t>
            </w:r>
          </w:p>
          <w:p w14:paraId="685FA942" w14:textId="0992CC00" w:rsidR="00270A08" w:rsidRPr="00AA4F14" w:rsidRDefault="00270A08" w:rsidP="00270A08">
            <w:pPr>
              <w:rPr>
                <w:rFonts w:ascii="Times New Roman" w:hAnsi="Times New Roman" w:cs="Times New Roman"/>
                <w:bCs/>
                <w:sz w:val="20"/>
                <w:szCs w:val="20"/>
              </w:rPr>
            </w:pPr>
          </w:p>
        </w:tc>
      </w:tr>
      <w:tr w:rsidR="00270A08" w:rsidRPr="00C80BAE" w14:paraId="195E398A" w14:textId="77777777" w:rsidTr="0044578D">
        <w:trPr>
          <w:trHeight w:val="409"/>
        </w:trPr>
        <w:tc>
          <w:tcPr>
            <w:tcW w:w="1101" w:type="dxa"/>
          </w:tcPr>
          <w:p w14:paraId="7FEF9478" w14:textId="48466D1C"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R0090</w:t>
            </w:r>
          </w:p>
        </w:tc>
        <w:tc>
          <w:tcPr>
            <w:tcW w:w="3402" w:type="dxa"/>
          </w:tcPr>
          <w:p w14:paraId="251FB934"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Charges d’acquisition et de gestion nettes</w:t>
            </w:r>
          </w:p>
        </w:tc>
        <w:tc>
          <w:tcPr>
            <w:tcW w:w="4739" w:type="dxa"/>
          </w:tcPr>
          <w:p w14:paraId="4D10D23D" w14:textId="2D7AC796" w:rsidR="0020709D" w:rsidRPr="00AA4F14" w:rsidRDefault="00270A08" w:rsidP="00733380">
            <w:pPr>
              <w:rPr>
                <w:rFonts w:ascii="Times New Roman" w:hAnsi="Times New Roman" w:cs="Times New Roman"/>
                <w:bCs/>
                <w:sz w:val="20"/>
                <w:szCs w:val="20"/>
              </w:rPr>
            </w:pPr>
            <w:r w:rsidRPr="00AA4F14">
              <w:rPr>
                <w:rFonts w:ascii="Times New Roman" w:hAnsi="Times New Roman" w:cs="Times New Roman"/>
                <w:bCs/>
                <w:sz w:val="20"/>
                <w:szCs w:val="20"/>
              </w:rPr>
              <w:t>Correspond à la somme des frais d’acquisition et des autres charges de gestion nettes</w:t>
            </w:r>
            <w:r w:rsidR="00CC4E6B" w:rsidRPr="00AA4F14">
              <w:rPr>
                <w:rFonts w:ascii="Times New Roman" w:hAnsi="Times New Roman" w:cs="Times New Roman"/>
                <w:bCs/>
                <w:sz w:val="20"/>
                <w:szCs w:val="20"/>
              </w:rPr>
              <w:t>.</w:t>
            </w:r>
            <w:r w:rsidR="0020709D" w:rsidRPr="00AA4F14">
              <w:rPr>
                <w:rFonts w:ascii="Times New Roman" w:hAnsi="Times New Roman" w:cs="Times New Roman"/>
                <w:bCs/>
                <w:sz w:val="20"/>
                <w:szCs w:val="20"/>
              </w:rPr>
              <w:t xml:space="preserve"> </w:t>
            </w:r>
          </w:p>
        </w:tc>
      </w:tr>
      <w:tr w:rsidR="00270A08" w:rsidRPr="00C80BAE" w14:paraId="4602B88E" w14:textId="77777777" w:rsidTr="0044578D">
        <w:trPr>
          <w:trHeight w:val="409"/>
        </w:trPr>
        <w:tc>
          <w:tcPr>
            <w:tcW w:w="1101" w:type="dxa"/>
          </w:tcPr>
          <w:p w14:paraId="4ED232A2"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R0100</w:t>
            </w:r>
          </w:p>
        </w:tc>
        <w:tc>
          <w:tcPr>
            <w:tcW w:w="3402" w:type="dxa"/>
          </w:tcPr>
          <w:p w14:paraId="70ED3FF9"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Total produits des placements</w:t>
            </w:r>
          </w:p>
        </w:tc>
        <w:tc>
          <w:tcPr>
            <w:tcW w:w="4739" w:type="dxa"/>
          </w:tcPr>
          <w:p w14:paraId="58BC2C77" w14:textId="5FA8C91B" w:rsidR="0020709D" w:rsidRPr="00AA4F14" w:rsidRDefault="00270A08" w:rsidP="00387D12">
            <w:pPr>
              <w:rPr>
                <w:rFonts w:ascii="Times New Roman" w:hAnsi="Times New Roman" w:cs="Times New Roman"/>
                <w:sz w:val="20"/>
                <w:szCs w:val="20"/>
              </w:rPr>
            </w:pPr>
            <w:r w:rsidRPr="00AA4F14">
              <w:rPr>
                <w:rFonts w:ascii="Times New Roman" w:hAnsi="Times New Roman" w:cs="Times New Roman"/>
                <w:bCs/>
                <w:sz w:val="20"/>
                <w:szCs w:val="20"/>
              </w:rPr>
              <w:t xml:space="preserve">Correspond à la somme des produits </w:t>
            </w:r>
            <w:r w:rsidRPr="00AA4F14">
              <w:rPr>
                <w:rFonts w:ascii="Times New Roman" w:hAnsi="Times New Roman" w:cs="Times New Roman"/>
                <w:sz w:val="20"/>
                <w:szCs w:val="20"/>
              </w:rPr>
              <w:t xml:space="preserve">des actifs amortissables </w:t>
            </w:r>
            <w:r w:rsidR="00DC1449" w:rsidRPr="00AA4F14">
              <w:rPr>
                <w:rFonts w:ascii="Times New Roman" w:hAnsi="Times New Roman" w:cs="Times New Roman"/>
                <w:sz w:val="20"/>
                <w:szCs w:val="20"/>
              </w:rPr>
              <w:t xml:space="preserve">(initialement présents en portefeuille) </w:t>
            </w:r>
            <w:r w:rsidRPr="00AA4F14">
              <w:rPr>
                <w:rFonts w:ascii="Times New Roman" w:hAnsi="Times New Roman" w:cs="Times New Roman"/>
                <w:sz w:val="20"/>
                <w:szCs w:val="20"/>
              </w:rPr>
              <w:t>hors réinvestissements durant le stress</w:t>
            </w:r>
            <w:r w:rsidR="00663BBB" w:rsidRPr="00AA4F14">
              <w:rPr>
                <w:rFonts w:ascii="Times New Roman" w:hAnsi="Times New Roman" w:cs="Times New Roman"/>
                <w:sz w:val="20"/>
                <w:szCs w:val="20"/>
              </w:rPr>
              <w:t xml:space="preserve"> </w:t>
            </w:r>
            <w:proofErr w:type="spellStart"/>
            <w:r w:rsidR="00663BBB" w:rsidRPr="00AA4F14">
              <w:rPr>
                <w:rFonts w:ascii="Times New Roman" w:hAnsi="Times New Roman" w:cs="Times New Roman"/>
                <w:sz w:val="20"/>
                <w:szCs w:val="20"/>
              </w:rPr>
              <w:t>et</w:t>
            </w:r>
            <w:r w:rsidRPr="00AA4F14">
              <w:rPr>
                <w:rFonts w:ascii="Times New Roman" w:hAnsi="Times New Roman" w:cs="Times New Roman"/>
                <w:sz w:val="20"/>
                <w:szCs w:val="20"/>
              </w:rPr>
              <w:t>des</w:t>
            </w:r>
            <w:proofErr w:type="spellEnd"/>
            <w:r w:rsidRPr="00AA4F14">
              <w:rPr>
                <w:rFonts w:ascii="Times New Roman" w:hAnsi="Times New Roman" w:cs="Times New Roman"/>
                <w:sz w:val="20"/>
                <w:szCs w:val="20"/>
              </w:rPr>
              <w:t xml:space="preserve"> actifs amortissables acquis sur la durée des stress, </w:t>
            </w:r>
            <w:r w:rsidR="00663BBB" w:rsidRPr="00AA4F14">
              <w:rPr>
                <w:rFonts w:ascii="Times New Roman" w:hAnsi="Times New Roman" w:cs="Times New Roman"/>
                <w:sz w:val="20"/>
                <w:szCs w:val="20"/>
              </w:rPr>
              <w:t xml:space="preserve">des produits </w:t>
            </w:r>
            <w:r w:rsidRPr="00AA4F14">
              <w:rPr>
                <w:rFonts w:ascii="Times New Roman" w:hAnsi="Times New Roman" w:cs="Times New Roman"/>
                <w:sz w:val="20"/>
                <w:szCs w:val="20"/>
              </w:rPr>
              <w:t xml:space="preserve">des actifs non amortissables, des autres </w:t>
            </w:r>
            <w:r w:rsidR="00676198" w:rsidRPr="00AA4F14">
              <w:rPr>
                <w:rFonts w:ascii="Times New Roman" w:hAnsi="Times New Roman" w:cs="Times New Roman"/>
                <w:sz w:val="20"/>
                <w:szCs w:val="20"/>
              </w:rPr>
              <w:t xml:space="preserve">produits des </w:t>
            </w:r>
            <w:r w:rsidRPr="00AA4F14">
              <w:rPr>
                <w:rFonts w:ascii="Times New Roman" w:hAnsi="Times New Roman" w:cs="Times New Roman"/>
                <w:sz w:val="20"/>
                <w:szCs w:val="20"/>
              </w:rPr>
              <w:t>placements et des profits de réalisation des placements</w:t>
            </w:r>
            <w:r w:rsidR="00CC4E6B" w:rsidRPr="00AA4F14">
              <w:rPr>
                <w:rFonts w:ascii="Times New Roman" w:hAnsi="Times New Roman" w:cs="Times New Roman"/>
                <w:sz w:val="20"/>
                <w:szCs w:val="20"/>
              </w:rPr>
              <w:t>.</w:t>
            </w:r>
          </w:p>
        </w:tc>
      </w:tr>
      <w:tr w:rsidR="00270A08" w:rsidRPr="00C80BAE" w14:paraId="1FB084AF" w14:textId="77777777" w:rsidTr="0044578D">
        <w:trPr>
          <w:trHeight w:val="409"/>
        </w:trPr>
        <w:tc>
          <w:tcPr>
            <w:tcW w:w="1101" w:type="dxa"/>
          </w:tcPr>
          <w:p w14:paraId="716F0BEE"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R0110</w:t>
            </w:r>
          </w:p>
        </w:tc>
        <w:tc>
          <w:tcPr>
            <w:tcW w:w="3402" w:type="dxa"/>
          </w:tcPr>
          <w:p w14:paraId="4C299C53"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Produit des actifs amortissables hors réinvestissements durant le stress</w:t>
            </w:r>
          </w:p>
        </w:tc>
        <w:tc>
          <w:tcPr>
            <w:tcW w:w="4739" w:type="dxa"/>
          </w:tcPr>
          <w:p w14:paraId="735F0786" w14:textId="6938037C" w:rsidR="0020709D" w:rsidRPr="00AA4F14" w:rsidRDefault="0020709D" w:rsidP="00270A08">
            <w:pPr>
              <w:rPr>
                <w:rFonts w:ascii="Times New Roman" w:hAnsi="Times New Roman" w:cs="Times New Roman"/>
                <w:bCs/>
                <w:sz w:val="20"/>
                <w:szCs w:val="20"/>
              </w:rPr>
            </w:pPr>
            <w:r w:rsidRPr="00AA4F14">
              <w:rPr>
                <w:rFonts w:ascii="Times New Roman" w:hAnsi="Times New Roman" w:cs="Times New Roman"/>
                <w:bCs/>
                <w:sz w:val="20"/>
                <w:szCs w:val="20"/>
              </w:rPr>
              <w:t>Indiquer le montant total des</w:t>
            </w:r>
            <w:r w:rsidR="00270A08" w:rsidRPr="00AA4F14">
              <w:rPr>
                <w:rFonts w:ascii="Times New Roman" w:hAnsi="Times New Roman" w:cs="Times New Roman"/>
                <w:bCs/>
                <w:sz w:val="20"/>
                <w:szCs w:val="20"/>
              </w:rPr>
              <w:t xml:space="preserve"> produits financiers des actifs amortissables initialement présents en portefeuille.</w:t>
            </w:r>
          </w:p>
        </w:tc>
      </w:tr>
      <w:tr w:rsidR="00270A08" w:rsidRPr="00C80BAE" w14:paraId="47096156" w14:textId="77777777" w:rsidTr="0044578D">
        <w:trPr>
          <w:trHeight w:val="409"/>
        </w:trPr>
        <w:tc>
          <w:tcPr>
            <w:tcW w:w="1101" w:type="dxa"/>
          </w:tcPr>
          <w:p w14:paraId="51DF01B8"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R0120</w:t>
            </w:r>
          </w:p>
        </w:tc>
        <w:tc>
          <w:tcPr>
            <w:tcW w:w="3402" w:type="dxa"/>
          </w:tcPr>
          <w:p w14:paraId="7351C901"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Produit des actifs amortissables acquis sur la durée des stress</w:t>
            </w:r>
          </w:p>
        </w:tc>
        <w:tc>
          <w:tcPr>
            <w:tcW w:w="4739" w:type="dxa"/>
          </w:tcPr>
          <w:p w14:paraId="23993169" w14:textId="24EA9925" w:rsidR="0020709D" w:rsidRPr="00AA4F14" w:rsidRDefault="0020709D" w:rsidP="00270A08">
            <w:pPr>
              <w:rPr>
                <w:rFonts w:ascii="Times New Roman" w:hAnsi="Times New Roman" w:cs="Times New Roman"/>
                <w:bCs/>
                <w:sz w:val="20"/>
                <w:szCs w:val="20"/>
              </w:rPr>
            </w:pPr>
            <w:r w:rsidRPr="00AA4F14">
              <w:rPr>
                <w:rFonts w:ascii="Times New Roman" w:hAnsi="Times New Roman" w:cs="Times New Roman"/>
                <w:bCs/>
                <w:sz w:val="20"/>
                <w:szCs w:val="20"/>
              </w:rPr>
              <w:t>Indiquer le montant total des</w:t>
            </w:r>
            <w:r w:rsidR="00270A08" w:rsidRPr="00AA4F14">
              <w:rPr>
                <w:rFonts w:ascii="Times New Roman" w:hAnsi="Times New Roman" w:cs="Times New Roman"/>
                <w:bCs/>
                <w:sz w:val="20"/>
                <w:szCs w:val="20"/>
              </w:rPr>
              <w:t xml:space="preserve"> produits financiers des actifs amortissables acquis sur la période de projection des stress.</w:t>
            </w:r>
          </w:p>
        </w:tc>
      </w:tr>
      <w:tr w:rsidR="00270A08" w:rsidRPr="00C80BAE" w14:paraId="517F0050" w14:textId="77777777" w:rsidTr="0044578D">
        <w:trPr>
          <w:trHeight w:val="409"/>
        </w:trPr>
        <w:tc>
          <w:tcPr>
            <w:tcW w:w="1101" w:type="dxa"/>
          </w:tcPr>
          <w:p w14:paraId="4DE7F210"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R0130</w:t>
            </w:r>
          </w:p>
        </w:tc>
        <w:tc>
          <w:tcPr>
            <w:tcW w:w="3402" w:type="dxa"/>
          </w:tcPr>
          <w:p w14:paraId="563E3723"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Produit des actifs non amortissables</w:t>
            </w:r>
          </w:p>
        </w:tc>
        <w:tc>
          <w:tcPr>
            <w:tcW w:w="4739" w:type="dxa"/>
          </w:tcPr>
          <w:p w14:paraId="2BD62610" w14:textId="7EDD9100" w:rsidR="0020709D" w:rsidRPr="00AA4F14" w:rsidRDefault="0020709D"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Indiquer le </w:t>
            </w:r>
            <w:r w:rsidR="00270A08" w:rsidRPr="00AA4F14">
              <w:rPr>
                <w:rFonts w:ascii="Times New Roman" w:hAnsi="Times New Roman" w:cs="Times New Roman"/>
                <w:bCs/>
                <w:sz w:val="20"/>
                <w:szCs w:val="20"/>
              </w:rPr>
              <w:t>montant total de produits financiers des actifs non amortissables</w:t>
            </w:r>
            <w:r w:rsidR="00CC4E6B" w:rsidRPr="00AA4F14">
              <w:rPr>
                <w:rFonts w:ascii="Times New Roman" w:hAnsi="Times New Roman" w:cs="Times New Roman"/>
                <w:bCs/>
                <w:sz w:val="20"/>
                <w:szCs w:val="20"/>
              </w:rPr>
              <w:t>.</w:t>
            </w:r>
          </w:p>
        </w:tc>
      </w:tr>
      <w:tr w:rsidR="00270A08" w:rsidRPr="00C80BAE" w14:paraId="5C16E55B" w14:textId="77777777" w:rsidTr="0044578D">
        <w:trPr>
          <w:trHeight w:val="409"/>
        </w:trPr>
        <w:tc>
          <w:tcPr>
            <w:tcW w:w="1101" w:type="dxa"/>
          </w:tcPr>
          <w:p w14:paraId="103BE85D"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R0140</w:t>
            </w:r>
          </w:p>
        </w:tc>
        <w:tc>
          <w:tcPr>
            <w:tcW w:w="3402" w:type="dxa"/>
          </w:tcPr>
          <w:p w14:paraId="654DEF74"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Autres produits des placements</w:t>
            </w:r>
          </w:p>
        </w:tc>
        <w:tc>
          <w:tcPr>
            <w:tcW w:w="4739" w:type="dxa"/>
          </w:tcPr>
          <w:p w14:paraId="79E833C4" w14:textId="3D0227EE" w:rsidR="00270A08" w:rsidRPr="00AA4F14" w:rsidRDefault="0020709D" w:rsidP="00733380">
            <w:pPr>
              <w:rPr>
                <w:rFonts w:ascii="Times New Roman" w:hAnsi="Times New Roman" w:cs="Times New Roman"/>
                <w:bCs/>
                <w:sz w:val="20"/>
                <w:szCs w:val="20"/>
              </w:rPr>
            </w:pPr>
            <w:r w:rsidRPr="00AA4F14">
              <w:rPr>
                <w:rFonts w:ascii="Times New Roman" w:hAnsi="Times New Roman" w:cs="Times New Roman"/>
                <w:bCs/>
                <w:sz w:val="20"/>
                <w:szCs w:val="20"/>
              </w:rPr>
              <w:t>Indiquer le</w:t>
            </w:r>
            <w:r w:rsidR="00270A08" w:rsidRPr="00AA4F14">
              <w:rPr>
                <w:rFonts w:ascii="Times New Roman" w:hAnsi="Times New Roman" w:cs="Times New Roman"/>
                <w:bCs/>
                <w:sz w:val="20"/>
                <w:szCs w:val="20"/>
              </w:rPr>
              <w:t xml:space="preserve"> montant total </w:t>
            </w:r>
            <w:r w:rsidR="00CC4E6B" w:rsidRPr="00AA4F14">
              <w:rPr>
                <w:rFonts w:ascii="Times New Roman" w:hAnsi="Times New Roman" w:cs="Times New Roman"/>
                <w:bCs/>
                <w:sz w:val="20"/>
                <w:szCs w:val="20"/>
              </w:rPr>
              <w:t>des autres produits des placements.</w:t>
            </w:r>
            <w:r w:rsidR="00311F5E" w:rsidRPr="00AA4F14">
              <w:rPr>
                <w:rFonts w:ascii="Times New Roman" w:hAnsi="Times New Roman" w:cs="Times New Roman"/>
                <w:bCs/>
                <w:sz w:val="20"/>
                <w:szCs w:val="20"/>
              </w:rPr>
              <w:t xml:space="preserve"> </w:t>
            </w:r>
          </w:p>
        </w:tc>
      </w:tr>
      <w:tr w:rsidR="00270A08" w:rsidRPr="00C80BAE" w14:paraId="6D3ACAB7" w14:textId="77777777" w:rsidTr="0044578D">
        <w:trPr>
          <w:trHeight w:val="409"/>
        </w:trPr>
        <w:tc>
          <w:tcPr>
            <w:tcW w:w="1101" w:type="dxa"/>
          </w:tcPr>
          <w:p w14:paraId="7569B756"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R0150</w:t>
            </w:r>
          </w:p>
        </w:tc>
        <w:tc>
          <w:tcPr>
            <w:tcW w:w="3402" w:type="dxa"/>
          </w:tcPr>
          <w:p w14:paraId="73AB51EE"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Profits de réalisation des placements</w:t>
            </w:r>
          </w:p>
        </w:tc>
        <w:tc>
          <w:tcPr>
            <w:tcW w:w="4739" w:type="dxa"/>
          </w:tcPr>
          <w:p w14:paraId="0E7302B0" w14:textId="4FBD7D42" w:rsidR="0020709D" w:rsidRPr="00AA4F14" w:rsidRDefault="0020709D" w:rsidP="00270A08">
            <w:pPr>
              <w:rPr>
                <w:rFonts w:ascii="Times New Roman" w:hAnsi="Times New Roman" w:cs="Times New Roman"/>
                <w:bCs/>
                <w:sz w:val="20"/>
                <w:szCs w:val="20"/>
              </w:rPr>
            </w:pPr>
            <w:r w:rsidRPr="00AA4F14">
              <w:rPr>
                <w:rFonts w:ascii="Times New Roman" w:hAnsi="Times New Roman" w:cs="Times New Roman"/>
                <w:bCs/>
                <w:sz w:val="20"/>
                <w:szCs w:val="20"/>
              </w:rPr>
              <w:t>Indiquer le montant</w:t>
            </w:r>
            <w:r w:rsidR="00601C23" w:rsidRPr="00AA4F14">
              <w:rPr>
                <w:rFonts w:ascii="Times New Roman" w:hAnsi="Times New Roman" w:cs="Times New Roman"/>
                <w:bCs/>
                <w:sz w:val="20"/>
                <w:szCs w:val="20"/>
              </w:rPr>
              <w:t xml:space="preserve"> total des profits de réalisation des placements.</w:t>
            </w:r>
          </w:p>
        </w:tc>
      </w:tr>
      <w:tr w:rsidR="00270A08" w:rsidRPr="00C80BAE" w14:paraId="362A32BC" w14:textId="77777777" w:rsidTr="0044578D">
        <w:trPr>
          <w:trHeight w:val="409"/>
        </w:trPr>
        <w:tc>
          <w:tcPr>
            <w:tcW w:w="1101" w:type="dxa"/>
          </w:tcPr>
          <w:p w14:paraId="037FB1D7"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R0160</w:t>
            </w:r>
          </w:p>
        </w:tc>
        <w:tc>
          <w:tcPr>
            <w:tcW w:w="3402" w:type="dxa"/>
          </w:tcPr>
          <w:p w14:paraId="54D6332F"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Total des charges des placements</w:t>
            </w:r>
          </w:p>
        </w:tc>
        <w:tc>
          <w:tcPr>
            <w:tcW w:w="4739" w:type="dxa"/>
          </w:tcPr>
          <w:p w14:paraId="3876871D" w14:textId="19A92DC7" w:rsidR="0020709D" w:rsidRPr="00AA4F14" w:rsidRDefault="00270A08" w:rsidP="00733380">
            <w:pPr>
              <w:rPr>
                <w:rFonts w:ascii="Times New Roman" w:hAnsi="Times New Roman" w:cs="Times New Roman"/>
                <w:sz w:val="20"/>
                <w:szCs w:val="20"/>
              </w:rPr>
            </w:pPr>
            <w:r w:rsidRPr="00AA4F14">
              <w:rPr>
                <w:rFonts w:ascii="Times New Roman" w:hAnsi="Times New Roman" w:cs="Times New Roman"/>
                <w:bCs/>
                <w:sz w:val="20"/>
                <w:szCs w:val="20"/>
              </w:rPr>
              <w:t xml:space="preserve">Correspond à la somme des </w:t>
            </w:r>
            <w:r w:rsidRPr="00AA4F14">
              <w:rPr>
                <w:rFonts w:ascii="Times New Roman" w:hAnsi="Times New Roman" w:cs="Times New Roman"/>
                <w:sz w:val="20"/>
                <w:szCs w:val="20"/>
              </w:rPr>
              <w:t>frais internes et externes des placements, des autres charges des placements et des pertes de réalisation des placements</w:t>
            </w:r>
            <w:r w:rsidR="00CC4E6B" w:rsidRPr="00AA4F14">
              <w:rPr>
                <w:rFonts w:ascii="Times New Roman" w:hAnsi="Times New Roman" w:cs="Times New Roman"/>
                <w:sz w:val="20"/>
                <w:szCs w:val="20"/>
              </w:rPr>
              <w:t>.</w:t>
            </w:r>
          </w:p>
        </w:tc>
      </w:tr>
      <w:tr w:rsidR="00270A08" w:rsidRPr="00C80BAE" w14:paraId="064A93AE" w14:textId="77777777" w:rsidTr="0044578D">
        <w:trPr>
          <w:trHeight w:val="409"/>
        </w:trPr>
        <w:tc>
          <w:tcPr>
            <w:tcW w:w="1101" w:type="dxa"/>
          </w:tcPr>
          <w:p w14:paraId="0BE92FEA"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R0170</w:t>
            </w:r>
          </w:p>
        </w:tc>
        <w:tc>
          <w:tcPr>
            <w:tcW w:w="3402" w:type="dxa"/>
          </w:tcPr>
          <w:p w14:paraId="0BDFE0C7"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Frais internes et externes des placements</w:t>
            </w:r>
          </w:p>
        </w:tc>
        <w:tc>
          <w:tcPr>
            <w:tcW w:w="4739" w:type="dxa"/>
          </w:tcPr>
          <w:p w14:paraId="26BEF1AF" w14:textId="16C2A6FC" w:rsidR="00270A08" w:rsidRPr="00AA4F14" w:rsidRDefault="00270A08" w:rsidP="00733380">
            <w:pPr>
              <w:rPr>
                <w:rFonts w:ascii="Times New Roman" w:hAnsi="Times New Roman" w:cs="Times New Roman"/>
                <w:bCs/>
                <w:sz w:val="20"/>
                <w:szCs w:val="20"/>
              </w:rPr>
            </w:pPr>
            <w:r w:rsidRPr="00AA4F14">
              <w:rPr>
                <w:rFonts w:ascii="Times New Roman" w:hAnsi="Times New Roman" w:cs="Times New Roman"/>
                <w:sz w:val="20"/>
                <w:szCs w:val="20"/>
              </w:rPr>
              <w:t xml:space="preserve">Indiquer le montant des frais internes et externes des placements, au sens du règlement ANC 2015-11. </w:t>
            </w:r>
          </w:p>
        </w:tc>
      </w:tr>
      <w:tr w:rsidR="00270A08" w:rsidRPr="00C80BAE" w14:paraId="153FC662" w14:textId="77777777" w:rsidTr="0044578D">
        <w:trPr>
          <w:trHeight w:val="409"/>
        </w:trPr>
        <w:tc>
          <w:tcPr>
            <w:tcW w:w="1101" w:type="dxa"/>
          </w:tcPr>
          <w:p w14:paraId="76102A29"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R0180</w:t>
            </w:r>
          </w:p>
        </w:tc>
        <w:tc>
          <w:tcPr>
            <w:tcW w:w="3402" w:type="dxa"/>
          </w:tcPr>
          <w:p w14:paraId="652E70B0"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Autres charges des placements</w:t>
            </w:r>
          </w:p>
        </w:tc>
        <w:tc>
          <w:tcPr>
            <w:tcW w:w="4739" w:type="dxa"/>
          </w:tcPr>
          <w:p w14:paraId="41A5EB46" w14:textId="448CDD00" w:rsidR="00270A08" w:rsidRPr="00AA4F14" w:rsidRDefault="00270A08" w:rsidP="00733380">
            <w:pPr>
              <w:rPr>
                <w:rFonts w:ascii="Times New Roman" w:hAnsi="Times New Roman" w:cs="Times New Roman"/>
                <w:bCs/>
                <w:sz w:val="20"/>
                <w:szCs w:val="20"/>
              </w:rPr>
            </w:pPr>
            <w:r w:rsidRPr="00AA4F14">
              <w:rPr>
                <w:rFonts w:ascii="Times New Roman" w:hAnsi="Times New Roman" w:cs="Times New Roman"/>
                <w:sz w:val="20"/>
                <w:szCs w:val="20"/>
              </w:rPr>
              <w:t>Indiquer le montant des autres charges des placements.</w:t>
            </w:r>
          </w:p>
        </w:tc>
      </w:tr>
      <w:tr w:rsidR="00270A08" w:rsidRPr="00C80BAE" w14:paraId="0FE2C05F" w14:textId="77777777" w:rsidTr="0044578D">
        <w:trPr>
          <w:trHeight w:val="409"/>
        </w:trPr>
        <w:tc>
          <w:tcPr>
            <w:tcW w:w="1101" w:type="dxa"/>
          </w:tcPr>
          <w:p w14:paraId="4AAA4AEF"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R0190</w:t>
            </w:r>
          </w:p>
        </w:tc>
        <w:tc>
          <w:tcPr>
            <w:tcW w:w="3402" w:type="dxa"/>
          </w:tcPr>
          <w:p w14:paraId="0209888C"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Pertes de réalisation des placements</w:t>
            </w:r>
          </w:p>
        </w:tc>
        <w:tc>
          <w:tcPr>
            <w:tcW w:w="4739" w:type="dxa"/>
          </w:tcPr>
          <w:p w14:paraId="42C80E8B" w14:textId="6B071F77" w:rsidR="00270A08" w:rsidRPr="00AA4F14" w:rsidRDefault="0020709D" w:rsidP="00733380">
            <w:pPr>
              <w:rPr>
                <w:rFonts w:ascii="Times New Roman" w:hAnsi="Times New Roman" w:cs="Times New Roman"/>
                <w:bCs/>
                <w:sz w:val="20"/>
                <w:szCs w:val="20"/>
              </w:rPr>
            </w:pPr>
            <w:r w:rsidRPr="00AA4F14">
              <w:rPr>
                <w:rFonts w:ascii="Times New Roman" w:hAnsi="Times New Roman" w:cs="Times New Roman"/>
                <w:sz w:val="20"/>
                <w:szCs w:val="20"/>
              </w:rPr>
              <w:t>Indiquer le montant total des pertes</w:t>
            </w:r>
            <w:r w:rsidR="00733380" w:rsidRPr="00AA4F14">
              <w:rPr>
                <w:rFonts w:ascii="Times New Roman" w:hAnsi="Times New Roman" w:cs="Times New Roman"/>
                <w:sz w:val="20"/>
                <w:szCs w:val="20"/>
              </w:rPr>
              <w:t xml:space="preserve"> de réalisation des placements.</w:t>
            </w:r>
          </w:p>
        </w:tc>
      </w:tr>
      <w:tr w:rsidR="00270A08" w:rsidRPr="00C80BAE" w14:paraId="306CCA9A" w14:textId="77777777" w:rsidTr="0044578D">
        <w:trPr>
          <w:trHeight w:val="409"/>
        </w:trPr>
        <w:tc>
          <w:tcPr>
            <w:tcW w:w="1101" w:type="dxa"/>
          </w:tcPr>
          <w:p w14:paraId="08FAA6C6"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R0200</w:t>
            </w:r>
          </w:p>
        </w:tc>
        <w:tc>
          <w:tcPr>
            <w:tcW w:w="3402" w:type="dxa"/>
          </w:tcPr>
          <w:p w14:paraId="12DCBE7E"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Produits des placements transférés au non technique</w:t>
            </w:r>
          </w:p>
        </w:tc>
        <w:tc>
          <w:tcPr>
            <w:tcW w:w="4739" w:type="dxa"/>
          </w:tcPr>
          <w:p w14:paraId="3984A2F8" w14:textId="0B4F099A" w:rsidR="00270A08" w:rsidRPr="00AA4F14" w:rsidRDefault="00270A08" w:rsidP="00733380">
            <w:pPr>
              <w:rPr>
                <w:rFonts w:ascii="Times New Roman" w:hAnsi="Times New Roman" w:cs="Times New Roman"/>
                <w:bCs/>
                <w:sz w:val="20"/>
                <w:szCs w:val="20"/>
              </w:rPr>
            </w:pPr>
            <w:r w:rsidRPr="00AA4F14">
              <w:rPr>
                <w:rFonts w:ascii="Times New Roman" w:hAnsi="Times New Roman" w:cs="Times New Roman"/>
                <w:sz w:val="20"/>
                <w:szCs w:val="20"/>
              </w:rPr>
              <w:t>Indiquer le montant des produits de placements transférés au compte non technique, au sens du règlement ANC 2015-11.</w:t>
            </w:r>
          </w:p>
        </w:tc>
      </w:tr>
      <w:tr w:rsidR="00270A08" w:rsidRPr="00C80BAE" w14:paraId="65C79A9E" w14:textId="77777777" w:rsidTr="0044578D">
        <w:trPr>
          <w:trHeight w:val="409"/>
        </w:trPr>
        <w:tc>
          <w:tcPr>
            <w:tcW w:w="1101" w:type="dxa"/>
          </w:tcPr>
          <w:p w14:paraId="58A54CDC"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R0210</w:t>
            </w:r>
          </w:p>
        </w:tc>
        <w:tc>
          <w:tcPr>
            <w:tcW w:w="3402" w:type="dxa"/>
          </w:tcPr>
          <w:p w14:paraId="588288BC"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Participation aux bénéfices</w:t>
            </w:r>
          </w:p>
        </w:tc>
        <w:tc>
          <w:tcPr>
            <w:tcW w:w="4739" w:type="dxa"/>
          </w:tcPr>
          <w:p w14:paraId="22C474F5" w14:textId="723005AD" w:rsidR="00270A08" w:rsidRPr="00AA4F14" w:rsidRDefault="00270A08" w:rsidP="00733380">
            <w:pPr>
              <w:rPr>
                <w:rFonts w:ascii="Times New Roman" w:hAnsi="Times New Roman" w:cs="Times New Roman"/>
                <w:bCs/>
                <w:sz w:val="20"/>
                <w:szCs w:val="20"/>
              </w:rPr>
            </w:pPr>
            <w:r w:rsidRPr="00AA4F14">
              <w:rPr>
                <w:rFonts w:ascii="Times New Roman" w:hAnsi="Times New Roman" w:cs="Times New Roman"/>
                <w:sz w:val="20"/>
                <w:szCs w:val="20"/>
              </w:rPr>
              <w:t>Indiquer le montant de la participation aux bénéfices telle que mentionnée à l’article L. 132-29 du code des assurances.</w:t>
            </w:r>
          </w:p>
        </w:tc>
      </w:tr>
      <w:tr w:rsidR="00270A08" w:rsidRPr="00C80BAE" w14:paraId="493B67E5" w14:textId="77777777" w:rsidTr="0044578D">
        <w:trPr>
          <w:trHeight w:val="409"/>
        </w:trPr>
        <w:tc>
          <w:tcPr>
            <w:tcW w:w="1101" w:type="dxa"/>
          </w:tcPr>
          <w:p w14:paraId="35838168"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R0220</w:t>
            </w:r>
          </w:p>
        </w:tc>
        <w:tc>
          <w:tcPr>
            <w:tcW w:w="3402" w:type="dxa"/>
          </w:tcPr>
          <w:p w14:paraId="11083CBD"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Intérêts techniques nets de cessions</w:t>
            </w:r>
          </w:p>
        </w:tc>
        <w:tc>
          <w:tcPr>
            <w:tcW w:w="4739" w:type="dxa"/>
          </w:tcPr>
          <w:p w14:paraId="040EDCDB" w14:textId="3756A88C" w:rsidR="00270A08" w:rsidRPr="00AA4F14" w:rsidRDefault="00270A08" w:rsidP="00733380">
            <w:pPr>
              <w:rPr>
                <w:rFonts w:ascii="Times New Roman" w:hAnsi="Times New Roman" w:cs="Times New Roman"/>
                <w:bCs/>
                <w:sz w:val="20"/>
                <w:szCs w:val="20"/>
              </w:rPr>
            </w:pPr>
            <w:r w:rsidRPr="00AA4F14">
              <w:rPr>
                <w:rFonts w:ascii="Times New Roman" w:hAnsi="Times New Roman" w:cs="Times New Roman"/>
                <w:sz w:val="20"/>
                <w:szCs w:val="20"/>
              </w:rPr>
              <w:t>Indiquer le montant des intérêts techniques nets de cessions.</w:t>
            </w:r>
          </w:p>
        </w:tc>
      </w:tr>
      <w:tr w:rsidR="00270A08" w:rsidRPr="00C80BAE" w14:paraId="294F9308" w14:textId="77777777" w:rsidTr="0044578D">
        <w:trPr>
          <w:trHeight w:val="409"/>
        </w:trPr>
        <w:tc>
          <w:tcPr>
            <w:tcW w:w="1101" w:type="dxa"/>
          </w:tcPr>
          <w:p w14:paraId="070D87B9"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R0230</w:t>
            </w:r>
          </w:p>
        </w:tc>
        <w:tc>
          <w:tcPr>
            <w:tcW w:w="3402" w:type="dxa"/>
          </w:tcPr>
          <w:p w14:paraId="2D1C7B48"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Solde financier</w:t>
            </w:r>
          </w:p>
        </w:tc>
        <w:tc>
          <w:tcPr>
            <w:tcW w:w="4739" w:type="dxa"/>
          </w:tcPr>
          <w:p w14:paraId="1406C3BA" w14:textId="77777777" w:rsidR="00270A08" w:rsidRPr="00AA4F14" w:rsidRDefault="00270A08"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Correspond à la différence entre le total des produits des placements et la somme du total des charges des placements, des produits des placements transférés au non technique, de la participation aux bénéfices et des </w:t>
            </w:r>
            <w:r w:rsidRPr="00AA4F14">
              <w:rPr>
                <w:rFonts w:ascii="Times New Roman" w:hAnsi="Times New Roman" w:cs="Times New Roman"/>
                <w:bCs/>
                <w:sz w:val="20"/>
                <w:szCs w:val="20"/>
              </w:rPr>
              <w:lastRenderedPageBreak/>
              <w:t>intérêts techniques nets de cessions</w:t>
            </w:r>
            <w:r w:rsidR="00095399" w:rsidRPr="00AA4F14">
              <w:rPr>
                <w:rFonts w:ascii="Times New Roman" w:hAnsi="Times New Roman" w:cs="Times New Roman"/>
                <w:bCs/>
                <w:sz w:val="20"/>
                <w:szCs w:val="20"/>
              </w:rPr>
              <w:t>.</w:t>
            </w:r>
          </w:p>
          <w:p w14:paraId="38B2400A" w14:textId="0DF1ECEA" w:rsidR="00733380" w:rsidRPr="00AA4F14" w:rsidRDefault="00733380" w:rsidP="00270A08">
            <w:pPr>
              <w:rPr>
                <w:rFonts w:ascii="Times New Roman" w:hAnsi="Times New Roman" w:cs="Times New Roman"/>
                <w:bCs/>
                <w:sz w:val="20"/>
                <w:szCs w:val="20"/>
              </w:rPr>
            </w:pPr>
            <w:r w:rsidRPr="00AA4F14">
              <w:rPr>
                <w:rFonts w:ascii="Times New Roman" w:hAnsi="Times New Roman" w:cs="Times New Roman"/>
                <w:sz w:val="20"/>
                <w:szCs w:val="20"/>
              </w:rPr>
              <w:t>Une valeur positive ou négative est attendue. Si la valeur est négative, elle doit être « négativement » signée.</w:t>
            </w:r>
          </w:p>
        </w:tc>
      </w:tr>
      <w:tr w:rsidR="00270A08" w:rsidRPr="00C80BAE" w14:paraId="6AAACF9E" w14:textId="77777777" w:rsidTr="0044578D">
        <w:trPr>
          <w:trHeight w:val="409"/>
        </w:trPr>
        <w:tc>
          <w:tcPr>
            <w:tcW w:w="1101" w:type="dxa"/>
          </w:tcPr>
          <w:p w14:paraId="6CC853C0"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lastRenderedPageBreak/>
              <w:t>R0240</w:t>
            </w:r>
          </w:p>
        </w:tc>
        <w:tc>
          <w:tcPr>
            <w:tcW w:w="3402" w:type="dxa"/>
          </w:tcPr>
          <w:p w14:paraId="5C41CF48"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Primes cédées</w:t>
            </w:r>
          </w:p>
        </w:tc>
        <w:tc>
          <w:tcPr>
            <w:tcW w:w="4739" w:type="dxa"/>
          </w:tcPr>
          <w:p w14:paraId="63B9D199" w14:textId="128CCF84" w:rsidR="00270A08" w:rsidRPr="00AA4F14" w:rsidRDefault="00270A08" w:rsidP="00733380">
            <w:pPr>
              <w:rPr>
                <w:rFonts w:ascii="Times New Roman" w:hAnsi="Times New Roman" w:cs="Times New Roman"/>
                <w:bCs/>
                <w:sz w:val="20"/>
                <w:szCs w:val="20"/>
              </w:rPr>
            </w:pPr>
            <w:r w:rsidRPr="00AA4F14">
              <w:rPr>
                <w:rFonts w:ascii="Times New Roman" w:hAnsi="Times New Roman" w:cs="Times New Roman"/>
                <w:sz w:val="20"/>
                <w:szCs w:val="20"/>
              </w:rPr>
              <w:t>Indiquer le montant des primes cédées.</w:t>
            </w:r>
          </w:p>
        </w:tc>
      </w:tr>
      <w:tr w:rsidR="00270A08" w:rsidRPr="00C80BAE" w14:paraId="2DDA71D1" w14:textId="77777777" w:rsidTr="0044578D">
        <w:trPr>
          <w:trHeight w:val="409"/>
        </w:trPr>
        <w:tc>
          <w:tcPr>
            <w:tcW w:w="1101" w:type="dxa"/>
          </w:tcPr>
          <w:p w14:paraId="35EBD5F6"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R0250</w:t>
            </w:r>
          </w:p>
        </w:tc>
        <w:tc>
          <w:tcPr>
            <w:tcW w:w="3402" w:type="dxa"/>
          </w:tcPr>
          <w:p w14:paraId="337C17FC"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Part des réassureurs dans les charges des prestations</w:t>
            </w:r>
          </w:p>
        </w:tc>
        <w:tc>
          <w:tcPr>
            <w:tcW w:w="4739" w:type="dxa"/>
          </w:tcPr>
          <w:p w14:paraId="3AB0DB50" w14:textId="3F01A776" w:rsidR="00270A08" w:rsidRPr="00AA4F14" w:rsidRDefault="00270A08" w:rsidP="00733380">
            <w:pPr>
              <w:rPr>
                <w:rFonts w:ascii="Times New Roman" w:hAnsi="Times New Roman" w:cs="Times New Roman"/>
                <w:bCs/>
                <w:sz w:val="20"/>
                <w:szCs w:val="20"/>
              </w:rPr>
            </w:pPr>
            <w:r w:rsidRPr="00AA4F14">
              <w:rPr>
                <w:rFonts w:ascii="Times New Roman" w:hAnsi="Times New Roman" w:cs="Times New Roman"/>
                <w:sz w:val="20"/>
                <w:szCs w:val="20"/>
              </w:rPr>
              <w:t>Indiquer la part des réassureurs dans les charges de prestations.</w:t>
            </w:r>
          </w:p>
        </w:tc>
      </w:tr>
      <w:tr w:rsidR="00270A08" w:rsidRPr="00C80BAE" w14:paraId="64E734F5" w14:textId="77777777" w:rsidTr="0044578D">
        <w:trPr>
          <w:trHeight w:val="409"/>
        </w:trPr>
        <w:tc>
          <w:tcPr>
            <w:tcW w:w="1101" w:type="dxa"/>
          </w:tcPr>
          <w:p w14:paraId="304D2C07"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R0260</w:t>
            </w:r>
          </w:p>
        </w:tc>
        <w:tc>
          <w:tcPr>
            <w:tcW w:w="3402" w:type="dxa"/>
          </w:tcPr>
          <w:p w14:paraId="1B9EDEDD"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Part des réassureurs dans les charges des provisions techniques</w:t>
            </w:r>
          </w:p>
        </w:tc>
        <w:tc>
          <w:tcPr>
            <w:tcW w:w="4739" w:type="dxa"/>
          </w:tcPr>
          <w:p w14:paraId="38D8815A" w14:textId="3D822FA9" w:rsidR="00270A08" w:rsidRPr="00AA4F14" w:rsidRDefault="00270A08" w:rsidP="00733380">
            <w:pPr>
              <w:rPr>
                <w:rFonts w:ascii="Times New Roman" w:hAnsi="Times New Roman" w:cs="Times New Roman"/>
                <w:bCs/>
                <w:sz w:val="20"/>
                <w:szCs w:val="20"/>
              </w:rPr>
            </w:pPr>
            <w:r w:rsidRPr="00AA4F14">
              <w:rPr>
                <w:rFonts w:ascii="Times New Roman" w:hAnsi="Times New Roman" w:cs="Times New Roman"/>
                <w:sz w:val="20"/>
                <w:szCs w:val="20"/>
              </w:rPr>
              <w:t>Indiquer la part des réassureurs dans les charges de provisions techniques.</w:t>
            </w:r>
          </w:p>
        </w:tc>
      </w:tr>
      <w:tr w:rsidR="00270A08" w:rsidRPr="00C80BAE" w14:paraId="12617C8F" w14:textId="77777777" w:rsidTr="0044578D">
        <w:trPr>
          <w:trHeight w:val="409"/>
        </w:trPr>
        <w:tc>
          <w:tcPr>
            <w:tcW w:w="1101" w:type="dxa"/>
          </w:tcPr>
          <w:p w14:paraId="14E77DFD"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R0270</w:t>
            </w:r>
          </w:p>
        </w:tc>
        <w:tc>
          <w:tcPr>
            <w:tcW w:w="3402" w:type="dxa"/>
          </w:tcPr>
          <w:p w14:paraId="0FD9045E"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Part des réassureurs dans la participation aux résultats</w:t>
            </w:r>
          </w:p>
        </w:tc>
        <w:tc>
          <w:tcPr>
            <w:tcW w:w="4739" w:type="dxa"/>
          </w:tcPr>
          <w:p w14:paraId="13893922" w14:textId="466B3F69" w:rsidR="00270A08" w:rsidRPr="00AA4F14" w:rsidRDefault="00270A08" w:rsidP="00733380">
            <w:pPr>
              <w:rPr>
                <w:rFonts w:ascii="Times New Roman" w:hAnsi="Times New Roman" w:cs="Times New Roman"/>
                <w:bCs/>
                <w:sz w:val="20"/>
                <w:szCs w:val="20"/>
              </w:rPr>
            </w:pPr>
            <w:r w:rsidRPr="00AA4F14">
              <w:rPr>
                <w:rFonts w:ascii="Times New Roman" w:hAnsi="Times New Roman" w:cs="Times New Roman"/>
                <w:sz w:val="20"/>
                <w:szCs w:val="20"/>
              </w:rPr>
              <w:t>Indiquer la part des réassureurs dans la participation aux résultats.</w:t>
            </w:r>
          </w:p>
        </w:tc>
      </w:tr>
      <w:tr w:rsidR="00270A08" w:rsidRPr="00C80BAE" w14:paraId="4773D3D1" w14:textId="77777777" w:rsidTr="0044578D">
        <w:trPr>
          <w:trHeight w:val="409"/>
        </w:trPr>
        <w:tc>
          <w:tcPr>
            <w:tcW w:w="1101" w:type="dxa"/>
          </w:tcPr>
          <w:p w14:paraId="40F43E0F"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R0280</w:t>
            </w:r>
          </w:p>
        </w:tc>
        <w:tc>
          <w:tcPr>
            <w:tcW w:w="3402" w:type="dxa"/>
          </w:tcPr>
          <w:p w14:paraId="74FDA38E"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Commissions reçues des réassureurs</w:t>
            </w:r>
          </w:p>
        </w:tc>
        <w:tc>
          <w:tcPr>
            <w:tcW w:w="4739" w:type="dxa"/>
          </w:tcPr>
          <w:p w14:paraId="4178842F" w14:textId="1B6C70E5" w:rsidR="00270A08" w:rsidRPr="00AA4F14" w:rsidRDefault="00270A08" w:rsidP="00733380">
            <w:pPr>
              <w:rPr>
                <w:rFonts w:ascii="Times New Roman" w:hAnsi="Times New Roman" w:cs="Times New Roman"/>
                <w:bCs/>
                <w:sz w:val="20"/>
                <w:szCs w:val="20"/>
              </w:rPr>
            </w:pPr>
            <w:r w:rsidRPr="00AA4F14">
              <w:rPr>
                <w:rFonts w:ascii="Times New Roman" w:hAnsi="Times New Roman" w:cs="Times New Roman"/>
                <w:sz w:val="20"/>
                <w:szCs w:val="20"/>
              </w:rPr>
              <w:t>Indiquer le montant des commissions reçues des réassureurs.</w:t>
            </w:r>
          </w:p>
        </w:tc>
      </w:tr>
      <w:tr w:rsidR="00270A08" w:rsidRPr="00C80BAE" w14:paraId="51B556A5" w14:textId="77777777" w:rsidTr="0044578D">
        <w:trPr>
          <w:trHeight w:val="409"/>
        </w:trPr>
        <w:tc>
          <w:tcPr>
            <w:tcW w:w="1101" w:type="dxa"/>
          </w:tcPr>
          <w:p w14:paraId="4191E379"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R0290</w:t>
            </w:r>
          </w:p>
        </w:tc>
        <w:tc>
          <w:tcPr>
            <w:tcW w:w="3402" w:type="dxa"/>
          </w:tcPr>
          <w:p w14:paraId="14D07E0A"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Solde de réassurance</w:t>
            </w:r>
          </w:p>
        </w:tc>
        <w:tc>
          <w:tcPr>
            <w:tcW w:w="4739" w:type="dxa"/>
          </w:tcPr>
          <w:p w14:paraId="086CAAFA"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bCs/>
                <w:sz w:val="20"/>
                <w:szCs w:val="20"/>
              </w:rPr>
              <w:t xml:space="preserve">Correspond à la somme des parts des réassureurs </w:t>
            </w:r>
            <w:r w:rsidRPr="00AA4F14">
              <w:rPr>
                <w:rFonts w:ascii="Times New Roman" w:hAnsi="Times New Roman" w:cs="Times New Roman"/>
                <w:sz w:val="20"/>
                <w:szCs w:val="20"/>
              </w:rPr>
              <w:t>dans les charges des prestations, dans les charges des provisions techniques et dans la participation aux résultats et des commissions reçues des réassureurs minorée des primes cédées</w:t>
            </w:r>
            <w:r w:rsidR="00CC4E6B" w:rsidRPr="00AA4F14">
              <w:rPr>
                <w:rFonts w:ascii="Times New Roman" w:hAnsi="Times New Roman" w:cs="Times New Roman"/>
                <w:sz w:val="20"/>
                <w:szCs w:val="20"/>
              </w:rPr>
              <w:t>.</w:t>
            </w:r>
          </w:p>
          <w:p w14:paraId="1D7FFA63" w14:textId="4BE7DDD6" w:rsidR="00733380" w:rsidRPr="00AA4F14" w:rsidRDefault="00733380" w:rsidP="00270A08">
            <w:pPr>
              <w:rPr>
                <w:rFonts w:ascii="Times New Roman" w:hAnsi="Times New Roman" w:cs="Times New Roman"/>
                <w:bCs/>
                <w:sz w:val="20"/>
                <w:szCs w:val="20"/>
              </w:rPr>
            </w:pPr>
            <w:r w:rsidRPr="00AA4F14">
              <w:rPr>
                <w:rFonts w:ascii="Times New Roman" w:hAnsi="Times New Roman" w:cs="Times New Roman"/>
                <w:sz w:val="20"/>
                <w:szCs w:val="20"/>
              </w:rPr>
              <w:t>Une valeur positive ou négative est attendue. Si la valeur est négative, elle doit être « négativement » signée.</w:t>
            </w:r>
          </w:p>
        </w:tc>
      </w:tr>
      <w:tr w:rsidR="00270A08" w:rsidRPr="00C80BAE" w14:paraId="63989556" w14:textId="77777777" w:rsidTr="00165936">
        <w:trPr>
          <w:trHeight w:val="77"/>
        </w:trPr>
        <w:tc>
          <w:tcPr>
            <w:tcW w:w="1101" w:type="dxa"/>
          </w:tcPr>
          <w:p w14:paraId="34C9D800"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R0300</w:t>
            </w:r>
          </w:p>
        </w:tc>
        <w:tc>
          <w:tcPr>
            <w:tcW w:w="3402" w:type="dxa"/>
          </w:tcPr>
          <w:p w14:paraId="3E704C98"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Résultat technique</w:t>
            </w:r>
          </w:p>
        </w:tc>
        <w:tc>
          <w:tcPr>
            <w:tcW w:w="4739" w:type="dxa"/>
          </w:tcPr>
          <w:p w14:paraId="19362A3E" w14:textId="2A33BB30" w:rsidR="00270A08" w:rsidRPr="00AA4F14" w:rsidRDefault="00270A08" w:rsidP="00270A08">
            <w:pPr>
              <w:rPr>
                <w:rFonts w:ascii="Times New Roman" w:hAnsi="Times New Roman" w:cs="Times New Roman"/>
                <w:bCs/>
                <w:sz w:val="20"/>
                <w:szCs w:val="20"/>
              </w:rPr>
            </w:pPr>
            <w:r w:rsidRPr="00AA4F14">
              <w:rPr>
                <w:rFonts w:ascii="Times New Roman" w:hAnsi="Times New Roman" w:cs="Times New Roman"/>
                <w:bCs/>
                <w:sz w:val="20"/>
                <w:szCs w:val="20"/>
              </w:rPr>
              <w:t>Correspond à la somme du solde de souscription, du solde financier et du solde de réassurance, diminuée des charges d’acquisition et de gestion nettes</w:t>
            </w:r>
            <w:r w:rsidR="00CC4E6B" w:rsidRPr="00AA4F14">
              <w:rPr>
                <w:rFonts w:ascii="Times New Roman" w:hAnsi="Times New Roman" w:cs="Times New Roman"/>
                <w:sz w:val="20"/>
                <w:szCs w:val="20"/>
              </w:rPr>
              <w:t>.</w:t>
            </w:r>
          </w:p>
          <w:p w14:paraId="75373FD4" w14:textId="4DFF5BA6" w:rsidR="00733380" w:rsidRPr="00AA4F14" w:rsidRDefault="00733380" w:rsidP="00270A08">
            <w:pPr>
              <w:rPr>
                <w:rFonts w:ascii="Times New Roman" w:hAnsi="Times New Roman" w:cs="Times New Roman"/>
                <w:bCs/>
                <w:sz w:val="20"/>
                <w:szCs w:val="20"/>
              </w:rPr>
            </w:pPr>
            <w:r w:rsidRPr="00AA4F14">
              <w:rPr>
                <w:rFonts w:ascii="Times New Roman" w:hAnsi="Times New Roman" w:cs="Times New Roman"/>
                <w:sz w:val="20"/>
                <w:szCs w:val="20"/>
              </w:rPr>
              <w:t>Une valeur positive ou négative est attendue. Si la valeur est négative, elle doit être « négativement » signée.</w:t>
            </w:r>
          </w:p>
        </w:tc>
      </w:tr>
      <w:tr w:rsidR="00270A08" w:rsidRPr="00C80BAE" w14:paraId="3BA23B60" w14:textId="77777777" w:rsidTr="0044578D">
        <w:trPr>
          <w:trHeight w:val="409"/>
        </w:trPr>
        <w:tc>
          <w:tcPr>
            <w:tcW w:w="1101" w:type="dxa"/>
          </w:tcPr>
          <w:p w14:paraId="6FA5DEAE"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R0310</w:t>
            </w:r>
          </w:p>
        </w:tc>
        <w:tc>
          <w:tcPr>
            <w:tcW w:w="3402" w:type="dxa"/>
          </w:tcPr>
          <w:p w14:paraId="495C9C44"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Produits des placements alloués</w:t>
            </w:r>
          </w:p>
        </w:tc>
        <w:tc>
          <w:tcPr>
            <w:tcW w:w="4739" w:type="dxa"/>
          </w:tcPr>
          <w:p w14:paraId="00E3BBA4" w14:textId="1DA0EA8B" w:rsidR="00270A08" w:rsidRPr="00AA4F14" w:rsidRDefault="00270A08" w:rsidP="00280E4D">
            <w:pPr>
              <w:rPr>
                <w:rFonts w:ascii="Times New Roman" w:hAnsi="Times New Roman" w:cs="Times New Roman"/>
                <w:bCs/>
                <w:sz w:val="20"/>
                <w:szCs w:val="20"/>
              </w:rPr>
            </w:pPr>
            <w:r w:rsidRPr="00AA4F14">
              <w:rPr>
                <w:rFonts w:ascii="Times New Roman" w:hAnsi="Times New Roman" w:cs="Times New Roman"/>
                <w:sz w:val="20"/>
                <w:szCs w:val="20"/>
              </w:rPr>
              <w:t>Indiquer le montant des produits des placements alloués, au sens du règlement ANC 2015-11.</w:t>
            </w:r>
          </w:p>
        </w:tc>
      </w:tr>
      <w:tr w:rsidR="00270A08" w:rsidRPr="00C80BAE" w14:paraId="6AF31698" w14:textId="77777777" w:rsidTr="0044578D">
        <w:trPr>
          <w:trHeight w:val="409"/>
        </w:trPr>
        <w:tc>
          <w:tcPr>
            <w:tcW w:w="1101" w:type="dxa"/>
          </w:tcPr>
          <w:p w14:paraId="59CC9F93"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R0320</w:t>
            </w:r>
          </w:p>
        </w:tc>
        <w:tc>
          <w:tcPr>
            <w:tcW w:w="3402" w:type="dxa"/>
          </w:tcPr>
          <w:p w14:paraId="1A12BD92"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Produits des placements transférés</w:t>
            </w:r>
          </w:p>
        </w:tc>
        <w:tc>
          <w:tcPr>
            <w:tcW w:w="4739" w:type="dxa"/>
          </w:tcPr>
          <w:p w14:paraId="5BFF447B" w14:textId="4152A2A0" w:rsidR="00270A08" w:rsidRPr="00AA4F14" w:rsidRDefault="00270A08" w:rsidP="00280E4D">
            <w:pPr>
              <w:rPr>
                <w:rFonts w:ascii="Times New Roman" w:hAnsi="Times New Roman" w:cs="Times New Roman"/>
                <w:bCs/>
                <w:sz w:val="20"/>
                <w:szCs w:val="20"/>
              </w:rPr>
            </w:pPr>
            <w:r w:rsidRPr="00AA4F14">
              <w:rPr>
                <w:rFonts w:ascii="Times New Roman" w:hAnsi="Times New Roman" w:cs="Times New Roman"/>
                <w:sz w:val="20"/>
                <w:szCs w:val="20"/>
              </w:rPr>
              <w:t>Indiquer le montant des produits des placements transférés, au sens du règlement ANC 2015-11.</w:t>
            </w:r>
          </w:p>
        </w:tc>
      </w:tr>
      <w:tr w:rsidR="00270A08" w:rsidRPr="00C80BAE" w14:paraId="773FFA49" w14:textId="77777777" w:rsidTr="0044578D">
        <w:trPr>
          <w:trHeight w:val="409"/>
        </w:trPr>
        <w:tc>
          <w:tcPr>
            <w:tcW w:w="1101" w:type="dxa"/>
          </w:tcPr>
          <w:p w14:paraId="0AB6C55A"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R0330</w:t>
            </w:r>
          </w:p>
        </w:tc>
        <w:tc>
          <w:tcPr>
            <w:tcW w:w="3402" w:type="dxa"/>
          </w:tcPr>
          <w:p w14:paraId="20BDB230"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Autres produits non techniques</w:t>
            </w:r>
          </w:p>
        </w:tc>
        <w:tc>
          <w:tcPr>
            <w:tcW w:w="4739" w:type="dxa"/>
          </w:tcPr>
          <w:p w14:paraId="2869A086" w14:textId="1A359C95" w:rsidR="00270A08" w:rsidRPr="00AA4F14" w:rsidRDefault="00270A08" w:rsidP="00280E4D">
            <w:pPr>
              <w:rPr>
                <w:rFonts w:ascii="Times New Roman" w:hAnsi="Times New Roman" w:cs="Times New Roman"/>
                <w:bCs/>
                <w:sz w:val="20"/>
                <w:szCs w:val="20"/>
              </w:rPr>
            </w:pPr>
            <w:r w:rsidRPr="00AA4F14">
              <w:rPr>
                <w:rFonts w:ascii="Times New Roman" w:hAnsi="Times New Roman" w:cs="Times New Roman"/>
                <w:sz w:val="20"/>
                <w:szCs w:val="20"/>
              </w:rPr>
              <w:t>Indiquer le montant des autres produits non techniques au sens du règlement ANC 2015-11.</w:t>
            </w:r>
          </w:p>
        </w:tc>
      </w:tr>
      <w:tr w:rsidR="00270A08" w:rsidRPr="00C80BAE" w14:paraId="4EF76685" w14:textId="77777777" w:rsidTr="0044578D">
        <w:trPr>
          <w:trHeight w:val="409"/>
        </w:trPr>
        <w:tc>
          <w:tcPr>
            <w:tcW w:w="1101" w:type="dxa"/>
          </w:tcPr>
          <w:p w14:paraId="6C71B8E7"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R0340</w:t>
            </w:r>
          </w:p>
        </w:tc>
        <w:tc>
          <w:tcPr>
            <w:tcW w:w="3402" w:type="dxa"/>
          </w:tcPr>
          <w:p w14:paraId="61CF75D2"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Autres charges non techniques</w:t>
            </w:r>
          </w:p>
        </w:tc>
        <w:tc>
          <w:tcPr>
            <w:tcW w:w="4739" w:type="dxa"/>
          </w:tcPr>
          <w:p w14:paraId="6EE7D586" w14:textId="15C4CC69" w:rsidR="00270A08" w:rsidRPr="00AA4F14" w:rsidRDefault="00270A08" w:rsidP="00280E4D">
            <w:pPr>
              <w:rPr>
                <w:rFonts w:ascii="Times New Roman" w:hAnsi="Times New Roman" w:cs="Times New Roman"/>
                <w:bCs/>
                <w:sz w:val="20"/>
                <w:szCs w:val="20"/>
              </w:rPr>
            </w:pPr>
            <w:r w:rsidRPr="00AA4F14">
              <w:rPr>
                <w:rFonts w:ascii="Times New Roman" w:hAnsi="Times New Roman" w:cs="Times New Roman"/>
                <w:sz w:val="20"/>
                <w:szCs w:val="20"/>
              </w:rPr>
              <w:t>Indiquer le montant des autres charges non techniques au sens du règlement ANC 2015-11.</w:t>
            </w:r>
          </w:p>
        </w:tc>
      </w:tr>
      <w:tr w:rsidR="00270A08" w:rsidRPr="00C80BAE" w14:paraId="3DD5A3F8" w14:textId="77777777" w:rsidTr="0044578D">
        <w:trPr>
          <w:trHeight w:val="409"/>
        </w:trPr>
        <w:tc>
          <w:tcPr>
            <w:tcW w:w="1101" w:type="dxa"/>
          </w:tcPr>
          <w:p w14:paraId="0424EB70"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R0350</w:t>
            </w:r>
          </w:p>
        </w:tc>
        <w:tc>
          <w:tcPr>
            <w:tcW w:w="3402" w:type="dxa"/>
          </w:tcPr>
          <w:p w14:paraId="1768E97A"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Résultat exceptionnel</w:t>
            </w:r>
          </w:p>
        </w:tc>
        <w:tc>
          <w:tcPr>
            <w:tcW w:w="4739" w:type="dxa"/>
          </w:tcPr>
          <w:p w14:paraId="2ED1B33B" w14:textId="39E2882D" w:rsidR="00270A08" w:rsidRPr="00AA4F14" w:rsidRDefault="00270A08" w:rsidP="00280E4D">
            <w:pPr>
              <w:rPr>
                <w:rFonts w:ascii="Times New Roman" w:hAnsi="Times New Roman" w:cs="Times New Roman"/>
                <w:bCs/>
                <w:sz w:val="20"/>
                <w:szCs w:val="20"/>
              </w:rPr>
            </w:pPr>
            <w:r w:rsidRPr="00AA4F14">
              <w:rPr>
                <w:rFonts w:ascii="Times New Roman" w:hAnsi="Times New Roman" w:cs="Times New Roman"/>
                <w:sz w:val="20"/>
                <w:szCs w:val="20"/>
              </w:rPr>
              <w:t>Indiquer le montant du résultat exceptionnel au sens du règlement ANC 2015-11.</w:t>
            </w:r>
          </w:p>
        </w:tc>
      </w:tr>
      <w:tr w:rsidR="00270A08" w:rsidRPr="00C80BAE" w14:paraId="506FECD9" w14:textId="77777777" w:rsidTr="0044578D">
        <w:trPr>
          <w:trHeight w:val="409"/>
        </w:trPr>
        <w:tc>
          <w:tcPr>
            <w:tcW w:w="1101" w:type="dxa"/>
          </w:tcPr>
          <w:p w14:paraId="48002A26"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R0360</w:t>
            </w:r>
          </w:p>
        </w:tc>
        <w:tc>
          <w:tcPr>
            <w:tcW w:w="3402" w:type="dxa"/>
          </w:tcPr>
          <w:p w14:paraId="495DD177"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Participation des salariés</w:t>
            </w:r>
          </w:p>
        </w:tc>
        <w:tc>
          <w:tcPr>
            <w:tcW w:w="4739" w:type="dxa"/>
          </w:tcPr>
          <w:p w14:paraId="2F399E05" w14:textId="428EEA62" w:rsidR="00270A08" w:rsidRPr="00AA4F14" w:rsidRDefault="00270A08" w:rsidP="00280E4D">
            <w:pPr>
              <w:rPr>
                <w:rFonts w:ascii="Times New Roman" w:hAnsi="Times New Roman" w:cs="Times New Roman"/>
                <w:bCs/>
                <w:sz w:val="20"/>
                <w:szCs w:val="20"/>
              </w:rPr>
            </w:pPr>
            <w:r w:rsidRPr="00AA4F14">
              <w:rPr>
                <w:rFonts w:ascii="Times New Roman" w:hAnsi="Times New Roman" w:cs="Times New Roman"/>
                <w:sz w:val="20"/>
                <w:szCs w:val="20"/>
              </w:rPr>
              <w:t>Indiquer le montant de la participation des salariés au sens du règlement ANC 2015-11.</w:t>
            </w:r>
          </w:p>
        </w:tc>
      </w:tr>
      <w:tr w:rsidR="00270A08" w:rsidRPr="00C80BAE" w14:paraId="64F334FA" w14:textId="77777777" w:rsidTr="0044578D">
        <w:trPr>
          <w:trHeight w:val="409"/>
        </w:trPr>
        <w:tc>
          <w:tcPr>
            <w:tcW w:w="1101" w:type="dxa"/>
          </w:tcPr>
          <w:p w14:paraId="70DE2229"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R0370</w:t>
            </w:r>
          </w:p>
        </w:tc>
        <w:tc>
          <w:tcPr>
            <w:tcW w:w="3402" w:type="dxa"/>
          </w:tcPr>
          <w:p w14:paraId="14D17D3A"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Impôt sur les bénéfices</w:t>
            </w:r>
          </w:p>
        </w:tc>
        <w:tc>
          <w:tcPr>
            <w:tcW w:w="4739" w:type="dxa"/>
          </w:tcPr>
          <w:p w14:paraId="43BDD723" w14:textId="7FC288BD" w:rsidR="00270A08" w:rsidRPr="00AA4F14" w:rsidRDefault="00270A08" w:rsidP="00280E4D">
            <w:pPr>
              <w:rPr>
                <w:rFonts w:ascii="Times New Roman" w:hAnsi="Times New Roman" w:cs="Times New Roman"/>
                <w:bCs/>
                <w:sz w:val="20"/>
                <w:szCs w:val="20"/>
              </w:rPr>
            </w:pPr>
            <w:r w:rsidRPr="00AA4F14">
              <w:rPr>
                <w:rFonts w:ascii="Times New Roman" w:hAnsi="Times New Roman" w:cs="Times New Roman"/>
                <w:sz w:val="20"/>
                <w:szCs w:val="20"/>
              </w:rPr>
              <w:t>Indiquer le montant de l’impôt sur les bénéfices.</w:t>
            </w:r>
          </w:p>
        </w:tc>
      </w:tr>
      <w:tr w:rsidR="00270A08" w:rsidRPr="00C80BAE" w14:paraId="6B4F83A3" w14:textId="77777777" w:rsidTr="0044578D">
        <w:trPr>
          <w:trHeight w:val="409"/>
        </w:trPr>
        <w:tc>
          <w:tcPr>
            <w:tcW w:w="1101" w:type="dxa"/>
          </w:tcPr>
          <w:p w14:paraId="61443DCD"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R0380</w:t>
            </w:r>
          </w:p>
        </w:tc>
        <w:tc>
          <w:tcPr>
            <w:tcW w:w="3402" w:type="dxa"/>
          </w:tcPr>
          <w:p w14:paraId="1203B94B"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Résultat de l’exercice</w:t>
            </w:r>
          </w:p>
        </w:tc>
        <w:tc>
          <w:tcPr>
            <w:tcW w:w="4739" w:type="dxa"/>
          </w:tcPr>
          <w:p w14:paraId="5EC23E56"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bCs/>
                <w:sz w:val="20"/>
                <w:szCs w:val="20"/>
              </w:rPr>
              <w:t>Correspond à la somme du résultat technique, des produits des placements alloués et transférés, des autres produits non techniques, du résultat exceptionnel, minorée des autres charges non techniques, de la participation des salariés et de l’impôt sur les bénéfices</w:t>
            </w:r>
            <w:r w:rsidR="00CC4E6B" w:rsidRPr="00AA4F14">
              <w:rPr>
                <w:rFonts w:ascii="Times New Roman" w:hAnsi="Times New Roman" w:cs="Times New Roman"/>
                <w:sz w:val="20"/>
                <w:szCs w:val="20"/>
              </w:rPr>
              <w:t>.</w:t>
            </w:r>
          </w:p>
          <w:p w14:paraId="33E8213A" w14:textId="5CDE4BC5" w:rsidR="00280E4D" w:rsidRPr="00AA4F14" w:rsidRDefault="00280E4D" w:rsidP="00270A08">
            <w:pPr>
              <w:rPr>
                <w:rFonts w:ascii="Times New Roman" w:hAnsi="Times New Roman" w:cs="Times New Roman"/>
                <w:bCs/>
                <w:sz w:val="20"/>
                <w:szCs w:val="20"/>
              </w:rPr>
            </w:pPr>
            <w:r w:rsidRPr="00AA4F14">
              <w:rPr>
                <w:rFonts w:ascii="Times New Roman" w:hAnsi="Times New Roman" w:cs="Times New Roman"/>
                <w:sz w:val="20"/>
                <w:szCs w:val="20"/>
              </w:rPr>
              <w:t>Une valeur positive ou négative est attendue. Si la valeur est négative, elle doit être « négativement » signée.</w:t>
            </w:r>
          </w:p>
        </w:tc>
      </w:tr>
      <w:tr w:rsidR="00270A08" w:rsidRPr="00C80BAE" w14:paraId="7A0778C6" w14:textId="77777777" w:rsidTr="0044578D">
        <w:trPr>
          <w:trHeight w:val="409"/>
        </w:trPr>
        <w:tc>
          <w:tcPr>
            <w:tcW w:w="1101" w:type="dxa"/>
          </w:tcPr>
          <w:p w14:paraId="6479EEB0"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R0390</w:t>
            </w:r>
          </w:p>
        </w:tc>
        <w:tc>
          <w:tcPr>
            <w:tcW w:w="3402" w:type="dxa"/>
          </w:tcPr>
          <w:p w14:paraId="34C6B420" w14:textId="77777777" w:rsidR="00270A08" w:rsidRPr="00AA4F14" w:rsidRDefault="00270A08" w:rsidP="00270A08">
            <w:pPr>
              <w:rPr>
                <w:rFonts w:ascii="Times New Roman" w:hAnsi="Times New Roman" w:cs="Times New Roman"/>
                <w:sz w:val="20"/>
                <w:szCs w:val="20"/>
              </w:rPr>
            </w:pPr>
            <w:r w:rsidRPr="00AA4F14">
              <w:rPr>
                <w:rFonts w:ascii="Times New Roman" w:hAnsi="Times New Roman" w:cs="Times New Roman"/>
                <w:sz w:val="20"/>
                <w:szCs w:val="20"/>
              </w:rPr>
              <w:t>Dont résultat technique des garanties accessoires</w:t>
            </w:r>
          </w:p>
        </w:tc>
        <w:tc>
          <w:tcPr>
            <w:tcW w:w="4739" w:type="dxa"/>
          </w:tcPr>
          <w:p w14:paraId="570DBF4C" w14:textId="77777777" w:rsidR="00270A08" w:rsidRPr="00AA4F14" w:rsidRDefault="00270A08" w:rsidP="00270A08">
            <w:pPr>
              <w:rPr>
                <w:rFonts w:ascii="Times New Roman" w:hAnsi="Times New Roman" w:cs="Times New Roman"/>
                <w:bCs/>
                <w:sz w:val="20"/>
                <w:szCs w:val="20"/>
              </w:rPr>
            </w:pPr>
            <w:r w:rsidRPr="00AA4F14">
              <w:rPr>
                <w:rFonts w:ascii="Times New Roman" w:hAnsi="Times New Roman" w:cs="Times New Roman"/>
                <w:bCs/>
                <w:sz w:val="20"/>
                <w:szCs w:val="20"/>
              </w:rPr>
              <w:t>Correspond à la part du résultat technique découlant des garanties accessoires attachées aux contrats de retraite.</w:t>
            </w:r>
          </w:p>
          <w:p w14:paraId="45F8EF77" w14:textId="4570B4AE" w:rsidR="00280E4D" w:rsidRPr="00AA4F14" w:rsidRDefault="00280E4D" w:rsidP="00270A08">
            <w:pPr>
              <w:rPr>
                <w:rFonts w:ascii="Times New Roman" w:hAnsi="Times New Roman" w:cs="Times New Roman"/>
                <w:bCs/>
                <w:sz w:val="20"/>
                <w:szCs w:val="20"/>
              </w:rPr>
            </w:pPr>
            <w:r w:rsidRPr="00AA4F14">
              <w:rPr>
                <w:rFonts w:ascii="Times New Roman" w:hAnsi="Times New Roman" w:cs="Times New Roman"/>
                <w:sz w:val="20"/>
                <w:szCs w:val="20"/>
              </w:rPr>
              <w:t>Une valeur positive ou négative est attendue. Si la valeur est négative, elle doit être « négativement » signée.</w:t>
            </w:r>
          </w:p>
        </w:tc>
      </w:tr>
      <w:tr w:rsidR="00FB78CE" w:rsidRPr="00C80BAE" w14:paraId="375BBB22" w14:textId="77777777" w:rsidTr="0053713B">
        <w:trPr>
          <w:trHeight w:val="409"/>
        </w:trPr>
        <w:tc>
          <w:tcPr>
            <w:tcW w:w="1101" w:type="dxa"/>
          </w:tcPr>
          <w:p w14:paraId="15C66CE3" w14:textId="648B182F" w:rsidR="00FB78CE" w:rsidRPr="00AA4F14" w:rsidRDefault="00FB78CE" w:rsidP="00270A08">
            <w:pPr>
              <w:rPr>
                <w:rFonts w:ascii="Times New Roman" w:hAnsi="Times New Roman" w:cs="Times New Roman"/>
                <w:sz w:val="20"/>
                <w:szCs w:val="20"/>
              </w:rPr>
            </w:pPr>
            <w:r w:rsidRPr="00AA4F14">
              <w:rPr>
                <w:rFonts w:ascii="Times New Roman" w:hAnsi="Times New Roman" w:cs="Times New Roman"/>
                <w:sz w:val="20"/>
                <w:szCs w:val="20"/>
              </w:rPr>
              <w:t>R0400</w:t>
            </w:r>
          </w:p>
        </w:tc>
        <w:tc>
          <w:tcPr>
            <w:tcW w:w="3402" w:type="dxa"/>
          </w:tcPr>
          <w:p w14:paraId="784C0519" w14:textId="5526E59C" w:rsidR="00FB78CE" w:rsidRPr="00AA4F14" w:rsidRDefault="00FB78CE" w:rsidP="00270A08">
            <w:pPr>
              <w:rPr>
                <w:rFonts w:ascii="Times New Roman" w:hAnsi="Times New Roman" w:cs="Times New Roman"/>
                <w:sz w:val="20"/>
                <w:szCs w:val="20"/>
              </w:rPr>
            </w:pPr>
            <w:r w:rsidRPr="00AA4F14">
              <w:rPr>
                <w:rFonts w:ascii="Times New Roman" w:hAnsi="Times New Roman" w:cs="Times New Roman"/>
                <w:sz w:val="20"/>
                <w:szCs w:val="20"/>
              </w:rPr>
              <w:t>Distributions</w:t>
            </w:r>
          </w:p>
        </w:tc>
        <w:tc>
          <w:tcPr>
            <w:tcW w:w="4739" w:type="dxa"/>
          </w:tcPr>
          <w:p w14:paraId="176C789C" w14:textId="638BC2EC" w:rsidR="0020709D" w:rsidRPr="00AA4F14" w:rsidRDefault="00FB78CE" w:rsidP="00270A08">
            <w:pPr>
              <w:rPr>
                <w:rFonts w:ascii="Times New Roman" w:hAnsi="Times New Roman" w:cs="Times New Roman"/>
                <w:bCs/>
                <w:sz w:val="20"/>
                <w:szCs w:val="20"/>
              </w:rPr>
            </w:pPr>
            <w:r w:rsidRPr="00AA4F14">
              <w:rPr>
                <w:rFonts w:ascii="Times New Roman" w:hAnsi="Times New Roman" w:cs="Times New Roman"/>
                <w:bCs/>
                <w:sz w:val="20"/>
                <w:szCs w:val="20"/>
              </w:rPr>
              <w:t>Montant de dividendes versés au titre de l’exercice clos.</w:t>
            </w:r>
          </w:p>
        </w:tc>
      </w:tr>
      <w:tr w:rsidR="00FB78CE" w:rsidRPr="00C80BAE" w14:paraId="67AF3F6B" w14:textId="77777777" w:rsidTr="0044578D">
        <w:trPr>
          <w:trHeight w:val="409"/>
        </w:trPr>
        <w:tc>
          <w:tcPr>
            <w:tcW w:w="1101" w:type="dxa"/>
          </w:tcPr>
          <w:p w14:paraId="0BB14E40" w14:textId="0EDB94C6" w:rsidR="00FB78CE" w:rsidRPr="00AA4F14" w:rsidRDefault="00FB78CE" w:rsidP="00270A08">
            <w:pPr>
              <w:rPr>
                <w:rFonts w:ascii="Times New Roman" w:hAnsi="Times New Roman" w:cs="Times New Roman"/>
                <w:sz w:val="20"/>
                <w:szCs w:val="20"/>
              </w:rPr>
            </w:pPr>
            <w:r w:rsidRPr="00AA4F14">
              <w:rPr>
                <w:rFonts w:ascii="Times New Roman" w:hAnsi="Times New Roman" w:cs="Times New Roman"/>
                <w:sz w:val="20"/>
                <w:szCs w:val="20"/>
              </w:rPr>
              <w:lastRenderedPageBreak/>
              <w:t>R0410</w:t>
            </w:r>
          </w:p>
        </w:tc>
        <w:tc>
          <w:tcPr>
            <w:tcW w:w="3402" w:type="dxa"/>
          </w:tcPr>
          <w:p w14:paraId="2C13ACB7" w14:textId="215C41BA" w:rsidR="00FB78CE"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Capitaux propres</w:t>
            </w:r>
            <w:r w:rsidR="00FB78CE" w:rsidRPr="00AA4F14">
              <w:rPr>
                <w:rFonts w:ascii="Times New Roman" w:hAnsi="Times New Roman" w:cs="Times New Roman"/>
                <w:sz w:val="20"/>
                <w:szCs w:val="20"/>
              </w:rPr>
              <w:t xml:space="preserve"> à l’ouverture</w:t>
            </w:r>
          </w:p>
        </w:tc>
        <w:tc>
          <w:tcPr>
            <w:tcW w:w="4739" w:type="dxa"/>
          </w:tcPr>
          <w:p w14:paraId="09D5BC8E" w14:textId="0912BBE1" w:rsidR="00FB78CE" w:rsidRPr="00AA4F14" w:rsidRDefault="00FB78CE" w:rsidP="00F37B36">
            <w:pPr>
              <w:rPr>
                <w:rFonts w:ascii="Times New Roman" w:hAnsi="Times New Roman" w:cs="Times New Roman"/>
                <w:bCs/>
                <w:sz w:val="20"/>
                <w:szCs w:val="20"/>
              </w:rPr>
            </w:pPr>
            <w:r w:rsidRPr="00AA4F14">
              <w:rPr>
                <w:rFonts w:ascii="Times New Roman" w:hAnsi="Times New Roman" w:cs="Times New Roman"/>
                <w:bCs/>
                <w:sz w:val="20"/>
                <w:szCs w:val="20"/>
              </w:rPr>
              <w:t xml:space="preserve">Montant </w:t>
            </w:r>
            <w:r w:rsidR="00F37B36" w:rsidRPr="00AA4F14">
              <w:rPr>
                <w:rFonts w:ascii="Times New Roman" w:hAnsi="Times New Roman" w:cs="Times New Roman"/>
                <w:bCs/>
                <w:sz w:val="20"/>
                <w:szCs w:val="20"/>
              </w:rPr>
              <w:t>des capitaux propres correspondant aux éléments de classe 10 du règlement ANC 2015-11, à l’ouverture de l’exercice concerné</w:t>
            </w:r>
            <w:r w:rsidR="00CC4E6B" w:rsidRPr="00AA4F14">
              <w:rPr>
                <w:rFonts w:ascii="Times New Roman" w:hAnsi="Times New Roman" w:cs="Times New Roman"/>
                <w:sz w:val="20"/>
                <w:szCs w:val="20"/>
              </w:rPr>
              <w:t>.</w:t>
            </w:r>
          </w:p>
        </w:tc>
      </w:tr>
      <w:tr w:rsidR="00F37B36" w:rsidRPr="00C80BAE" w14:paraId="1E8A0B97" w14:textId="77777777" w:rsidTr="0053713B">
        <w:trPr>
          <w:trHeight w:val="409"/>
        </w:trPr>
        <w:tc>
          <w:tcPr>
            <w:tcW w:w="1101" w:type="dxa"/>
          </w:tcPr>
          <w:p w14:paraId="61180CD3" w14:textId="30EB6025"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R0420</w:t>
            </w:r>
          </w:p>
        </w:tc>
        <w:tc>
          <w:tcPr>
            <w:tcW w:w="3402" w:type="dxa"/>
          </w:tcPr>
          <w:p w14:paraId="72B0DFA7" w14:textId="678C4709"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Capitaux propres à la clôture</w:t>
            </w:r>
          </w:p>
        </w:tc>
        <w:tc>
          <w:tcPr>
            <w:tcW w:w="4739" w:type="dxa"/>
          </w:tcPr>
          <w:p w14:paraId="0681042E" w14:textId="2EBE56C5" w:rsidR="00F37B36" w:rsidRPr="00AA4F14" w:rsidRDefault="00F37B36" w:rsidP="00F37B36">
            <w:pPr>
              <w:rPr>
                <w:rFonts w:ascii="Times New Roman" w:hAnsi="Times New Roman" w:cs="Times New Roman"/>
                <w:bCs/>
                <w:sz w:val="20"/>
                <w:szCs w:val="20"/>
              </w:rPr>
            </w:pPr>
            <w:r w:rsidRPr="00AA4F14">
              <w:rPr>
                <w:rFonts w:ascii="Times New Roman" w:hAnsi="Times New Roman" w:cs="Times New Roman"/>
                <w:bCs/>
                <w:sz w:val="20"/>
                <w:szCs w:val="20"/>
              </w:rPr>
              <w:t>Montant des capitaux propres correspondant aux éléments de classe 10 du règlement ANC 2015-11, à la clôture de l’exercice concerné</w:t>
            </w:r>
            <w:r w:rsidR="00CC4E6B" w:rsidRPr="00AA4F14">
              <w:rPr>
                <w:rFonts w:ascii="Times New Roman" w:hAnsi="Times New Roman" w:cs="Times New Roman"/>
                <w:sz w:val="20"/>
                <w:szCs w:val="20"/>
              </w:rPr>
              <w:t>.</w:t>
            </w:r>
          </w:p>
        </w:tc>
      </w:tr>
      <w:tr w:rsidR="00F37B36" w:rsidRPr="00C80BAE" w14:paraId="11EEF320" w14:textId="77777777" w:rsidTr="0044578D">
        <w:trPr>
          <w:trHeight w:val="409"/>
        </w:trPr>
        <w:tc>
          <w:tcPr>
            <w:tcW w:w="1101" w:type="dxa"/>
          </w:tcPr>
          <w:p w14:paraId="4920CFAD" w14:textId="397EA9CB"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R0430</w:t>
            </w:r>
          </w:p>
        </w:tc>
        <w:tc>
          <w:tcPr>
            <w:tcW w:w="3402" w:type="dxa"/>
          </w:tcPr>
          <w:p w14:paraId="0ACBF798" w14:textId="1ED819BF"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Provisions mathématiques à la clôture</w:t>
            </w:r>
          </w:p>
        </w:tc>
        <w:tc>
          <w:tcPr>
            <w:tcW w:w="4739" w:type="dxa"/>
          </w:tcPr>
          <w:p w14:paraId="4DE62A3B" w14:textId="5713879A" w:rsidR="00F37B36" w:rsidRPr="00AA4F14" w:rsidRDefault="00F37B36" w:rsidP="00FB78CE">
            <w:pPr>
              <w:rPr>
                <w:rFonts w:ascii="Times New Roman" w:hAnsi="Times New Roman" w:cs="Times New Roman"/>
                <w:bCs/>
                <w:sz w:val="20"/>
                <w:szCs w:val="20"/>
              </w:rPr>
            </w:pPr>
            <w:r w:rsidRPr="00AA4F14">
              <w:rPr>
                <w:rFonts w:ascii="Times New Roman" w:hAnsi="Times New Roman" w:cs="Times New Roman"/>
                <w:bCs/>
                <w:sz w:val="20"/>
                <w:szCs w:val="20"/>
              </w:rPr>
              <w:t>Indiquer la valeur de la provision mathématique de clôture de chaque exercice sur l’horizon de projection</w:t>
            </w:r>
            <w:r w:rsidR="00CC4E6B" w:rsidRPr="00AA4F14">
              <w:rPr>
                <w:rFonts w:ascii="Times New Roman" w:hAnsi="Times New Roman" w:cs="Times New Roman"/>
                <w:sz w:val="20"/>
                <w:szCs w:val="20"/>
              </w:rPr>
              <w:t>.</w:t>
            </w:r>
          </w:p>
        </w:tc>
      </w:tr>
      <w:tr w:rsidR="00F37B36" w:rsidRPr="00C80BAE" w14:paraId="76C8661B" w14:textId="77777777" w:rsidTr="0044578D">
        <w:trPr>
          <w:trHeight w:val="409"/>
        </w:trPr>
        <w:tc>
          <w:tcPr>
            <w:tcW w:w="1101" w:type="dxa"/>
          </w:tcPr>
          <w:p w14:paraId="16F1D65D" w14:textId="258D3FF1"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R0440</w:t>
            </w:r>
          </w:p>
        </w:tc>
        <w:tc>
          <w:tcPr>
            <w:tcW w:w="3402" w:type="dxa"/>
          </w:tcPr>
          <w:p w14:paraId="56B9690D" w14:textId="09150611"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Capitaux sous risques</w:t>
            </w:r>
          </w:p>
        </w:tc>
        <w:tc>
          <w:tcPr>
            <w:tcW w:w="4739" w:type="dxa"/>
          </w:tcPr>
          <w:p w14:paraId="22000B90" w14:textId="2345F617"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Indiquer le montant de capitaux sous risques</w:t>
            </w:r>
            <w:r w:rsidR="00CC4E6B" w:rsidRPr="00AA4F14">
              <w:rPr>
                <w:rFonts w:ascii="Times New Roman" w:hAnsi="Times New Roman" w:cs="Times New Roman"/>
                <w:sz w:val="20"/>
                <w:szCs w:val="20"/>
              </w:rPr>
              <w:t>.</w:t>
            </w:r>
          </w:p>
        </w:tc>
      </w:tr>
      <w:tr w:rsidR="00F37B36" w:rsidRPr="00C80BAE" w14:paraId="2F311351" w14:textId="77777777" w:rsidTr="0044578D">
        <w:trPr>
          <w:trHeight w:val="153"/>
        </w:trPr>
        <w:tc>
          <w:tcPr>
            <w:tcW w:w="1101" w:type="dxa"/>
          </w:tcPr>
          <w:p w14:paraId="01020F00" w14:textId="003636D7"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R0450</w:t>
            </w:r>
          </w:p>
        </w:tc>
        <w:tc>
          <w:tcPr>
            <w:tcW w:w="3402" w:type="dxa"/>
          </w:tcPr>
          <w:p w14:paraId="470629C6" w14:textId="54470DD9"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 xml:space="preserve">Prov. part. bénef. </w:t>
            </w:r>
            <w:proofErr w:type="gramStart"/>
            <w:r w:rsidRPr="00AA4F14">
              <w:rPr>
                <w:rFonts w:ascii="Times New Roman" w:hAnsi="Times New Roman" w:cs="Times New Roman"/>
                <w:sz w:val="20"/>
                <w:szCs w:val="20"/>
              </w:rPr>
              <w:t>et</w:t>
            </w:r>
            <w:proofErr w:type="gramEnd"/>
            <w:r w:rsidRPr="00AA4F14">
              <w:rPr>
                <w:rFonts w:ascii="Times New Roman" w:hAnsi="Times New Roman" w:cs="Times New Roman"/>
                <w:sz w:val="20"/>
                <w:szCs w:val="20"/>
              </w:rPr>
              <w:t xml:space="preserve"> </w:t>
            </w:r>
            <w:proofErr w:type="spellStart"/>
            <w:r w:rsidRPr="00AA4F14">
              <w:rPr>
                <w:rFonts w:ascii="Times New Roman" w:hAnsi="Times New Roman" w:cs="Times New Roman"/>
                <w:sz w:val="20"/>
                <w:szCs w:val="20"/>
              </w:rPr>
              <w:t>rist</w:t>
            </w:r>
            <w:proofErr w:type="spellEnd"/>
            <w:r w:rsidRPr="00AA4F14">
              <w:rPr>
                <w:rFonts w:ascii="Times New Roman" w:hAnsi="Times New Roman" w:cs="Times New Roman"/>
                <w:sz w:val="20"/>
                <w:szCs w:val="20"/>
              </w:rPr>
              <w:t xml:space="preserve">. </w:t>
            </w:r>
            <w:proofErr w:type="gramStart"/>
            <w:r w:rsidRPr="00AA4F14">
              <w:rPr>
                <w:rFonts w:ascii="Times New Roman" w:hAnsi="Times New Roman" w:cs="Times New Roman"/>
                <w:sz w:val="20"/>
                <w:szCs w:val="20"/>
              </w:rPr>
              <w:t>clôture</w:t>
            </w:r>
            <w:proofErr w:type="gramEnd"/>
          </w:p>
        </w:tc>
        <w:tc>
          <w:tcPr>
            <w:tcW w:w="4739" w:type="dxa"/>
          </w:tcPr>
          <w:p w14:paraId="527D624D" w14:textId="4DFE8D59"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Indiquer le montant de la provision pour participation aux bénéfices et ristournes à la clôture de chaque exercice sur l’horizon de projection</w:t>
            </w:r>
            <w:r w:rsidR="00CC4E6B" w:rsidRPr="00AA4F14">
              <w:rPr>
                <w:rFonts w:ascii="Times New Roman" w:hAnsi="Times New Roman" w:cs="Times New Roman"/>
                <w:sz w:val="20"/>
                <w:szCs w:val="20"/>
              </w:rPr>
              <w:t>.</w:t>
            </w:r>
          </w:p>
        </w:tc>
      </w:tr>
      <w:tr w:rsidR="00F37B36" w:rsidRPr="00C80BAE" w14:paraId="6DC3A869" w14:textId="77777777" w:rsidTr="0044578D">
        <w:trPr>
          <w:trHeight w:val="315"/>
        </w:trPr>
        <w:tc>
          <w:tcPr>
            <w:tcW w:w="1101" w:type="dxa"/>
          </w:tcPr>
          <w:p w14:paraId="08BEE11F" w14:textId="1D18C996"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R0460</w:t>
            </w:r>
          </w:p>
        </w:tc>
        <w:tc>
          <w:tcPr>
            <w:tcW w:w="3402" w:type="dxa"/>
          </w:tcPr>
          <w:p w14:paraId="1DCF1BCF" w14:textId="0A794D57"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 xml:space="preserve">Part </w:t>
            </w:r>
            <w:proofErr w:type="spellStart"/>
            <w:r w:rsidRPr="00AA4F14">
              <w:rPr>
                <w:rFonts w:ascii="Times New Roman" w:hAnsi="Times New Roman" w:cs="Times New Roman"/>
                <w:sz w:val="20"/>
                <w:szCs w:val="20"/>
              </w:rPr>
              <w:t>réass</w:t>
            </w:r>
            <w:proofErr w:type="spellEnd"/>
            <w:r w:rsidRPr="00AA4F14">
              <w:rPr>
                <w:rFonts w:ascii="Times New Roman" w:hAnsi="Times New Roman" w:cs="Times New Roman"/>
                <w:sz w:val="20"/>
                <w:szCs w:val="20"/>
              </w:rPr>
              <w:t xml:space="preserve">. Provision participation aux bénéfices et </w:t>
            </w:r>
            <w:proofErr w:type="spellStart"/>
            <w:r w:rsidRPr="00AA4F14">
              <w:rPr>
                <w:rFonts w:ascii="Times New Roman" w:hAnsi="Times New Roman" w:cs="Times New Roman"/>
                <w:sz w:val="20"/>
                <w:szCs w:val="20"/>
              </w:rPr>
              <w:t>rist</w:t>
            </w:r>
            <w:proofErr w:type="spellEnd"/>
            <w:r w:rsidRPr="00AA4F14">
              <w:rPr>
                <w:rFonts w:ascii="Times New Roman" w:hAnsi="Times New Roman" w:cs="Times New Roman"/>
                <w:sz w:val="20"/>
                <w:szCs w:val="20"/>
              </w:rPr>
              <w:t xml:space="preserve">. </w:t>
            </w:r>
            <w:proofErr w:type="spellStart"/>
            <w:proofErr w:type="gramStart"/>
            <w:r w:rsidRPr="00AA4F14">
              <w:rPr>
                <w:rFonts w:ascii="Times New Roman" w:hAnsi="Times New Roman" w:cs="Times New Roman"/>
                <w:sz w:val="20"/>
                <w:szCs w:val="20"/>
              </w:rPr>
              <w:t>clot</w:t>
            </w:r>
            <w:proofErr w:type="spellEnd"/>
            <w:proofErr w:type="gramEnd"/>
            <w:r w:rsidRPr="00AA4F14">
              <w:rPr>
                <w:rFonts w:ascii="Times New Roman" w:hAnsi="Times New Roman" w:cs="Times New Roman"/>
                <w:sz w:val="20"/>
                <w:szCs w:val="20"/>
              </w:rPr>
              <w:t>.</w:t>
            </w:r>
          </w:p>
        </w:tc>
        <w:tc>
          <w:tcPr>
            <w:tcW w:w="4739" w:type="dxa"/>
          </w:tcPr>
          <w:p w14:paraId="2D6A9ADC" w14:textId="398163A1"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Indiquer la part réassurée de la provision pour participation aux bénéfices et ristournes à la clôture </w:t>
            </w:r>
            <w:proofErr w:type="gramStart"/>
            <w:r w:rsidRPr="00AA4F14">
              <w:rPr>
                <w:rFonts w:ascii="Times New Roman" w:hAnsi="Times New Roman" w:cs="Times New Roman"/>
                <w:bCs/>
                <w:sz w:val="20"/>
                <w:szCs w:val="20"/>
              </w:rPr>
              <w:t>de  chaque</w:t>
            </w:r>
            <w:proofErr w:type="gramEnd"/>
            <w:r w:rsidRPr="00AA4F14">
              <w:rPr>
                <w:rFonts w:ascii="Times New Roman" w:hAnsi="Times New Roman" w:cs="Times New Roman"/>
                <w:bCs/>
                <w:sz w:val="20"/>
                <w:szCs w:val="20"/>
              </w:rPr>
              <w:t xml:space="preserve"> exercice sur l’horizon de projection</w:t>
            </w:r>
            <w:r w:rsidR="00CC4E6B" w:rsidRPr="00AA4F14">
              <w:rPr>
                <w:rFonts w:ascii="Times New Roman" w:hAnsi="Times New Roman" w:cs="Times New Roman"/>
                <w:sz w:val="20"/>
                <w:szCs w:val="20"/>
              </w:rPr>
              <w:t>.</w:t>
            </w:r>
          </w:p>
        </w:tc>
      </w:tr>
      <w:tr w:rsidR="00F37B36" w:rsidRPr="00C80BAE" w14:paraId="1DBDEE1B" w14:textId="77777777" w:rsidTr="0044578D">
        <w:trPr>
          <w:trHeight w:val="409"/>
        </w:trPr>
        <w:tc>
          <w:tcPr>
            <w:tcW w:w="1101" w:type="dxa"/>
          </w:tcPr>
          <w:p w14:paraId="0620B0B8" w14:textId="4B1AAA6C"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R0470</w:t>
            </w:r>
          </w:p>
        </w:tc>
        <w:tc>
          <w:tcPr>
            <w:tcW w:w="3402" w:type="dxa"/>
          </w:tcPr>
          <w:p w14:paraId="2F283DF7" w14:textId="08BC5B15"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 xml:space="preserve">Provision pour aléas financiers </w:t>
            </w:r>
            <w:r w:rsidR="006815F8" w:rsidRPr="00AA4F14">
              <w:rPr>
                <w:rFonts w:ascii="Times New Roman" w:hAnsi="Times New Roman" w:cs="Times New Roman"/>
                <w:sz w:val="20"/>
                <w:szCs w:val="20"/>
              </w:rPr>
              <w:t>(maintenue constante)</w:t>
            </w:r>
          </w:p>
        </w:tc>
        <w:tc>
          <w:tcPr>
            <w:tcW w:w="4739" w:type="dxa"/>
          </w:tcPr>
          <w:p w14:paraId="35DDEC45" w14:textId="108EB1BA"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sz w:val="20"/>
                <w:szCs w:val="20"/>
              </w:rPr>
              <w:t>Indiquer le montant de la provision pour aléas financiers à la clôture. Celle-ci est supposée maintenue constante sur l’horizon de projection.</w:t>
            </w:r>
          </w:p>
        </w:tc>
      </w:tr>
      <w:tr w:rsidR="00F37B36" w:rsidRPr="00C80BAE" w14:paraId="0DC18603" w14:textId="77777777" w:rsidTr="0044578D">
        <w:trPr>
          <w:trHeight w:val="409"/>
        </w:trPr>
        <w:tc>
          <w:tcPr>
            <w:tcW w:w="1101" w:type="dxa"/>
          </w:tcPr>
          <w:p w14:paraId="1A644FE3" w14:textId="408EB325"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R0480</w:t>
            </w:r>
          </w:p>
        </w:tc>
        <w:tc>
          <w:tcPr>
            <w:tcW w:w="3402" w:type="dxa"/>
          </w:tcPr>
          <w:p w14:paraId="15597549" w14:textId="4D44F208"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Provision pour risque d'exigibilité clôture</w:t>
            </w:r>
          </w:p>
        </w:tc>
        <w:tc>
          <w:tcPr>
            <w:tcW w:w="4739" w:type="dxa"/>
          </w:tcPr>
          <w:p w14:paraId="23F51F61" w14:textId="6905EA7E"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sz w:val="20"/>
                <w:szCs w:val="20"/>
              </w:rPr>
              <w:t>Indiquer le montant de la provision pour risque d’exigibilité à la clôture de chaque exercice sur l’horizon de projection.</w:t>
            </w:r>
          </w:p>
        </w:tc>
      </w:tr>
      <w:tr w:rsidR="00F37B36" w:rsidRPr="00C80BAE" w14:paraId="5CD6DF18" w14:textId="77777777" w:rsidTr="0044578D">
        <w:trPr>
          <w:trHeight w:val="409"/>
        </w:trPr>
        <w:tc>
          <w:tcPr>
            <w:tcW w:w="1101" w:type="dxa"/>
          </w:tcPr>
          <w:p w14:paraId="543ED64A" w14:textId="4299DBF7"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R0490</w:t>
            </w:r>
          </w:p>
        </w:tc>
        <w:tc>
          <w:tcPr>
            <w:tcW w:w="3402" w:type="dxa"/>
          </w:tcPr>
          <w:p w14:paraId="09AFAD60" w14:textId="2301D42B"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Provision de diversification clôture</w:t>
            </w:r>
          </w:p>
        </w:tc>
        <w:tc>
          <w:tcPr>
            <w:tcW w:w="4739" w:type="dxa"/>
          </w:tcPr>
          <w:p w14:paraId="339B0335" w14:textId="18353AC8"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sz w:val="20"/>
                <w:szCs w:val="20"/>
              </w:rPr>
              <w:t>Indiquer le montant de la provision de diversification à la clôture de chaque exercice sur l’horizon de projection.</w:t>
            </w:r>
          </w:p>
        </w:tc>
      </w:tr>
      <w:tr w:rsidR="00F37B36" w:rsidRPr="00C80BAE" w14:paraId="6698E588" w14:textId="77777777" w:rsidTr="0044578D">
        <w:trPr>
          <w:trHeight w:val="409"/>
        </w:trPr>
        <w:tc>
          <w:tcPr>
            <w:tcW w:w="1101" w:type="dxa"/>
          </w:tcPr>
          <w:p w14:paraId="3A398990" w14:textId="2BFC9285"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R0500</w:t>
            </w:r>
          </w:p>
        </w:tc>
        <w:tc>
          <w:tcPr>
            <w:tcW w:w="3402" w:type="dxa"/>
          </w:tcPr>
          <w:p w14:paraId="4C5F3E17" w14:textId="4D1CD73C"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Provision de diversification collective clôture</w:t>
            </w:r>
          </w:p>
        </w:tc>
        <w:tc>
          <w:tcPr>
            <w:tcW w:w="4739" w:type="dxa"/>
          </w:tcPr>
          <w:p w14:paraId="7CDDDDF4" w14:textId="6679E4B2"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sz w:val="20"/>
                <w:szCs w:val="20"/>
              </w:rPr>
              <w:t>Indiquer le montant de la provision de diversification collective à la clôture de chaque exercice sur l’horizon de projection.</w:t>
            </w:r>
          </w:p>
        </w:tc>
      </w:tr>
      <w:tr w:rsidR="00F37B36" w:rsidRPr="00C80BAE" w14:paraId="57139DCE" w14:textId="77777777" w:rsidTr="0044578D">
        <w:trPr>
          <w:trHeight w:val="409"/>
        </w:trPr>
        <w:tc>
          <w:tcPr>
            <w:tcW w:w="1101" w:type="dxa"/>
          </w:tcPr>
          <w:p w14:paraId="12AA710B" w14:textId="404BB6A8"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R0510</w:t>
            </w:r>
          </w:p>
        </w:tc>
        <w:tc>
          <w:tcPr>
            <w:tcW w:w="3402" w:type="dxa"/>
          </w:tcPr>
          <w:p w14:paraId="2FBF7648" w14:textId="6D4780F0"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Provision technique spéciale clôture</w:t>
            </w:r>
          </w:p>
        </w:tc>
        <w:tc>
          <w:tcPr>
            <w:tcW w:w="4739" w:type="dxa"/>
          </w:tcPr>
          <w:p w14:paraId="5F298657" w14:textId="6B2A7630"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sz w:val="20"/>
                <w:szCs w:val="20"/>
              </w:rPr>
              <w:t>Indiquer le montant de la provision technique spéciale à la clôture de chaque exercice sur l’horizon de projection.</w:t>
            </w:r>
          </w:p>
        </w:tc>
      </w:tr>
      <w:tr w:rsidR="00F37B36" w:rsidRPr="00C80BAE" w14:paraId="73BDBAB9" w14:textId="77777777" w:rsidTr="0044578D">
        <w:trPr>
          <w:trHeight w:val="409"/>
        </w:trPr>
        <w:tc>
          <w:tcPr>
            <w:tcW w:w="1101" w:type="dxa"/>
          </w:tcPr>
          <w:p w14:paraId="2699DEC0" w14:textId="117A5F3F"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R0520</w:t>
            </w:r>
          </w:p>
        </w:tc>
        <w:tc>
          <w:tcPr>
            <w:tcW w:w="3402" w:type="dxa"/>
          </w:tcPr>
          <w:p w14:paraId="78032957" w14:textId="57050B25"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Provision technique spéciale complémentaire clôture</w:t>
            </w:r>
          </w:p>
        </w:tc>
        <w:tc>
          <w:tcPr>
            <w:tcW w:w="4739" w:type="dxa"/>
          </w:tcPr>
          <w:p w14:paraId="2C55D449" w14:textId="77896015"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sz w:val="20"/>
                <w:szCs w:val="20"/>
              </w:rPr>
              <w:t>Indiquer le montant de la provision technique spéciale complémentaire à la clôture de chaque exercice sur l’horizon de projection.</w:t>
            </w:r>
          </w:p>
        </w:tc>
      </w:tr>
      <w:tr w:rsidR="00F37B36" w:rsidRPr="00C80BAE" w14:paraId="4D346121" w14:textId="77777777" w:rsidTr="0044578D">
        <w:trPr>
          <w:trHeight w:val="409"/>
        </w:trPr>
        <w:tc>
          <w:tcPr>
            <w:tcW w:w="1101" w:type="dxa"/>
          </w:tcPr>
          <w:p w14:paraId="50B152FA" w14:textId="2F5ED951"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R0530</w:t>
            </w:r>
          </w:p>
        </w:tc>
        <w:tc>
          <w:tcPr>
            <w:tcW w:w="3402" w:type="dxa"/>
          </w:tcPr>
          <w:p w14:paraId="3DC91FC1" w14:textId="6C37F711"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Provision technique spéciale de retournement clôture</w:t>
            </w:r>
          </w:p>
        </w:tc>
        <w:tc>
          <w:tcPr>
            <w:tcW w:w="4739" w:type="dxa"/>
          </w:tcPr>
          <w:p w14:paraId="67D40E45" w14:textId="3A0E47AE"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Indiquer le montant de la provision technique spéciale de retournement à la clôture de chaque exercice sur l’horizon de projection.</w:t>
            </w:r>
          </w:p>
        </w:tc>
      </w:tr>
      <w:tr w:rsidR="00F37B36" w:rsidRPr="00C80BAE" w14:paraId="5172DD1F" w14:textId="77777777" w:rsidTr="0044578D">
        <w:trPr>
          <w:trHeight w:val="409"/>
        </w:trPr>
        <w:tc>
          <w:tcPr>
            <w:tcW w:w="1101" w:type="dxa"/>
          </w:tcPr>
          <w:p w14:paraId="6D7F16B0" w14:textId="47EA866D"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R0540</w:t>
            </w:r>
          </w:p>
        </w:tc>
        <w:tc>
          <w:tcPr>
            <w:tcW w:w="3402" w:type="dxa"/>
          </w:tcPr>
          <w:p w14:paraId="3F9646C3" w14:textId="50E0A578"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Provision pour primes non acquises clôture</w:t>
            </w:r>
          </w:p>
        </w:tc>
        <w:tc>
          <w:tcPr>
            <w:tcW w:w="4739" w:type="dxa"/>
          </w:tcPr>
          <w:p w14:paraId="0325852E" w14:textId="5538BC77"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Indiquer le montant de la provision pour primes non acquises à </w:t>
            </w:r>
            <w:r w:rsidRPr="00AA4F14">
              <w:rPr>
                <w:rFonts w:ascii="Times New Roman" w:hAnsi="Times New Roman" w:cs="Times New Roman"/>
                <w:sz w:val="20"/>
                <w:szCs w:val="20"/>
              </w:rPr>
              <w:t>la clôture de chaque exercice sur l’horizon de projection.</w:t>
            </w:r>
          </w:p>
        </w:tc>
      </w:tr>
      <w:tr w:rsidR="00F37B36" w:rsidRPr="00C80BAE" w14:paraId="2C4088EA" w14:textId="77777777" w:rsidTr="0044578D">
        <w:trPr>
          <w:trHeight w:val="409"/>
        </w:trPr>
        <w:tc>
          <w:tcPr>
            <w:tcW w:w="1101" w:type="dxa"/>
          </w:tcPr>
          <w:p w14:paraId="3E99DCEF" w14:textId="6007E041"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R0550</w:t>
            </w:r>
          </w:p>
        </w:tc>
        <w:tc>
          <w:tcPr>
            <w:tcW w:w="3402" w:type="dxa"/>
          </w:tcPr>
          <w:p w14:paraId="2FBD922B" w14:textId="7CA31331"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Réserve de capitalisation clôture</w:t>
            </w:r>
          </w:p>
        </w:tc>
        <w:tc>
          <w:tcPr>
            <w:tcW w:w="4739" w:type="dxa"/>
          </w:tcPr>
          <w:p w14:paraId="169D5131" w14:textId="17244992"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Indiquer le montant de la réserve de capitalisation à </w:t>
            </w:r>
            <w:r w:rsidRPr="00AA4F14">
              <w:rPr>
                <w:rFonts w:ascii="Times New Roman" w:hAnsi="Times New Roman" w:cs="Times New Roman"/>
                <w:sz w:val="20"/>
                <w:szCs w:val="20"/>
              </w:rPr>
              <w:t>la clôture de chaque exercice sur l’horizon de projection.</w:t>
            </w:r>
          </w:p>
        </w:tc>
      </w:tr>
      <w:tr w:rsidR="00F37B36" w:rsidRPr="00C80BAE" w14:paraId="4535D5BB" w14:textId="77777777" w:rsidTr="0044578D">
        <w:trPr>
          <w:trHeight w:val="409"/>
        </w:trPr>
        <w:tc>
          <w:tcPr>
            <w:tcW w:w="1101" w:type="dxa"/>
          </w:tcPr>
          <w:p w14:paraId="42D130C1" w14:textId="25A793A8"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R0560</w:t>
            </w:r>
          </w:p>
        </w:tc>
        <w:tc>
          <w:tcPr>
            <w:tcW w:w="3402" w:type="dxa"/>
          </w:tcPr>
          <w:p w14:paraId="6E483B58" w14:textId="662728CC"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Plus-values latentes des actifs non amortissables à la clôture</w:t>
            </w:r>
          </w:p>
        </w:tc>
        <w:tc>
          <w:tcPr>
            <w:tcW w:w="4739" w:type="dxa"/>
          </w:tcPr>
          <w:p w14:paraId="64199A00" w14:textId="0755143F"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Indiquer le montant des plus-values latentes des actifs non amortissables à la clôture de chaque exercice sur l’horizon de projection.</w:t>
            </w:r>
          </w:p>
        </w:tc>
      </w:tr>
      <w:tr w:rsidR="00F37B36" w:rsidRPr="00C80BAE" w14:paraId="3F9246EF" w14:textId="77777777" w:rsidTr="0044578D">
        <w:trPr>
          <w:trHeight w:val="409"/>
        </w:trPr>
        <w:tc>
          <w:tcPr>
            <w:tcW w:w="1101" w:type="dxa"/>
          </w:tcPr>
          <w:p w14:paraId="3D5537B5" w14:textId="0EB47B73"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R0570</w:t>
            </w:r>
          </w:p>
        </w:tc>
        <w:tc>
          <w:tcPr>
            <w:tcW w:w="3402" w:type="dxa"/>
          </w:tcPr>
          <w:p w14:paraId="0946ED41" w14:textId="65F66B35"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Plus-values latentes des actifs amortissables à la clôture</w:t>
            </w:r>
          </w:p>
        </w:tc>
        <w:tc>
          <w:tcPr>
            <w:tcW w:w="4739" w:type="dxa"/>
          </w:tcPr>
          <w:p w14:paraId="01088992" w14:textId="397BC48B"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Indiquer le montant des plus-values latentes des actifs amortissables à la clôture de chaque exercice sur l’horizon de projection.</w:t>
            </w:r>
          </w:p>
        </w:tc>
      </w:tr>
      <w:tr w:rsidR="00F37B36" w:rsidRPr="00C80BAE" w14:paraId="3798253A" w14:textId="77777777" w:rsidTr="0044578D">
        <w:trPr>
          <w:trHeight w:val="409"/>
        </w:trPr>
        <w:tc>
          <w:tcPr>
            <w:tcW w:w="1101" w:type="dxa"/>
          </w:tcPr>
          <w:p w14:paraId="69B80EB2" w14:textId="77FF1DBF"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R0580</w:t>
            </w:r>
          </w:p>
        </w:tc>
        <w:tc>
          <w:tcPr>
            <w:tcW w:w="3402" w:type="dxa"/>
          </w:tcPr>
          <w:p w14:paraId="5518C018" w14:textId="5C2FDEBD"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VNC y compris intérêts courus des actifs amortissables</w:t>
            </w:r>
          </w:p>
        </w:tc>
        <w:tc>
          <w:tcPr>
            <w:tcW w:w="4739" w:type="dxa"/>
          </w:tcPr>
          <w:p w14:paraId="318E351B" w14:textId="3380D51F"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Indiquer le montant de la valeur nette comptable (y compris intérêts courus) des actifs amortissables à la clôture de chaque exercice sur l’horizon de projection.</w:t>
            </w:r>
          </w:p>
        </w:tc>
      </w:tr>
      <w:tr w:rsidR="00F37B36" w:rsidRPr="00C80BAE" w14:paraId="74E8AA35" w14:textId="77777777" w:rsidTr="0044578D">
        <w:trPr>
          <w:trHeight w:val="409"/>
        </w:trPr>
        <w:tc>
          <w:tcPr>
            <w:tcW w:w="1101" w:type="dxa"/>
          </w:tcPr>
          <w:p w14:paraId="62D8E26F" w14:textId="56571FD9"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R0590</w:t>
            </w:r>
          </w:p>
        </w:tc>
        <w:tc>
          <w:tcPr>
            <w:tcW w:w="3402" w:type="dxa"/>
          </w:tcPr>
          <w:p w14:paraId="3573974A" w14:textId="707CE5A5"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VNC des actifs non amortissables y compris loyers échus</w:t>
            </w:r>
          </w:p>
        </w:tc>
        <w:tc>
          <w:tcPr>
            <w:tcW w:w="4739" w:type="dxa"/>
          </w:tcPr>
          <w:p w14:paraId="2E7FB8FE" w14:textId="0282CD8D"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Indiquer le montant de la valeur nette comptable (y compris loyers échus) des actifs non amortissables à la clôture de chaque exercice sur l’horizon de projection.</w:t>
            </w:r>
          </w:p>
        </w:tc>
      </w:tr>
      <w:tr w:rsidR="00F37B36" w:rsidRPr="00C80BAE" w14:paraId="6E6E7EB4" w14:textId="77777777" w:rsidTr="0044578D">
        <w:trPr>
          <w:trHeight w:val="409"/>
        </w:trPr>
        <w:tc>
          <w:tcPr>
            <w:tcW w:w="1101" w:type="dxa"/>
          </w:tcPr>
          <w:p w14:paraId="1CD6AD77" w14:textId="747E2E0A"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R0600</w:t>
            </w:r>
          </w:p>
        </w:tc>
        <w:tc>
          <w:tcPr>
            <w:tcW w:w="3402" w:type="dxa"/>
          </w:tcPr>
          <w:p w14:paraId="72C96B98" w14:textId="6F144F32"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Proportion des actifs non amortissables en % du bilan</w:t>
            </w:r>
          </w:p>
        </w:tc>
        <w:tc>
          <w:tcPr>
            <w:tcW w:w="4739" w:type="dxa"/>
          </w:tcPr>
          <w:p w14:paraId="34319D5B" w14:textId="792F1B1D"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Indiquer la proportion des actifs non amortissables en pourcentage du bilan à la clôture de chaque exercice sur </w:t>
            </w:r>
            <w:r w:rsidRPr="00AA4F14">
              <w:rPr>
                <w:rFonts w:ascii="Times New Roman" w:hAnsi="Times New Roman" w:cs="Times New Roman"/>
                <w:bCs/>
                <w:sz w:val="20"/>
                <w:szCs w:val="20"/>
              </w:rPr>
              <w:lastRenderedPageBreak/>
              <w:t xml:space="preserve">l’horizon de projection. Cette proportion doit dans la mesure du possible rester constante. </w:t>
            </w:r>
          </w:p>
        </w:tc>
      </w:tr>
      <w:tr w:rsidR="00F37B36" w:rsidRPr="00C80BAE" w14:paraId="606B39D4" w14:textId="77777777" w:rsidTr="0044578D">
        <w:trPr>
          <w:trHeight w:val="409"/>
        </w:trPr>
        <w:tc>
          <w:tcPr>
            <w:tcW w:w="1101" w:type="dxa"/>
          </w:tcPr>
          <w:p w14:paraId="1FFFA6A5" w14:textId="07C8FF1E"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lastRenderedPageBreak/>
              <w:t>R0610</w:t>
            </w:r>
          </w:p>
        </w:tc>
        <w:tc>
          <w:tcPr>
            <w:tcW w:w="3402" w:type="dxa"/>
          </w:tcPr>
          <w:p w14:paraId="2DA8C71B" w14:textId="1F30124F"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Proportion des actifs amortissables en % du bilan</w:t>
            </w:r>
          </w:p>
        </w:tc>
        <w:tc>
          <w:tcPr>
            <w:tcW w:w="4739" w:type="dxa"/>
          </w:tcPr>
          <w:p w14:paraId="3EEB355E" w14:textId="123B3466"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Indiquer la proportion des actifs amortissables en pourcentage du bilan à la clôture de chaque exercice sur l’horizon de projection. Cette proportion doit dans la mesure du possible rester constante. </w:t>
            </w:r>
          </w:p>
        </w:tc>
      </w:tr>
      <w:tr w:rsidR="00F37B36" w:rsidRPr="00C80BAE" w14:paraId="5CD05DF0" w14:textId="77777777" w:rsidTr="0044578D">
        <w:trPr>
          <w:trHeight w:val="409"/>
        </w:trPr>
        <w:tc>
          <w:tcPr>
            <w:tcW w:w="1101" w:type="dxa"/>
          </w:tcPr>
          <w:p w14:paraId="0C965C53" w14:textId="3D755118"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R0620</w:t>
            </w:r>
          </w:p>
        </w:tc>
        <w:tc>
          <w:tcPr>
            <w:tcW w:w="3402" w:type="dxa"/>
          </w:tcPr>
          <w:p w14:paraId="7F609B9D" w14:textId="0455DC6A"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Éléments constitutifs à la couverture de la marge</w:t>
            </w:r>
          </w:p>
        </w:tc>
        <w:tc>
          <w:tcPr>
            <w:tcW w:w="4739" w:type="dxa"/>
          </w:tcPr>
          <w:p w14:paraId="383ED078" w14:textId="33D7D83A"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Correspond à la somme des Total A, Total B et Total C</w:t>
            </w:r>
            <w:r w:rsidR="00CC4E6B" w:rsidRPr="00AA4F14">
              <w:rPr>
                <w:rFonts w:ascii="Times New Roman" w:hAnsi="Times New Roman" w:cs="Times New Roman"/>
                <w:sz w:val="20"/>
                <w:szCs w:val="20"/>
              </w:rPr>
              <w:t>.</w:t>
            </w:r>
          </w:p>
        </w:tc>
      </w:tr>
      <w:tr w:rsidR="00F37B36" w:rsidRPr="00C80BAE" w14:paraId="75D2A66B" w14:textId="77777777" w:rsidTr="0044578D">
        <w:trPr>
          <w:trHeight w:val="409"/>
        </w:trPr>
        <w:tc>
          <w:tcPr>
            <w:tcW w:w="1101" w:type="dxa"/>
          </w:tcPr>
          <w:p w14:paraId="40B0B1EE" w14:textId="2D30AB4A"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R0630</w:t>
            </w:r>
          </w:p>
        </w:tc>
        <w:tc>
          <w:tcPr>
            <w:tcW w:w="3402" w:type="dxa"/>
          </w:tcPr>
          <w:p w14:paraId="55A6C6F5" w14:textId="205D7FAC"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Total A</w:t>
            </w:r>
          </w:p>
        </w:tc>
        <w:tc>
          <w:tcPr>
            <w:tcW w:w="4739" w:type="dxa"/>
          </w:tcPr>
          <w:p w14:paraId="7A2B9A7D" w14:textId="6504C460" w:rsidR="00F37B36" w:rsidRPr="00AA4F14" w:rsidRDefault="00F37B36" w:rsidP="006815F8">
            <w:pPr>
              <w:rPr>
                <w:rFonts w:ascii="Times New Roman" w:hAnsi="Times New Roman" w:cs="Times New Roman"/>
                <w:bCs/>
                <w:sz w:val="20"/>
                <w:szCs w:val="20"/>
              </w:rPr>
            </w:pPr>
            <w:r w:rsidRPr="00AA4F14">
              <w:rPr>
                <w:rFonts w:ascii="Times New Roman" w:hAnsi="Times New Roman" w:cs="Times New Roman"/>
                <w:bCs/>
                <w:sz w:val="20"/>
                <w:szCs w:val="20"/>
              </w:rPr>
              <w:t>À l’ouverture, correspond au Total A des éléments constitutifs calculé dans l’état RP.42.03.01. Celui-ci est ensuite projeté sur 10 ans pour chaque scénario</w:t>
            </w:r>
            <w:r w:rsidR="00CC4E6B" w:rsidRPr="00AA4F14">
              <w:rPr>
                <w:rFonts w:ascii="Times New Roman" w:hAnsi="Times New Roman" w:cs="Times New Roman"/>
                <w:sz w:val="20"/>
                <w:szCs w:val="20"/>
              </w:rPr>
              <w:t>.</w:t>
            </w:r>
          </w:p>
        </w:tc>
      </w:tr>
      <w:tr w:rsidR="00F37B36" w:rsidRPr="00C80BAE" w14:paraId="44902D8B" w14:textId="77777777" w:rsidTr="0044578D">
        <w:trPr>
          <w:trHeight w:val="409"/>
        </w:trPr>
        <w:tc>
          <w:tcPr>
            <w:tcW w:w="1101" w:type="dxa"/>
          </w:tcPr>
          <w:p w14:paraId="2D473E33" w14:textId="7A4153CE"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R0640</w:t>
            </w:r>
          </w:p>
        </w:tc>
        <w:tc>
          <w:tcPr>
            <w:tcW w:w="3402" w:type="dxa"/>
          </w:tcPr>
          <w:p w14:paraId="2129F096" w14:textId="603ED02D"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Total B</w:t>
            </w:r>
          </w:p>
        </w:tc>
        <w:tc>
          <w:tcPr>
            <w:tcW w:w="4739" w:type="dxa"/>
          </w:tcPr>
          <w:p w14:paraId="60FF7DF6" w14:textId="02EE9189" w:rsidR="00F37B36" w:rsidRPr="00AA4F14" w:rsidRDefault="00F37B36" w:rsidP="006815F8">
            <w:pPr>
              <w:rPr>
                <w:rFonts w:ascii="Times New Roman" w:hAnsi="Times New Roman" w:cs="Times New Roman"/>
                <w:bCs/>
                <w:sz w:val="20"/>
                <w:szCs w:val="20"/>
              </w:rPr>
            </w:pPr>
            <w:r w:rsidRPr="00AA4F14">
              <w:rPr>
                <w:rFonts w:ascii="Times New Roman" w:hAnsi="Times New Roman" w:cs="Times New Roman"/>
                <w:bCs/>
                <w:sz w:val="20"/>
                <w:szCs w:val="20"/>
              </w:rPr>
              <w:t>À l’ouverture, correspond au Total B des éléments constitutifs calculé dans l’état RP.42.03.01. Celui-ci est ensuite projeté sur 10 ans pour chaque scénario</w:t>
            </w:r>
            <w:r w:rsidR="00CC4E6B" w:rsidRPr="00AA4F14">
              <w:rPr>
                <w:rFonts w:ascii="Times New Roman" w:hAnsi="Times New Roman" w:cs="Times New Roman"/>
                <w:sz w:val="20"/>
                <w:szCs w:val="20"/>
              </w:rPr>
              <w:t>.</w:t>
            </w:r>
          </w:p>
        </w:tc>
      </w:tr>
      <w:tr w:rsidR="00F37B36" w:rsidRPr="00C80BAE" w14:paraId="4BE9ACA6" w14:textId="77777777" w:rsidTr="0044578D">
        <w:trPr>
          <w:trHeight w:val="409"/>
        </w:trPr>
        <w:tc>
          <w:tcPr>
            <w:tcW w:w="1101" w:type="dxa"/>
          </w:tcPr>
          <w:p w14:paraId="6A300BE7" w14:textId="206A6DA9"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R0650</w:t>
            </w:r>
          </w:p>
        </w:tc>
        <w:tc>
          <w:tcPr>
            <w:tcW w:w="3402" w:type="dxa"/>
          </w:tcPr>
          <w:p w14:paraId="50459806" w14:textId="7A6FCD6F"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Total C</w:t>
            </w:r>
          </w:p>
        </w:tc>
        <w:tc>
          <w:tcPr>
            <w:tcW w:w="4739" w:type="dxa"/>
          </w:tcPr>
          <w:p w14:paraId="18E608BB" w14:textId="1551F583" w:rsidR="00F37B36" w:rsidRPr="00AA4F14" w:rsidRDefault="00F37B36" w:rsidP="006815F8">
            <w:pPr>
              <w:rPr>
                <w:rFonts w:ascii="Times New Roman" w:hAnsi="Times New Roman" w:cs="Times New Roman"/>
                <w:bCs/>
                <w:sz w:val="20"/>
                <w:szCs w:val="20"/>
              </w:rPr>
            </w:pPr>
            <w:r w:rsidRPr="00AA4F14">
              <w:rPr>
                <w:rFonts w:ascii="Times New Roman" w:hAnsi="Times New Roman" w:cs="Times New Roman"/>
                <w:bCs/>
                <w:sz w:val="20"/>
                <w:szCs w:val="20"/>
              </w:rPr>
              <w:t>À l’ouverture, correspond au Total C des éléments constitutifs calculé dans l’état RP.42.03.01. Celui-ci est ensuite projeté sur 10 ans pour chaque scénario</w:t>
            </w:r>
            <w:r w:rsidR="00CC4E6B" w:rsidRPr="00AA4F14">
              <w:rPr>
                <w:rFonts w:ascii="Times New Roman" w:hAnsi="Times New Roman" w:cs="Times New Roman"/>
                <w:sz w:val="20"/>
                <w:szCs w:val="20"/>
              </w:rPr>
              <w:t>.</w:t>
            </w:r>
          </w:p>
        </w:tc>
      </w:tr>
      <w:tr w:rsidR="00F37B36" w:rsidRPr="00C80BAE" w14:paraId="51CE5D02" w14:textId="77777777" w:rsidTr="0053713B">
        <w:trPr>
          <w:trHeight w:val="409"/>
        </w:trPr>
        <w:tc>
          <w:tcPr>
            <w:tcW w:w="1101" w:type="dxa"/>
          </w:tcPr>
          <w:p w14:paraId="317D9E43" w14:textId="669701A0"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R0660</w:t>
            </w:r>
          </w:p>
        </w:tc>
        <w:tc>
          <w:tcPr>
            <w:tcW w:w="3402" w:type="dxa"/>
          </w:tcPr>
          <w:p w14:paraId="3B2D2EC1" w14:textId="5D1E3CB8"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Dont plus-values latentes admissibles</w:t>
            </w:r>
          </w:p>
        </w:tc>
        <w:tc>
          <w:tcPr>
            <w:tcW w:w="4739" w:type="dxa"/>
          </w:tcPr>
          <w:p w14:paraId="4F6787B7" w14:textId="4C4AB6FD" w:rsidR="00F37B36" w:rsidRPr="00AA4F14" w:rsidRDefault="00FE44F6" w:rsidP="00270A08">
            <w:pPr>
              <w:rPr>
                <w:rFonts w:ascii="Times New Roman" w:hAnsi="Times New Roman" w:cs="Times New Roman"/>
                <w:bCs/>
                <w:sz w:val="20"/>
                <w:szCs w:val="20"/>
              </w:rPr>
            </w:pPr>
            <w:r w:rsidRPr="00AA4F14">
              <w:rPr>
                <w:rFonts w:ascii="Times New Roman" w:hAnsi="Times New Roman" w:cs="Times New Roman"/>
                <w:bCs/>
                <w:sz w:val="20"/>
                <w:szCs w:val="20"/>
              </w:rPr>
              <w:t>Indiquer le montant des p</w:t>
            </w:r>
            <w:r w:rsidR="00F37B36" w:rsidRPr="00AA4F14">
              <w:rPr>
                <w:rFonts w:ascii="Times New Roman" w:hAnsi="Times New Roman" w:cs="Times New Roman"/>
                <w:bCs/>
                <w:sz w:val="20"/>
                <w:szCs w:val="20"/>
              </w:rPr>
              <w:t xml:space="preserve">lus-values latentes constitutifs à la couverture de la marge, au titre de chaque </w:t>
            </w:r>
            <w:r w:rsidR="00CC4E6B" w:rsidRPr="00AA4F14">
              <w:rPr>
                <w:rFonts w:ascii="Times New Roman" w:hAnsi="Times New Roman" w:cs="Times New Roman"/>
                <w:bCs/>
                <w:sz w:val="20"/>
                <w:szCs w:val="20"/>
              </w:rPr>
              <w:t>exercice</w:t>
            </w:r>
            <w:r w:rsidR="00F37B36" w:rsidRPr="00AA4F14">
              <w:rPr>
                <w:rFonts w:ascii="Times New Roman" w:hAnsi="Times New Roman" w:cs="Times New Roman"/>
                <w:bCs/>
                <w:sz w:val="20"/>
                <w:szCs w:val="20"/>
              </w:rPr>
              <w:t>.</w:t>
            </w:r>
          </w:p>
        </w:tc>
      </w:tr>
      <w:tr w:rsidR="00F37B36" w:rsidRPr="00C80BAE" w14:paraId="35E085C5" w14:textId="77777777" w:rsidTr="0044578D">
        <w:trPr>
          <w:trHeight w:val="409"/>
        </w:trPr>
        <w:tc>
          <w:tcPr>
            <w:tcW w:w="1101" w:type="dxa"/>
          </w:tcPr>
          <w:p w14:paraId="5E91376A" w14:textId="54D995E3"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R0670</w:t>
            </w:r>
          </w:p>
        </w:tc>
        <w:tc>
          <w:tcPr>
            <w:tcW w:w="3402" w:type="dxa"/>
          </w:tcPr>
          <w:p w14:paraId="0407D8EB" w14:textId="799EE0F6"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Exigence de marge Vie</w:t>
            </w:r>
          </w:p>
        </w:tc>
        <w:tc>
          <w:tcPr>
            <w:tcW w:w="4739" w:type="dxa"/>
          </w:tcPr>
          <w:p w14:paraId="3C196911" w14:textId="707A65B4"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Correspond à la somme des exigences de marge relative aux supports euros, UC et diversifiés et aux contrats régis par l’article L. 441</w:t>
            </w:r>
            <w:r w:rsidR="00CC4E6B" w:rsidRPr="00AA4F14">
              <w:rPr>
                <w:rFonts w:ascii="Times New Roman" w:hAnsi="Times New Roman" w:cs="Times New Roman"/>
                <w:sz w:val="20"/>
                <w:szCs w:val="20"/>
              </w:rPr>
              <w:t>.</w:t>
            </w:r>
          </w:p>
        </w:tc>
      </w:tr>
      <w:tr w:rsidR="00F37B36" w:rsidRPr="00C80BAE" w14:paraId="671990A2" w14:textId="77777777" w:rsidTr="0044578D">
        <w:trPr>
          <w:trHeight w:val="409"/>
        </w:trPr>
        <w:tc>
          <w:tcPr>
            <w:tcW w:w="1101" w:type="dxa"/>
          </w:tcPr>
          <w:p w14:paraId="0178B32F" w14:textId="3A58072C"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R0680</w:t>
            </w:r>
          </w:p>
        </w:tc>
        <w:tc>
          <w:tcPr>
            <w:tcW w:w="3402" w:type="dxa"/>
          </w:tcPr>
          <w:p w14:paraId="0E7EB2AC" w14:textId="491B1F2B"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Exigence de marge - Vie - euros</w:t>
            </w:r>
          </w:p>
        </w:tc>
        <w:tc>
          <w:tcPr>
            <w:tcW w:w="4739" w:type="dxa"/>
          </w:tcPr>
          <w:p w14:paraId="2D99247D" w14:textId="229C9C0F"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À </w:t>
            </w:r>
            <w:proofErr w:type="gramStart"/>
            <w:r w:rsidRPr="00AA4F14">
              <w:rPr>
                <w:rFonts w:ascii="Times New Roman" w:hAnsi="Times New Roman" w:cs="Times New Roman"/>
                <w:bCs/>
                <w:sz w:val="20"/>
                <w:szCs w:val="20"/>
              </w:rPr>
              <w:t>l’ouverture,  correspond</w:t>
            </w:r>
            <w:proofErr w:type="gramEnd"/>
            <w:r w:rsidRPr="00AA4F14">
              <w:rPr>
                <w:rFonts w:ascii="Times New Roman" w:hAnsi="Times New Roman" w:cs="Times New Roman"/>
                <w:bCs/>
                <w:sz w:val="20"/>
                <w:szCs w:val="20"/>
              </w:rPr>
              <w:t xml:space="preserve"> à l’exigence de marge relative aux supports en euros calculée dans l’état RP.42.01.01. Celle-ci est ensuite projetée sur 10 ans pour chaque scénario</w:t>
            </w:r>
            <w:r w:rsidR="00CC4E6B" w:rsidRPr="00AA4F14">
              <w:rPr>
                <w:rFonts w:ascii="Times New Roman" w:hAnsi="Times New Roman" w:cs="Times New Roman"/>
                <w:sz w:val="20"/>
                <w:szCs w:val="20"/>
              </w:rPr>
              <w:t>.</w:t>
            </w:r>
          </w:p>
        </w:tc>
      </w:tr>
      <w:tr w:rsidR="00F37B36" w:rsidRPr="00C80BAE" w14:paraId="2ED8AA4A" w14:textId="77777777" w:rsidTr="0044578D">
        <w:trPr>
          <w:trHeight w:val="409"/>
        </w:trPr>
        <w:tc>
          <w:tcPr>
            <w:tcW w:w="1101" w:type="dxa"/>
          </w:tcPr>
          <w:p w14:paraId="5ACE8867" w14:textId="5E17F76D"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R0690</w:t>
            </w:r>
          </w:p>
        </w:tc>
        <w:tc>
          <w:tcPr>
            <w:tcW w:w="3402" w:type="dxa"/>
          </w:tcPr>
          <w:p w14:paraId="4053CF01" w14:textId="5996CBE0"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Exigence de marge - Vie - UC et diversifiés</w:t>
            </w:r>
          </w:p>
        </w:tc>
        <w:tc>
          <w:tcPr>
            <w:tcW w:w="4739" w:type="dxa"/>
          </w:tcPr>
          <w:p w14:paraId="6A392F4E" w14:textId="6D1BB40D"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À </w:t>
            </w:r>
            <w:proofErr w:type="gramStart"/>
            <w:r w:rsidRPr="00AA4F14">
              <w:rPr>
                <w:rFonts w:ascii="Times New Roman" w:hAnsi="Times New Roman" w:cs="Times New Roman"/>
                <w:bCs/>
                <w:sz w:val="20"/>
                <w:szCs w:val="20"/>
              </w:rPr>
              <w:t>l’ouverture,  correspond</w:t>
            </w:r>
            <w:proofErr w:type="gramEnd"/>
            <w:r w:rsidRPr="00AA4F14">
              <w:rPr>
                <w:rFonts w:ascii="Times New Roman" w:hAnsi="Times New Roman" w:cs="Times New Roman"/>
                <w:bCs/>
                <w:sz w:val="20"/>
                <w:szCs w:val="20"/>
              </w:rPr>
              <w:t xml:space="preserve"> à l’exigence de marge relative aux supports </w:t>
            </w:r>
            <w:r w:rsidRPr="00AA4F14">
              <w:rPr>
                <w:rFonts w:ascii="Times New Roman" w:hAnsi="Times New Roman" w:cs="Times New Roman"/>
                <w:sz w:val="20"/>
                <w:szCs w:val="20"/>
              </w:rPr>
              <w:t>UC et diversifiés</w:t>
            </w:r>
            <w:r w:rsidRPr="00AA4F14">
              <w:rPr>
                <w:rFonts w:ascii="Times New Roman" w:hAnsi="Times New Roman" w:cs="Times New Roman"/>
                <w:bCs/>
                <w:sz w:val="20"/>
                <w:szCs w:val="20"/>
              </w:rPr>
              <w:t xml:space="preserve"> calculée dans l’état RP.42.01.01. Celle-ci est ensuite projetée sur 10 ans pour chaque scénario</w:t>
            </w:r>
            <w:r w:rsidR="00CC4E6B" w:rsidRPr="00AA4F14">
              <w:rPr>
                <w:rFonts w:ascii="Times New Roman" w:hAnsi="Times New Roman" w:cs="Times New Roman"/>
                <w:sz w:val="20"/>
                <w:szCs w:val="20"/>
              </w:rPr>
              <w:t>.</w:t>
            </w:r>
          </w:p>
        </w:tc>
      </w:tr>
      <w:tr w:rsidR="00F37B36" w:rsidRPr="00C80BAE" w14:paraId="027CF504" w14:textId="77777777" w:rsidTr="0044578D">
        <w:trPr>
          <w:trHeight w:val="409"/>
        </w:trPr>
        <w:tc>
          <w:tcPr>
            <w:tcW w:w="1101" w:type="dxa"/>
          </w:tcPr>
          <w:p w14:paraId="4909A263" w14:textId="587C05A2"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R0700</w:t>
            </w:r>
          </w:p>
        </w:tc>
        <w:tc>
          <w:tcPr>
            <w:tcW w:w="3402" w:type="dxa"/>
          </w:tcPr>
          <w:p w14:paraId="11A79113" w14:textId="03318274"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Exigence de marge - Vie - L. 441</w:t>
            </w:r>
          </w:p>
        </w:tc>
        <w:tc>
          <w:tcPr>
            <w:tcW w:w="4739" w:type="dxa"/>
          </w:tcPr>
          <w:p w14:paraId="647548F6" w14:textId="5AD7574C"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À </w:t>
            </w:r>
            <w:proofErr w:type="gramStart"/>
            <w:r w:rsidRPr="00AA4F14">
              <w:rPr>
                <w:rFonts w:ascii="Times New Roman" w:hAnsi="Times New Roman" w:cs="Times New Roman"/>
                <w:bCs/>
                <w:sz w:val="20"/>
                <w:szCs w:val="20"/>
              </w:rPr>
              <w:t>l’ouverture,  correspond</w:t>
            </w:r>
            <w:proofErr w:type="gramEnd"/>
            <w:r w:rsidRPr="00AA4F14">
              <w:rPr>
                <w:rFonts w:ascii="Times New Roman" w:hAnsi="Times New Roman" w:cs="Times New Roman"/>
                <w:bCs/>
                <w:sz w:val="20"/>
                <w:szCs w:val="20"/>
              </w:rPr>
              <w:t xml:space="preserve"> à l’exigence de marge relative aux contrats régis par l’article L. 441 calculée dans l’état RP.42.01.01. Celle-ci est ensuite projetée sur 10 ans pour chaque scénario</w:t>
            </w:r>
            <w:r w:rsidR="00CC4E6B" w:rsidRPr="00AA4F14">
              <w:rPr>
                <w:rFonts w:ascii="Times New Roman" w:hAnsi="Times New Roman" w:cs="Times New Roman"/>
                <w:sz w:val="20"/>
                <w:szCs w:val="20"/>
              </w:rPr>
              <w:t>.</w:t>
            </w:r>
          </w:p>
        </w:tc>
      </w:tr>
      <w:tr w:rsidR="00F37B36" w:rsidRPr="00C80BAE" w14:paraId="6B7C24A4" w14:textId="77777777" w:rsidTr="0044578D">
        <w:trPr>
          <w:trHeight w:val="409"/>
        </w:trPr>
        <w:tc>
          <w:tcPr>
            <w:tcW w:w="1101" w:type="dxa"/>
          </w:tcPr>
          <w:p w14:paraId="0ED0404C" w14:textId="28F10D6A"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R0710</w:t>
            </w:r>
          </w:p>
        </w:tc>
        <w:tc>
          <w:tcPr>
            <w:tcW w:w="3402" w:type="dxa"/>
          </w:tcPr>
          <w:p w14:paraId="663F4CAC" w14:textId="77C460AF"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Exigence de marge non-vie</w:t>
            </w:r>
          </w:p>
        </w:tc>
        <w:tc>
          <w:tcPr>
            <w:tcW w:w="4739" w:type="dxa"/>
          </w:tcPr>
          <w:p w14:paraId="43BE0F49" w14:textId="695AE904" w:rsidR="00F37B36" w:rsidRPr="00AA4F14" w:rsidRDefault="002A4393" w:rsidP="00345A4E">
            <w:pPr>
              <w:rPr>
                <w:rFonts w:ascii="Times New Roman" w:hAnsi="Times New Roman" w:cs="Times New Roman"/>
                <w:bCs/>
                <w:sz w:val="20"/>
                <w:szCs w:val="20"/>
              </w:rPr>
            </w:pPr>
            <w:r w:rsidRPr="00AA4F14">
              <w:rPr>
                <w:rFonts w:ascii="Times New Roman" w:hAnsi="Times New Roman" w:cs="Times New Roman"/>
                <w:bCs/>
                <w:sz w:val="20"/>
                <w:szCs w:val="20"/>
              </w:rPr>
              <w:t>À</w:t>
            </w:r>
            <w:r w:rsidR="00F37B36" w:rsidRPr="00AA4F14">
              <w:rPr>
                <w:rFonts w:ascii="Times New Roman" w:hAnsi="Times New Roman" w:cs="Times New Roman"/>
                <w:bCs/>
                <w:sz w:val="20"/>
                <w:szCs w:val="20"/>
              </w:rPr>
              <w:t xml:space="preserve"> l’ouverture, correspond à l’exigence de marge calculée selon les règles non vie dans l’état RP.42.02.01. Celle-ci est ensuite projetée sur 10 ans pour chaque scénario.</w:t>
            </w:r>
          </w:p>
          <w:p w14:paraId="6D5D4B25" w14:textId="77777777" w:rsidR="00F37B36" w:rsidRPr="00AA4F14" w:rsidRDefault="00F37B36" w:rsidP="00345A4E">
            <w:pPr>
              <w:rPr>
                <w:rFonts w:ascii="Times New Roman" w:hAnsi="Times New Roman" w:cs="Times New Roman"/>
                <w:bCs/>
                <w:sz w:val="20"/>
                <w:szCs w:val="20"/>
              </w:rPr>
            </w:pPr>
            <w:r w:rsidRPr="00AA4F14">
              <w:rPr>
                <w:rFonts w:ascii="Times New Roman" w:hAnsi="Times New Roman" w:cs="Times New Roman"/>
                <w:bCs/>
                <w:sz w:val="20"/>
                <w:szCs w:val="20"/>
              </w:rPr>
              <w:t xml:space="preserve">Le FRPS devra s’assurer que : </w:t>
            </w:r>
          </w:p>
          <w:p w14:paraId="256D41A5" w14:textId="2F18AC4D"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R0680 = max (R0690*R0710 ; R0700 * R0710 ; R0720 * R0730)</w:t>
            </w:r>
          </w:p>
        </w:tc>
      </w:tr>
      <w:tr w:rsidR="00F37B36" w:rsidRPr="00C80BAE" w14:paraId="43EC6668" w14:textId="77777777" w:rsidTr="0044578D">
        <w:trPr>
          <w:trHeight w:val="409"/>
        </w:trPr>
        <w:tc>
          <w:tcPr>
            <w:tcW w:w="1101" w:type="dxa"/>
          </w:tcPr>
          <w:p w14:paraId="14968F48" w14:textId="429C751F"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R0720</w:t>
            </w:r>
          </w:p>
        </w:tc>
        <w:tc>
          <w:tcPr>
            <w:tcW w:w="3402" w:type="dxa"/>
          </w:tcPr>
          <w:p w14:paraId="6F037F9D" w14:textId="6096C223" w:rsidR="00F37B36" w:rsidRPr="00AA4F14" w:rsidRDefault="00F37B36" w:rsidP="00270A08">
            <w:pPr>
              <w:rPr>
                <w:rFonts w:ascii="Times New Roman" w:hAnsi="Times New Roman" w:cs="Times New Roman"/>
                <w:sz w:val="20"/>
                <w:szCs w:val="20"/>
              </w:rPr>
            </w:pPr>
            <w:proofErr w:type="gramStart"/>
            <w:r w:rsidRPr="00AA4F14">
              <w:rPr>
                <w:rFonts w:ascii="Times New Roman" w:hAnsi="Times New Roman" w:cs="Times New Roman"/>
                <w:sz w:val="20"/>
                <w:szCs w:val="20"/>
              </w:rPr>
              <w:t>i</w:t>
            </w:r>
            <w:proofErr w:type="gramEnd"/>
            <w:r w:rsidRPr="00AA4F14">
              <w:rPr>
                <w:rFonts w:ascii="Times New Roman" w:hAnsi="Times New Roman" w:cs="Times New Roman"/>
                <w:sz w:val="20"/>
                <w:szCs w:val="20"/>
              </w:rPr>
              <w:t xml:space="preserve"> par rapport aux primes, avant réassurance</w:t>
            </w:r>
          </w:p>
        </w:tc>
        <w:tc>
          <w:tcPr>
            <w:tcW w:w="4739" w:type="dxa"/>
          </w:tcPr>
          <w:p w14:paraId="32676723" w14:textId="5FAA27E0"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À l’ouverture, correspond à l’exigence de marge non vie calculée par rapport aux primes dans l’état RP.42.01.01. Celle-ci est ensuite projetée sur 10 ans pour chaque scénario</w:t>
            </w:r>
            <w:r w:rsidR="00CC4E6B" w:rsidRPr="00AA4F14">
              <w:rPr>
                <w:rFonts w:ascii="Times New Roman" w:hAnsi="Times New Roman" w:cs="Times New Roman"/>
                <w:sz w:val="20"/>
                <w:szCs w:val="20"/>
              </w:rPr>
              <w:t>.</w:t>
            </w:r>
          </w:p>
        </w:tc>
      </w:tr>
      <w:tr w:rsidR="00F37B36" w:rsidRPr="00C80BAE" w14:paraId="33B29517" w14:textId="77777777" w:rsidTr="0044578D">
        <w:trPr>
          <w:trHeight w:val="409"/>
        </w:trPr>
        <w:tc>
          <w:tcPr>
            <w:tcW w:w="1101" w:type="dxa"/>
          </w:tcPr>
          <w:p w14:paraId="5F218290" w14:textId="07460965"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R0730</w:t>
            </w:r>
          </w:p>
        </w:tc>
        <w:tc>
          <w:tcPr>
            <w:tcW w:w="3402" w:type="dxa"/>
          </w:tcPr>
          <w:p w14:paraId="239AC5E6" w14:textId="06CB0A7D" w:rsidR="00F37B36" w:rsidRPr="00AA4F14" w:rsidRDefault="00F37B36" w:rsidP="00270A08">
            <w:pPr>
              <w:rPr>
                <w:rFonts w:ascii="Times New Roman" w:hAnsi="Times New Roman" w:cs="Times New Roman"/>
                <w:sz w:val="20"/>
                <w:szCs w:val="20"/>
              </w:rPr>
            </w:pPr>
            <w:proofErr w:type="gramStart"/>
            <w:r w:rsidRPr="00AA4F14">
              <w:rPr>
                <w:rFonts w:ascii="Times New Roman" w:hAnsi="Times New Roman" w:cs="Times New Roman"/>
                <w:sz w:val="20"/>
                <w:szCs w:val="20"/>
              </w:rPr>
              <w:t>ii  par</w:t>
            </w:r>
            <w:proofErr w:type="gramEnd"/>
            <w:r w:rsidRPr="00AA4F14">
              <w:rPr>
                <w:rFonts w:ascii="Times New Roman" w:hAnsi="Times New Roman" w:cs="Times New Roman"/>
                <w:sz w:val="20"/>
                <w:szCs w:val="20"/>
              </w:rPr>
              <w:t xml:space="preserve"> rapport aux sinistres, avant réassurance</w:t>
            </w:r>
          </w:p>
        </w:tc>
        <w:tc>
          <w:tcPr>
            <w:tcW w:w="4739" w:type="dxa"/>
          </w:tcPr>
          <w:p w14:paraId="03A6DE80" w14:textId="4747D769"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À </w:t>
            </w:r>
            <w:proofErr w:type="gramStart"/>
            <w:r w:rsidRPr="00AA4F14">
              <w:rPr>
                <w:rFonts w:ascii="Times New Roman" w:hAnsi="Times New Roman" w:cs="Times New Roman"/>
                <w:bCs/>
                <w:sz w:val="20"/>
                <w:szCs w:val="20"/>
              </w:rPr>
              <w:t>l’ouverture,  correspond</w:t>
            </w:r>
            <w:proofErr w:type="gramEnd"/>
            <w:r w:rsidRPr="00AA4F14">
              <w:rPr>
                <w:rFonts w:ascii="Times New Roman" w:hAnsi="Times New Roman" w:cs="Times New Roman"/>
                <w:bCs/>
                <w:sz w:val="20"/>
                <w:szCs w:val="20"/>
              </w:rPr>
              <w:t xml:space="preserve"> à l’exigence de marge non vie calculée par rapport aux sinistres dans l’état RP.42.01.01. Celle-ci est ensuite projetée sur 10 ans pour chaque scénario</w:t>
            </w:r>
            <w:r w:rsidR="00CC4E6B" w:rsidRPr="00AA4F14">
              <w:rPr>
                <w:rFonts w:ascii="Times New Roman" w:hAnsi="Times New Roman" w:cs="Times New Roman"/>
                <w:sz w:val="20"/>
                <w:szCs w:val="20"/>
              </w:rPr>
              <w:t>.</w:t>
            </w:r>
          </w:p>
        </w:tc>
      </w:tr>
      <w:tr w:rsidR="00F37B36" w:rsidRPr="00C80BAE" w14:paraId="1DFE2173" w14:textId="77777777" w:rsidTr="0044578D">
        <w:trPr>
          <w:trHeight w:val="409"/>
        </w:trPr>
        <w:tc>
          <w:tcPr>
            <w:tcW w:w="1101" w:type="dxa"/>
          </w:tcPr>
          <w:p w14:paraId="650E5CDC" w14:textId="24E32715"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R0740</w:t>
            </w:r>
          </w:p>
        </w:tc>
        <w:tc>
          <w:tcPr>
            <w:tcW w:w="3402" w:type="dxa"/>
          </w:tcPr>
          <w:p w14:paraId="730D4507" w14:textId="50C09163" w:rsidR="00F37B36" w:rsidRPr="00AA4F14" w:rsidRDefault="00F37B36" w:rsidP="00270A08">
            <w:pPr>
              <w:rPr>
                <w:rFonts w:ascii="Times New Roman" w:hAnsi="Times New Roman" w:cs="Times New Roman"/>
                <w:sz w:val="20"/>
                <w:szCs w:val="20"/>
              </w:rPr>
            </w:pPr>
            <w:proofErr w:type="gramStart"/>
            <w:r w:rsidRPr="00AA4F14">
              <w:rPr>
                <w:rFonts w:ascii="Times New Roman" w:hAnsi="Times New Roman" w:cs="Times New Roman"/>
                <w:sz w:val="20"/>
                <w:szCs w:val="20"/>
              </w:rPr>
              <w:t>iii</w:t>
            </w:r>
            <w:proofErr w:type="gramEnd"/>
            <w:r w:rsidRPr="00AA4F14">
              <w:rPr>
                <w:rFonts w:ascii="Times New Roman" w:hAnsi="Times New Roman" w:cs="Times New Roman"/>
                <w:sz w:val="20"/>
                <w:szCs w:val="20"/>
              </w:rPr>
              <w:t xml:space="preserve"> influence de la réassurance, coefficient c</w:t>
            </w:r>
          </w:p>
        </w:tc>
        <w:tc>
          <w:tcPr>
            <w:tcW w:w="4739" w:type="dxa"/>
          </w:tcPr>
          <w:p w14:paraId="5F1E06F7" w14:textId="0696699F"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À </w:t>
            </w:r>
            <w:proofErr w:type="gramStart"/>
            <w:r w:rsidRPr="00AA4F14">
              <w:rPr>
                <w:rFonts w:ascii="Times New Roman" w:hAnsi="Times New Roman" w:cs="Times New Roman"/>
                <w:bCs/>
                <w:sz w:val="20"/>
                <w:szCs w:val="20"/>
              </w:rPr>
              <w:t>l’ouverture,  correspond</w:t>
            </w:r>
            <w:proofErr w:type="gramEnd"/>
            <w:r w:rsidRPr="00AA4F14">
              <w:rPr>
                <w:rFonts w:ascii="Times New Roman" w:hAnsi="Times New Roman" w:cs="Times New Roman"/>
                <w:bCs/>
                <w:sz w:val="20"/>
                <w:szCs w:val="20"/>
              </w:rPr>
              <w:t xml:space="preserve"> au « coefficient c », calculé dans l’état RP.42.01.01.  Le coefficient est ensuite projeté sur 10 ans pour chaque scénario.</w:t>
            </w:r>
          </w:p>
        </w:tc>
      </w:tr>
      <w:tr w:rsidR="00F37B36" w:rsidRPr="00C80BAE" w14:paraId="4E1926A4" w14:textId="77777777" w:rsidTr="0044578D">
        <w:trPr>
          <w:trHeight w:val="409"/>
        </w:trPr>
        <w:tc>
          <w:tcPr>
            <w:tcW w:w="1101" w:type="dxa"/>
          </w:tcPr>
          <w:p w14:paraId="39560BF3" w14:textId="395F1DBB"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R0750</w:t>
            </w:r>
          </w:p>
        </w:tc>
        <w:tc>
          <w:tcPr>
            <w:tcW w:w="3402" w:type="dxa"/>
          </w:tcPr>
          <w:p w14:paraId="35153495" w14:textId="535EA664" w:rsidR="00F37B36" w:rsidRPr="00AA4F14" w:rsidRDefault="00F37B36" w:rsidP="00270A08">
            <w:pPr>
              <w:rPr>
                <w:rFonts w:ascii="Times New Roman" w:hAnsi="Times New Roman" w:cs="Times New Roman"/>
                <w:sz w:val="20"/>
                <w:szCs w:val="20"/>
              </w:rPr>
            </w:pPr>
            <w:proofErr w:type="gramStart"/>
            <w:r w:rsidRPr="00AA4F14">
              <w:rPr>
                <w:rFonts w:ascii="Times New Roman" w:hAnsi="Times New Roman" w:cs="Times New Roman"/>
                <w:sz w:val="20"/>
                <w:szCs w:val="20"/>
              </w:rPr>
              <w:t>iv</w:t>
            </w:r>
            <w:proofErr w:type="gramEnd"/>
            <w:r w:rsidRPr="00AA4F14">
              <w:rPr>
                <w:rFonts w:ascii="Times New Roman" w:hAnsi="Times New Roman" w:cs="Times New Roman"/>
                <w:sz w:val="20"/>
                <w:szCs w:val="20"/>
              </w:rPr>
              <w:t xml:space="preserve"> taux d'évolution des PSAP, coefficient alpha</w:t>
            </w:r>
          </w:p>
        </w:tc>
        <w:tc>
          <w:tcPr>
            <w:tcW w:w="4739" w:type="dxa"/>
          </w:tcPr>
          <w:p w14:paraId="098F00AA" w14:textId="71223BEB"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À </w:t>
            </w:r>
            <w:proofErr w:type="gramStart"/>
            <w:r w:rsidRPr="00AA4F14">
              <w:rPr>
                <w:rFonts w:ascii="Times New Roman" w:hAnsi="Times New Roman" w:cs="Times New Roman"/>
                <w:bCs/>
                <w:sz w:val="20"/>
                <w:szCs w:val="20"/>
              </w:rPr>
              <w:t>l’ouverture,  correspond</w:t>
            </w:r>
            <w:proofErr w:type="gramEnd"/>
            <w:r w:rsidRPr="00AA4F14">
              <w:rPr>
                <w:rFonts w:ascii="Times New Roman" w:hAnsi="Times New Roman" w:cs="Times New Roman"/>
                <w:bCs/>
                <w:sz w:val="20"/>
                <w:szCs w:val="20"/>
              </w:rPr>
              <w:t xml:space="preserve"> au « coefficient alpha » tel que calculé dans l’état RP.42.01.01.  Il est ensuite projeté sur 10 ans pour chaque scénario.</w:t>
            </w:r>
          </w:p>
        </w:tc>
      </w:tr>
      <w:tr w:rsidR="00F37B36" w:rsidRPr="00C80BAE" w14:paraId="224B5836" w14:textId="77777777" w:rsidTr="0044578D">
        <w:trPr>
          <w:trHeight w:val="409"/>
        </w:trPr>
        <w:tc>
          <w:tcPr>
            <w:tcW w:w="1101" w:type="dxa"/>
          </w:tcPr>
          <w:p w14:paraId="35EC33DA" w14:textId="11046541"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lastRenderedPageBreak/>
              <w:t>R0760</w:t>
            </w:r>
          </w:p>
        </w:tc>
        <w:tc>
          <w:tcPr>
            <w:tcW w:w="3402" w:type="dxa"/>
          </w:tcPr>
          <w:p w14:paraId="418DF69B" w14:textId="49618E4C" w:rsidR="00F37B36" w:rsidRPr="00AA4F14" w:rsidRDefault="00F37B36" w:rsidP="00270A08">
            <w:pPr>
              <w:rPr>
                <w:rFonts w:ascii="Times New Roman" w:hAnsi="Times New Roman" w:cs="Times New Roman"/>
                <w:sz w:val="20"/>
                <w:szCs w:val="20"/>
              </w:rPr>
            </w:pPr>
            <w:proofErr w:type="gramStart"/>
            <w:r w:rsidRPr="00AA4F14">
              <w:rPr>
                <w:rFonts w:ascii="Times New Roman" w:hAnsi="Times New Roman" w:cs="Times New Roman"/>
                <w:sz w:val="20"/>
                <w:szCs w:val="20"/>
              </w:rPr>
              <w:t>o</w:t>
            </w:r>
            <w:proofErr w:type="gramEnd"/>
            <w:r w:rsidRPr="00AA4F14">
              <w:rPr>
                <w:rFonts w:ascii="Times New Roman" w:hAnsi="Times New Roman" w:cs="Times New Roman"/>
                <w:sz w:val="20"/>
                <w:szCs w:val="20"/>
              </w:rPr>
              <w:t xml:space="preserve"> exigence minimale de l’exercice précédent</w:t>
            </w:r>
          </w:p>
        </w:tc>
        <w:tc>
          <w:tcPr>
            <w:tcW w:w="4739" w:type="dxa"/>
          </w:tcPr>
          <w:p w14:paraId="7E3A6BED" w14:textId="2A1FA73F"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Correspond à l’exigence minimale de marge de l’exercice précédent</w:t>
            </w:r>
            <w:r w:rsidR="00CC4E6B" w:rsidRPr="00AA4F14">
              <w:rPr>
                <w:rFonts w:ascii="Times New Roman" w:hAnsi="Times New Roman" w:cs="Times New Roman"/>
                <w:sz w:val="20"/>
                <w:szCs w:val="20"/>
              </w:rPr>
              <w:t>.</w:t>
            </w:r>
          </w:p>
        </w:tc>
      </w:tr>
      <w:tr w:rsidR="00F37B36" w:rsidRPr="00C80BAE" w14:paraId="6B442926" w14:textId="77777777" w:rsidTr="0044578D">
        <w:trPr>
          <w:trHeight w:val="409"/>
        </w:trPr>
        <w:tc>
          <w:tcPr>
            <w:tcW w:w="1101" w:type="dxa"/>
          </w:tcPr>
          <w:p w14:paraId="3F83E5DC" w14:textId="70AD2BAD"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R0770</w:t>
            </w:r>
          </w:p>
        </w:tc>
        <w:tc>
          <w:tcPr>
            <w:tcW w:w="3402" w:type="dxa"/>
          </w:tcPr>
          <w:p w14:paraId="42160562" w14:textId="210CB897"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Exigence totale</w:t>
            </w:r>
          </w:p>
        </w:tc>
        <w:tc>
          <w:tcPr>
            <w:tcW w:w="4739" w:type="dxa"/>
          </w:tcPr>
          <w:p w14:paraId="61D95FFC" w14:textId="1B5FD609"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Correspond à la somme de l’exigence de marge vie et de l’exigence de marge non-vie</w:t>
            </w:r>
            <w:r w:rsidR="00CC4E6B" w:rsidRPr="00AA4F14">
              <w:rPr>
                <w:rFonts w:ascii="Times New Roman" w:hAnsi="Times New Roman" w:cs="Times New Roman"/>
                <w:sz w:val="20"/>
                <w:szCs w:val="20"/>
              </w:rPr>
              <w:t>.</w:t>
            </w:r>
          </w:p>
        </w:tc>
      </w:tr>
      <w:tr w:rsidR="00F37B36" w:rsidRPr="00C80BAE" w14:paraId="17A36C97" w14:textId="77777777" w:rsidTr="0044578D">
        <w:trPr>
          <w:trHeight w:val="409"/>
        </w:trPr>
        <w:tc>
          <w:tcPr>
            <w:tcW w:w="1101" w:type="dxa"/>
          </w:tcPr>
          <w:p w14:paraId="30EB9882" w14:textId="3E718D79"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R0780</w:t>
            </w:r>
          </w:p>
        </w:tc>
        <w:tc>
          <w:tcPr>
            <w:tcW w:w="3402" w:type="dxa"/>
          </w:tcPr>
          <w:p w14:paraId="594676E3" w14:textId="56AE2E5B"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Ratio de couverture (hors plus-values latentes admissibles)</w:t>
            </w:r>
          </w:p>
        </w:tc>
        <w:tc>
          <w:tcPr>
            <w:tcW w:w="4739" w:type="dxa"/>
          </w:tcPr>
          <w:p w14:paraId="7F4BBD20" w14:textId="367C0805"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Correspond au ratio entre les éléments constitutifs (hors plus-values latentes admissibles [R06</w:t>
            </w:r>
            <w:r w:rsidR="00FE44F6" w:rsidRPr="00AA4F14">
              <w:rPr>
                <w:rFonts w:ascii="Times New Roman" w:hAnsi="Times New Roman" w:cs="Times New Roman"/>
                <w:bCs/>
                <w:sz w:val="20"/>
                <w:szCs w:val="20"/>
              </w:rPr>
              <w:t>2</w:t>
            </w:r>
            <w:r w:rsidRPr="00AA4F14">
              <w:rPr>
                <w:rFonts w:ascii="Times New Roman" w:hAnsi="Times New Roman" w:cs="Times New Roman"/>
                <w:bCs/>
                <w:sz w:val="20"/>
                <w:szCs w:val="20"/>
              </w:rPr>
              <w:t>0 – R0</w:t>
            </w:r>
            <w:r w:rsidR="00FE44F6" w:rsidRPr="00AA4F14">
              <w:rPr>
                <w:rFonts w:ascii="Times New Roman" w:hAnsi="Times New Roman" w:cs="Times New Roman"/>
                <w:bCs/>
                <w:sz w:val="20"/>
                <w:szCs w:val="20"/>
              </w:rPr>
              <w:t>66</w:t>
            </w:r>
            <w:r w:rsidRPr="00AA4F14">
              <w:rPr>
                <w:rFonts w:ascii="Times New Roman" w:hAnsi="Times New Roman" w:cs="Times New Roman"/>
                <w:bCs/>
                <w:sz w:val="20"/>
                <w:szCs w:val="20"/>
              </w:rPr>
              <w:t>0]) et l’exigence de marge totale (R0770)</w:t>
            </w:r>
            <w:r w:rsidR="00CC4E6B" w:rsidRPr="00AA4F14">
              <w:rPr>
                <w:rFonts w:ascii="Times New Roman" w:hAnsi="Times New Roman" w:cs="Times New Roman"/>
                <w:sz w:val="20"/>
                <w:szCs w:val="20"/>
              </w:rPr>
              <w:t>.</w:t>
            </w:r>
          </w:p>
        </w:tc>
      </w:tr>
      <w:tr w:rsidR="00F37B36" w:rsidRPr="00C80BAE" w14:paraId="3F77C177" w14:textId="77777777" w:rsidTr="0044578D">
        <w:trPr>
          <w:trHeight w:val="409"/>
        </w:trPr>
        <w:tc>
          <w:tcPr>
            <w:tcW w:w="1101" w:type="dxa"/>
          </w:tcPr>
          <w:p w14:paraId="738988FC" w14:textId="254D3E17"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R0790</w:t>
            </w:r>
          </w:p>
        </w:tc>
        <w:tc>
          <w:tcPr>
            <w:tcW w:w="3402" w:type="dxa"/>
          </w:tcPr>
          <w:p w14:paraId="7E592B39" w14:textId="5E35DB19"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Ratio de couverture (dont plus-values latentes admissibles)</w:t>
            </w:r>
          </w:p>
        </w:tc>
        <w:tc>
          <w:tcPr>
            <w:tcW w:w="4739" w:type="dxa"/>
          </w:tcPr>
          <w:p w14:paraId="3DDC1754" w14:textId="4F4C773D"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Correspond au ratio entre les éléments constitutifs (R06</w:t>
            </w:r>
            <w:r w:rsidR="00FE44F6" w:rsidRPr="00AA4F14">
              <w:rPr>
                <w:rFonts w:ascii="Times New Roman" w:hAnsi="Times New Roman" w:cs="Times New Roman"/>
                <w:bCs/>
                <w:sz w:val="20"/>
                <w:szCs w:val="20"/>
              </w:rPr>
              <w:t>2</w:t>
            </w:r>
            <w:r w:rsidRPr="00AA4F14">
              <w:rPr>
                <w:rFonts w:ascii="Times New Roman" w:hAnsi="Times New Roman" w:cs="Times New Roman"/>
                <w:bCs/>
                <w:sz w:val="20"/>
                <w:szCs w:val="20"/>
              </w:rPr>
              <w:t>0) et l’exigence minimale de marge de solvabilité totale (R0770)</w:t>
            </w:r>
            <w:r w:rsidR="00CC4E6B" w:rsidRPr="00AA4F14">
              <w:rPr>
                <w:rFonts w:ascii="Times New Roman" w:hAnsi="Times New Roman" w:cs="Times New Roman"/>
                <w:sz w:val="20"/>
                <w:szCs w:val="20"/>
              </w:rPr>
              <w:t>.</w:t>
            </w:r>
          </w:p>
        </w:tc>
      </w:tr>
      <w:tr w:rsidR="00F37B36" w:rsidRPr="00C80BAE" w14:paraId="5E1D4649" w14:textId="77777777" w:rsidTr="0053713B">
        <w:trPr>
          <w:trHeight w:val="409"/>
        </w:trPr>
        <w:tc>
          <w:tcPr>
            <w:tcW w:w="1101" w:type="dxa"/>
          </w:tcPr>
          <w:p w14:paraId="40FD2CDD" w14:textId="1F53B7BF"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R0800</w:t>
            </w:r>
          </w:p>
        </w:tc>
        <w:tc>
          <w:tcPr>
            <w:tcW w:w="3402" w:type="dxa"/>
          </w:tcPr>
          <w:p w14:paraId="4BAEDF5E" w14:textId="0AA7AD68"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Taux de rendement réel des actifs (E)</w:t>
            </w:r>
          </w:p>
        </w:tc>
        <w:tc>
          <w:tcPr>
            <w:tcW w:w="4739" w:type="dxa"/>
          </w:tcPr>
          <w:p w14:paraId="0EBC0520" w14:textId="43874DAE" w:rsidR="00F37B36" w:rsidRPr="00AA4F14" w:rsidRDefault="00F37B36">
            <w:pPr>
              <w:rPr>
                <w:rFonts w:ascii="Times New Roman" w:hAnsi="Times New Roman" w:cs="Times New Roman"/>
                <w:bCs/>
                <w:sz w:val="20"/>
                <w:szCs w:val="20"/>
              </w:rPr>
            </w:pPr>
            <w:r w:rsidRPr="00AA4F14">
              <w:rPr>
                <w:rFonts w:ascii="Times New Roman" w:hAnsi="Times New Roman" w:cs="Times New Roman"/>
                <w:bCs/>
                <w:sz w:val="20"/>
                <w:szCs w:val="20"/>
              </w:rPr>
              <w:t xml:space="preserve">À l’ouverture, correspond au </w:t>
            </w:r>
            <w:r w:rsidRPr="00AA4F14">
              <w:rPr>
                <w:rFonts w:ascii="Times New Roman" w:hAnsi="Times New Roman" w:cs="Times New Roman"/>
                <w:sz w:val="20"/>
                <w:szCs w:val="20"/>
              </w:rPr>
              <w:t>taux de rendement réel des actifs retenu pour le calcul de la provision pour aléa financiers</w:t>
            </w:r>
            <w:r w:rsidR="00724947" w:rsidRPr="00AA4F14">
              <w:rPr>
                <w:rFonts w:ascii="Times New Roman" w:hAnsi="Times New Roman" w:cs="Times New Roman"/>
                <w:sz w:val="20"/>
                <w:szCs w:val="20"/>
              </w:rPr>
              <w:t xml:space="preserve"> du fonds général</w:t>
            </w:r>
            <w:r w:rsidRPr="00AA4F14">
              <w:rPr>
                <w:rFonts w:ascii="Times New Roman" w:hAnsi="Times New Roman" w:cs="Times New Roman"/>
                <w:sz w:val="20"/>
                <w:szCs w:val="20"/>
              </w:rPr>
              <w:t xml:space="preserve">, tel que mentionné dans l’article 142-8 du règlement ANC 2015-11. Celui-ci </w:t>
            </w:r>
            <w:proofErr w:type="gramStart"/>
            <w:r w:rsidRPr="00AA4F14">
              <w:rPr>
                <w:rFonts w:ascii="Times New Roman" w:hAnsi="Times New Roman" w:cs="Times New Roman"/>
                <w:sz w:val="20"/>
                <w:szCs w:val="20"/>
              </w:rPr>
              <w:t xml:space="preserve">est  </w:t>
            </w:r>
            <w:r w:rsidRPr="00AA4F14">
              <w:rPr>
                <w:rFonts w:ascii="Times New Roman" w:hAnsi="Times New Roman" w:cs="Times New Roman"/>
                <w:bCs/>
                <w:sz w:val="20"/>
                <w:szCs w:val="20"/>
              </w:rPr>
              <w:t>ensuite</w:t>
            </w:r>
            <w:proofErr w:type="gramEnd"/>
            <w:r w:rsidRPr="00AA4F14">
              <w:rPr>
                <w:rFonts w:ascii="Times New Roman" w:hAnsi="Times New Roman" w:cs="Times New Roman"/>
                <w:bCs/>
                <w:sz w:val="20"/>
                <w:szCs w:val="20"/>
              </w:rPr>
              <w:t xml:space="preserve"> projeté sur 10 ans pour chaque scénario, conformément aux règles décrites à l’article 142-8.</w:t>
            </w:r>
          </w:p>
        </w:tc>
      </w:tr>
      <w:tr w:rsidR="00F37B36" w:rsidRPr="00C80BAE" w14:paraId="59E6C427" w14:textId="77777777" w:rsidTr="0044578D">
        <w:trPr>
          <w:trHeight w:val="409"/>
        </w:trPr>
        <w:tc>
          <w:tcPr>
            <w:tcW w:w="1101" w:type="dxa"/>
          </w:tcPr>
          <w:p w14:paraId="7045C4CC" w14:textId="69BCE77C"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R0810</w:t>
            </w:r>
          </w:p>
        </w:tc>
        <w:tc>
          <w:tcPr>
            <w:tcW w:w="3402" w:type="dxa"/>
          </w:tcPr>
          <w:p w14:paraId="3F9BCCC2" w14:textId="604E69C5"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Montant total des intérêts techniques (F)</w:t>
            </w:r>
          </w:p>
        </w:tc>
        <w:tc>
          <w:tcPr>
            <w:tcW w:w="4739" w:type="dxa"/>
          </w:tcPr>
          <w:p w14:paraId="570AF1B0" w14:textId="38BBE2FB"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À l’ouverture, correspond au </w:t>
            </w:r>
            <w:r w:rsidRPr="00AA4F14">
              <w:rPr>
                <w:rFonts w:ascii="Times New Roman" w:hAnsi="Times New Roman" w:cs="Times New Roman"/>
                <w:sz w:val="20"/>
                <w:szCs w:val="20"/>
              </w:rPr>
              <w:t>montant total des intérêts techniques retenu pour le calcul de la provision pour aléa financiers</w:t>
            </w:r>
            <w:r w:rsidR="00724947" w:rsidRPr="00AA4F14">
              <w:rPr>
                <w:rFonts w:ascii="Times New Roman" w:hAnsi="Times New Roman" w:cs="Times New Roman"/>
                <w:sz w:val="20"/>
                <w:szCs w:val="20"/>
              </w:rPr>
              <w:t xml:space="preserve"> du fonds général</w:t>
            </w:r>
            <w:r w:rsidRPr="00AA4F14">
              <w:rPr>
                <w:rFonts w:ascii="Times New Roman" w:hAnsi="Times New Roman" w:cs="Times New Roman"/>
                <w:sz w:val="20"/>
                <w:szCs w:val="20"/>
              </w:rPr>
              <w:t xml:space="preserve">, tel que mentionné dans l’article 142-8 du règlement ANC 2015-11. Celui-ci </w:t>
            </w:r>
            <w:proofErr w:type="gramStart"/>
            <w:r w:rsidRPr="00AA4F14">
              <w:rPr>
                <w:rFonts w:ascii="Times New Roman" w:hAnsi="Times New Roman" w:cs="Times New Roman"/>
                <w:sz w:val="20"/>
                <w:szCs w:val="20"/>
              </w:rPr>
              <w:t xml:space="preserve">est  </w:t>
            </w:r>
            <w:r w:rsidRPr="00AA4F14">
              <w:rPr>
                <w:rFonts w:ascii="Times New Roman" w:hAnsi="Times New Roman" w:cs="Times New Roman"/>
                <w:bCs/>
                <w:sz w:val="20"/>
                <w:szCs w:val="20"/>
              </w:rPr>
              <w:t>ensuite</w:t>
            </w:r>
            <w:proofErr w:type="gramEnd"/>
            <w:r w:rsidRPr="00AA4F14">
              <w:rPr>
                <w:rFonts w:ascii="Times New Roman" w:hAnsi="Times New Roman" w:cs="Times New Roman"/>
                <w:bCs/>
                <w:sz w:val="20"/>
                <w:szCs w:val="20"/>
              </w:rPr>
              <w:t xml:space="preserve"> projeté sur 10 ans pour chaque scénario, conformément aux règles décrites à l’article 142-8.</w:t>
            </w:r>
          </w:p>
        </w:tc>
      </w:tr>
      <w:tr w:rsidR="00F37B36" w:rsidRPr="00C80BAE" w14:paraId="5C19363F" w14:textId="77777777" w:rsidTr="0044578D">
        <w:trPr>
          <w:trHeight w:val="409"/>
        </w:trPr>
        <w:tc>
          <w:tcPr>
            <w:tcW w:w="1101" w:type="dxa"/>
          </w:tcPr>
          <w:p w14:paraId="04FFF67F" w14:textId="0F097CBB"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R0820</w:t>
            </w:r>
          </w:p>
        </w:tc>
        <w:tc>
          <w:tcPr>
            <w:tcW w:w="3402" w:type="dxa"/>
          </w:tcPr>
          <w:p w14:paraId="6AA00FF2" w14:textId="1FA42DEF"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Montant du minimum contractuellement garanti de PB (G)</w:t>
            </w:r>
          </w:p>
        </w:tc>
        <w:tc>
          <w:tcPr>
            <w:tcW w:w="4739" w:type="dxa"/>
          </w:tcPr>
          <w:p w14:paraId="19909E65" w14:textId="559FD090"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À l’ouverture, correspond au </w:t>
            </w:r>
            <w:r w:rsidRPr="00AA4F14">
              <w:rPr>
                <w:rFonts w:ascii="Times New Roman" w:hAnsi="Times New Roman" w:cs="Times New Roman"/>
                <w:sz w:val="20"/>
                <w:szCs w:val="20"/>
              </w:rPr>
              <w:t>montant minimum contractuellement garanti de participation aux bénéfices retenu pour le calcul de la provision pour aléa financiers</w:t>
            </w:r>
            <w:r w:rsidR="00724947" w:rsidRPr="00AA4F14">
              <w:rPr>
                <w:rFonts w:ascii="Times New Roman" w:hAnsi="Times New Roman" w:cs="Times New Roman"/>
                <w:sz w:val="20"/>
                <w:szCs w:val="20"/>
              </w:rPr>
              <w:t xml:space="preserve"> du fonds général</w:t>
            </w:r>
            <w:r w:rsidRPr="00AA4F14">
              <w:rPr>
                <w:rFonts w:ascii="Times New Roman" w:hAnsi="Times New Roman" w:cs="Times New Roman"/>
                <w:sz w:val="20"/>
                <w:szCs w:val="20"/>
              </w:rPr>
              <w:t xml:space="preserve">, tel que mentionné dans l’article 142-8 du règlement ANC 2015-11. Celui-ci est </w:t>
            </w:r>
            <w:r w:rsidRPr="00AA4F14">
              <w:rPr>
                <w:rFonts w:ascii="Times New Roman" w:hAnsi="Times New Roman" w:cs="Times New Roman"/>
                <w:bCs/>
                <w:sz w:val="20"/>
                <w:szCs w:val="20"/>
              </w:rPr>
              <w:t>ensuite projeté sur 10 ans pour chaque scénario, conformément aux règles décrites à l’article 142-8.</w:t>
            </w:r>
          </w:p>
        </w:tc>
      </w:tr>
      <w:tr w:rsidR="00F37B36" w:rsidRPr="00C80BAE" w14:paraId="0F6144BB" w14:textId="77777777" w:rsidTr="0044578D">
        <w:trPr>
          <w:trHeight w:val="409"/>
        </w:trPr>
        <w:tc>
          <w:tcPr>
            <w:tcW w:w="1101" w:type="dxa"/>
          </w:tcPr>
          <w:p w14:paraId="4E42F982" w14:textId="7A02CEFF"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R0830</w:t>
            </w:r>
          </w:p>
        </w:tc>
        <w:tc>
          <w:tcPr>
            <w:tcW w:w="3402" w:type="dxa"/>
          </w:tcPr>
          <w:p w14:paraId="7A6ADC45" w14:textId="50735901"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Montant moyen des provisions mathématiques constituées (H)</w:t>
            </w:r>
          </w:p>
        </w:tc>
        <w:tc>
          <w:tcPr>
            <w:tcW w:w="4739" w:type="dxa"/>
          </w:tcPr>
          <w:p w14:paraId="7091406B" w14:textId="226F49A7"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Correspond à la moyenne des provisions mathématiques d’ouverture et de clôture</w:t>
            </w:r>
            <w:r w:rsidR="00724947" w:rsidRPr="00AA4F14">
              <w:rPr>
                <w:rFonts w:ascii="Times New Roman" w:hAnsi="Times New Roman" w:cs="Times New Roman"/>
                <w:bCs/>
                <w:sz w:val="20"/>
                <w:szCs w:val="20"/>
              </w:rPr>
              <w:t xml:space="preserve"> du fonds général</w:t>
            </w:r>
            <w:r w:rsidRPr="00AA4F14">
              <w:rPr>
                <w:rFonts w:ascii="Times New Roman" w:hAnsi="Times New Roman" w:cs="Times New Roman"/>
                <w:bCs/>
                <w:sz w:val="20"/>
                <w:szCs w:val="20"/>
              </w:rPr>
              <w:t>, pour chaque exercice.</w:t>
            </w:r>
          </w:p>
        </w:tc>
      </w:tr>
      <w:tr w:rsidR="00F37B36" w:rsidRPr="00C80BAE" w14:paraId="49E32103" w14:textId="77777777" w:rsidTr="0044578D">
        <w:trPr>
          <w:trHeight w:val="409"/>
        </w:trPr>
        <w:tc>
          <w:tcPr>
            <w:tcW w:w="1101" w:type="dxa"/>
          </w:tcPr>
          <w:p w14:paraId="21967727" w14:textId="58CC0E43"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R0840</w:t>
            </w:r>
          </w:p>
        </w:tc>
        <w:tc>
          <w:tcPr>
            <w:tcW w:w="3402" w:type="dxa"/>
          </w:tcPr>
          <w:p w14:paraId="2465D602" w14:textId="18EAE85B"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80% * (E)</w:t>
            </w:r>
          </w:p>
        </w:tc>
        <w:tc>
          <w:tcPr>
            <w:tcW w:w="4739" w:type="dxa"/>
          </w:tcPr>
          <w:p w14:paraId="71CFBF19" w14:textId="1A4ACD81"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Correspond </w:t>
            </w:r>
            <w:r w:rsidR="00776C5E" w:rsidRPr="00AA4F14">
              <w:rPr>
                <w:rFonts w:ascii="Times New Roman" w:hAnsi="Times New Roman" w:cs="Times New Roman"/>
                <w:bCs/>
                <w:sz w:val="20"/>
                <w:szCs w:val="20"/>
              </w:rPr>
              <w:t xml:space="preserve">à </w:t>
            </w:r>
            <w:r w:rsidRPr="00AA4F14">
              <w:rPr>
                <w:rFonts w:ascii="Times New Roman" w:hAnsi="Times New Roman" w:cs="Times New Roman"/>
                <w:bCs/>
                <w:sz w:val="20"/>
                <w:szCs w:val="20"/>
              </w:rPr>
              <w:t>80% du taux de rendement réel des actifs</w:t>
            </w:r>
            <w:r w:rsidR="00724947" w:rsidRPr="00AA4F14">
              <w:rPr>
                <w:rFonts w:ascii="Times New Roman" w:hAnsi="Times New Roman" w:cs="Times New Roman"/>
                <w:bCs/>
                <w:sz w:val="20"/>
                <w:szCs w:val="20"/>
              </w:rPr>
              <w:t xml:space="preserve"> du fonds général.</w:t>
            </w:r>
          </w:p>
        </w:tc>
      </w:tr>
      <w:tr w:rsidR="00F37B36" w:rsidRPr="00C80BAE" w14:paraId="3118FE6E" w14:textId="77777777" w:rsidTr="0044578D">
        <w:trPr>
          <w:trHeight w:val="70"/>
        </w:trPr>
        <w:tc>
          <w:tcPr>
            <w:tcW w:w="1101" w:type="dxa"/>
          </w:tcPr>
          <w:p w14:paraId="29763E8B" w14:textId="274C0379" w:rsidR="00F37B36" w:rsidRPr="00AA4F14" w:rsidRDefault="00F37B36" w:rsidP="00270A08">
            <w:pPr>
              <w:rPr>
                <w:rFonts w:ascii="Times New Roman" w:hAnsi="Times New Roman" w:cs="Times New Roman"/>
                <w:sz w:val="20"/>
                <w:szCs w:val="20"/>
                <w:highlight w:val="green"/>
              </w:rPr>
            </w:pPr>
            <w:r w:rsidRPr="00AA4F14">
              <w:rPr>
                <w:rFonts w:ascii="Times New Roman" w:hAnsi="Times New Roman" w:cs="Times New Roman"/>
                <w:sz w:val="20"/>
                <w:szCs w:val="20"/>
              </w:rPr>
              <w:t>R0850</w:t>
            </w:r>
          </w:p>
        </w:tc>
        <w:tc>
          <w:tcPr>
            <w:tcW w:w="3402" w:type="dxa"/>
          </w:tcPr>
          <w:p w14:paraId="384A14CB" w14:textId="7456A69C"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[(F)+(G</w:t>
            </w:r>
            <w:proofErr w:type="gramStart"/>
            <w:r w:rsidRPr="00AA4F14">
              <w:rPr>
                <w:rFonts w:ascii="Times New Roman" w:hAnsi="Times New Roman" w:cs="Times New Roman"/>
                <w:sz w:val="20"/>
                <w:szCs w:val="20"/>
              </w:rPr>
              <w:t>)]/</w:t>
            </w:r>
            <w:proofErr w:type="gramEnd"/>
            <w:r w:rsidRPr="00AA4F14">
              <w:rPr>
                <w:rFonts w:ascii="Times New Roman" w:hAnsi="Times New Roman" w:cs="Times New Roman"/>
                <w:sz w:val="20"/>
                <w:szCs w:val="20"/>
              </w:rPr>
              <w:t>(H)</w:t>
            </w:r>
          </w:p>
        </w:tc>
        <w:tc>
          <w:tcPr>
            <w:tcW w:w="4739" w:type="dxa"/>
          </w:tcPr>
          <w:p w14:paraId="0D0C6F5D" w14:textId="0DDA2D01"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bCs/>
                <w:sz w:val="20"/>
                <w:szCs w:val="20"/>
              </w:rPr>
              <w:t xml:space="preserve">Correspond à la somme du </w:t>
            </w:r>
            <w:r w:rsidRPr="00AA4F14">
              <w:rPr>
                <w:rFonts w:ascii="Times New Roman" w:hAnsi="Times New Roman" w:cs="Times New Roman"/>
                <w:sz w:val="20"/>
                <w:szCs w:val="20"/>
              </w:rPr>
              <w:t xml:space="preserve">montant total des intérêts techniques et du montant du minimum contractuellement garanti de PB </w:t>
            </w:r>
            <w:r w:rsidR="00724947" w:rsidRPr="00AA4F14">
              <w:rPr>
                <w:rFonts w:ascii="Times New Roman" w:hAnsi="Times New Roman" w:cs="Times New Roman"/>
                <w:sz w:val="20"/>
                <w:szCs w:val="20"/>
              </w:rPr>
              <w:t xml:space="preserve">(au niveau du fonds général uniquement) </w:t>
            </w:r>
            <w:r w:rsidRPr="00AA4F14">
              <w:rPr>
                <w:rFonts w:ascii="Times New Roman" w:hAnsi="Times New Roman" w:cs="Times New Roman"/>
                <w:sz w:val="20"/>
                <w:szCs w:val="20"/>
              </w:rPr>
              <w:t>divisée par le montant moyen des provisions mathématiques constituées</w:t>
            </w:r>
            <w:r w:rsidR="00724947" w:rsidRPr="00AA4F14">
              <w:rPr>
                <w:rFonts w:ascii="Times New Roman" w:hAnsi="Times New Roman" w:cs="Times New Roman"/>
                <w:sz w:val="20"/>
                <w:szCs w:val="20"/>
              </w:rPr>
              <w:t xml:space="preserve"> (au niveau du fonds général)</w:t>
            </w:r>
            <w:r w:rsidRPr="00AA4F14">
              <w:rPr>
                <w:rFonts w:ascii="Times New Roman" w:hAnsi="Times New Roman" w:cs="Times New Roman"/>
                <w:sz w:val="20"/>
                <w:szCs w:val="20"/>
              </w:rPr>
              <w:t>.</w:t>
            </w:r>
          </w:p>
        </w:tc>
      </w:tr>
      <w:tr w:rsidR="00F37B36" w:rsidRPr="00C80BAE" w14:paraId="4526039E" w14:textId="77777777" w:rsidTr="0044578D">
        <w:trPr>
          <w:trHeight w:val="409"/>
        </w:trPr>
        <w:tc>
          <w:tcPr>
            <w:tcW w:w="1101" w:type="dxa"/>
          </w:tcPr>
          <w:p w14:paraId="26E58BEB" w14:textId="2A2DF859"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R0860</w:t>
            </w:r>
          </w:p>
        </w:tc>
        <w:tc>
          <w:tcPr>
            <w:tcW w:w="3402" w:type="dxa"/>
          </w:tcPr>
          <w:p w14:paraId="4F357490" w14:textId="04928349" w:rsidR="00F37B36" w:rsidRPr="00AA4F14" w:rsidRDefault="00F37B36" w:rsidP="00270A08">
            <w:pPr>
              <w:rPr>
                <w:rFonts w:ascii="Times New Roman" w:hAnsi="Times New Roman" w:cs="Times New Roman"/>
                <w:sz w:val="20"/>
                <w:szCs w:val="20"/>
              </w:rPr>
            </w:pPr>
            <w:r w:rsidRPr="00AA4F14">
              <w:rPr>
                <w:rFonts w:ascii="Times New Roman" w:hAnsi="Times New Roman" w:cs="Times New Roman"/>
                <w:sz w:val="20"/>
                <w:szCs w:val="20"/>
              </w:rPr>
              <w:t>Test de "déclenchement" de la PAF positif (Oui/Non)</w:t>
            </w:r>
          </w:p>
        </w:tc>
        <w:tc>
          <w:tcPr>
            <w:tcW w:w="4739" w:type="dxa"/>
          </w:tcPr>
          <w:p w14:paraId="50C58902" w14:textId="5C9CFEE6" w:rsidR="00F37B36" w:rsidRPr="00AA4F14" w:rsidRDefault="00F37B36" w:rsidP="00270A08">
            <w:pPr>
              <w:rPr>
                <w:rFonts w:ascii="Times New Roman" w:hAnsi="Times New Roman" w:cs="Times New Roman"/>
                <w:bCs/>
                <w:sz w:val="20"/>
                <w:szCs w:val="20"/>
              </w:rPr>
            </w:pPr>
            <w:r w:rsidRPr="00AA4F14">
              <w:rPr>
                <w:rFonts w:ascii="Times New Roman" w:hAnsi="Times New Roman" w:cs="Times New Roman"/>
                <w:sz w:val="20"/>
                <w:szCs w:val="20"/>
              </w:rPr>
              <w:t>Le test de déclenchement est positif si le quotient des intérêts techniques et minimum contractuellement garanti de PB par le montant moyen des provisions mathématiques</w:t>
            </w:r>
            <w:r w:rsidR="00724947" w:rsidRPr="00AA4F14">
              <w:rPr>
                <w:rFonts w:ascii="Times New Roman" w:hAnsi="Times New Roman" w:cs="Times New Roman"/>
                <w:sz w:val="20"/>
                <w:szCs w:val="20"/>
              </w:rPr>
              <w:t xml:space="preserve"> tel que calculé en R0850</w:t>
            </w:r>
            <w:r w:rsidRPr="00AA4F14">
              <w:rPr>
                <w:rFonts w:ascii="Times New Roman" w:hAnsi="Times New Roman" w:cs="Times New Roman"/>
                <w:sz w:val="20"/>
                <w:szCs w:val="20"/>
              </w:rPr>
              <w:t xml:space="preserve"> est supérieur à 80% du taux de rendement réel des actifs</w:t>
            </w:r>
            <w:r w:rsidR="00724947" w:rsidRPr="00AA4F14">
              <w:rPr>
                <w:rFonts w:ascii="Times New Roman" w:hAnsi="Times New Roman" w:cs="Times New Roman"/>
                <w:sz w:val="20"/>
                <w:szCs w:val="20"/>
              </w:rPr>
              <w:t>.</w:t>
            </w:r>
          </w:p>
        </w:tc>
      </w:tr>
    </w:tbl>
    <w:p w14:paraId="76C88871" w14:textId="4CBB80D5" w:rsidR="00251C21" w:rsidRDefault="00251C21" w:rsidP="0095672C">
      <w:pPr>
        <w:rPr>
          <w:rFonts w:ascii="Times New Roman" w:hAnsi="Times New Roman"/>
        </w:rPr>
      </w:pPr>
    </w:p>
    <w:p w14:paraId="504A399A" w14:textId="77777777" w:rsidR="00251C21" w:rsidRDefault="00251C21">
      <w:pPr>
        <w:rPr>
          <w:rFonts w:ascii="Times New Roman" w:hAnsi="Times New Roman"/>
        </w:rPr>
      </w:pPr>
      <w:r>
        <w:rPr>
          <w:rFonts w:ascii="Times New Roman" w:hAnsi="Times New Roman"/>
        </w:rPr>
        <w:br w:type="page"/>
      </w:r>
    </w:p>
    <w:p w14:paraId="4A90BB10" w14:textId="77777777" w:rsidR="00251C21" w:rsidRDefault="00251C21" w:rsidP="00251C21"/>
    <w:p w14:paraId="2D6520CB" w14:textId="77777777" w:rsidR="00251C21" w:rsidRDefault="00251C21" w:rsidP="00251C21">
      <w:pPr>
        <w:pStyle w:val="Paragraphedeliste"/>
        <w:numPr>
          <w:ilvl w:val="0"/>
          <w:numId w:val="74"/>
        </w:numPr>
        <w:rPr>
          <w:b/>
        </w:rPr>
      </w:pPr>
      <w:r>
        <w:rPr>
          <w:b/>
        </w:rPr>
        <w:t>Tableau</w:t>
      </w:r>
    </w:p>
    <w:p w14:paraId="2003CC26" w14:textId="77777777" w:rsidR="00637AB7" w:rsidRDefault="00637AB7" w:rsidP="0095672C">
      <w:pPr>
        <w:rPr>
          <w:rFonts w:ascii="Times New Roman" w:hAnsi="Times New Roman"/>
        </w:rPr>
      </w:pPr>
    </w:p>
    <w:p w14:paraId="7CE66FEA" w14:textId="718D2233" w:rsidR="00251C21" w:rsidRDefault="00251C21" w:rsidP="0095672C">
      <w:pPr>
        <w:rPr>
          <w:rFonts w:ascii="Times New Roman" w:hAnsi="Times New Roman"/>
        </w:rPr>
      </w:pPr>
      <w:r w:rsidRPr="00251C21">
        <w:rPr>
          <w:noProof/>
          <w:lang w:bidi="ar-SA"/>
        </w:rPr>
        <w:drawing>
          <wp:inline distT="0" distB="0" distL="0" distR="0" wp14:anchorId="5F03C433" wp14:editId="5FD7B6D0">
            <wp:extent cx="5731510" cy="757726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7577261"/>
                    </a:xfrm>
                    <a:prstGeom prst="rect">
                      <a:avLst/>
                    </a:prstGeom>
                    <a:noFill/>
                    <a:ln>
                      <a:noFill/>
                    </a:ln>
                  </pic:spPr>
                </pic:pic>
              </a:graphicData>
            </a:graphic>
          </wp:inline>
        </w:drawing>
      </w:r>
    </w:p>
    <w:p w14:paraId="2F606A0E" w14:textId="77777777" w:rsidR="00251C21" w:rsidRDefault="00251C21" w:rsidP="0095672C">
      <w:pPr>
        <w:rPr>
          <w:rFonts w:ascii="Times New Roman" w:hAnsi="Times New Roman"/>
        </w:rPr>
      </w:pPr>
    </w:p>
    <w:p w14:paraId="20D17347" w14:textId="406ECF6A" w:rsidR="00251C21" w:rsidRDefault="00251C21" w:rsidP="0095672C">
      <w:pPr>
        <w:rPr>
          <w:rFonts w:ascii="Times New Roman" w:hAnsi="Times New Roman"/>
        </w:rPr>
      </w:pPr>
      <w:r w:rsidRPr="00251C21">
        <w:rPr>
          <w:noProof/>
          <w:lang w:bidi="ar-SA"/>
        </w:rPr>
        <w:lastRenderedPageBreak/>
        <w:drawing>
          <wp:inline distT="0" distB="0" distL="0" distR="0" wp14:anchorId="30FDFE5D" wp14:editId="70258A4A">
            <wp:extent cx="5731510" cy="7632995"/>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7632995"/>
                    </a:xfrm>
                    <a:prstGeom prst="rect">
                      <a:avLst/>
                    </a:prstGeom>
                    <a:noFill/>
                    <a:ln>
                      <a:noFill/>
                    </a:ln>
                  </pic:spPr>
                </pic:pic>
              </a:graphicData>
            </a:graphic>
          </wp:inline>
        </w:drawing>
      </w:r>
    </w:p>
    <w:p w14:paraId="1E403C9E" w14:textId="77777777" w:rsidR="00251C21" w:rsidRDefault="00251C21" w:rsidP="0095672C">
      <w:pPr>
        <w:rPr>
          <w:rFonts w:ascii="Times New Roman" w:hAnsi="Times New Roman"/>
        </w:rPr>
      </w:pPr>
    </w:p>
    <w:p w14:paraId="21623A5D" w14:textId="77777777" w:rsidR="00251C21" w:rsidRDefault="00251C21" w:rsidP="0095672C">
      <w:pPr>
        <w:rPr>
          <w:rFonts w:ascii="Times New Roman" w:hAnsi="Times New Roman"/>
        </w:rPr>
      </w:pPr>
    </w:p>
    <w:p w14:paraId="5065C7C4" w14:textId="77777777" w:rsidR="00251C21" w:rsidRDefault="00251C21" w:rsidP="0095672C">
      <w:pPr>
        <w:rPr>
          <w:rFonts w:ascii="Times New Roman" w:hAnsi="Times New Roman"/>
        </w:rPr>
      </w:pPr>
    </w:p>
    <w:p w14:paraId="6BAD9D11" w14:textId="353193AD" w:rsidR="00251C21" w:rsidRDefault="00251C21" w:rsidP="0095672C">
      <w:pPr>
        <w:rPr>
          <w:rFonts w:ascii="Times New Roman" w:hAnsi="Times New Roman"/>
        </w:rPr>
      </w:pPr>
      <w:r w:rsidRPr="00251C21">
        <w:rPr>
          <w:noProof/>
          <w:lang w:bidi="ar-SA"/>
        </w:rPr>
        <w:lastRenderedPageBreak/>
        <w:drawing>
          <wp:inline distT="0" distB="0" distL="0" distR="0" wp14:anchorId="0A6744C5" wp14:editId="01515085">
            <wp:extent cx="5731510" cy="7619193"/>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7619193"/>
                    </a:xfrm>
                    <a:prstGeom prst="rect">
                      <a:avLst/>
                    </a:prstGeom>
                    <a:noFill/>
                    <a:ln>
                      <a:noFill/>
                    </a:ln>
                  </pic:spPr>
                </pic:pic>
              </a:graphicData>
            </a:graphic>
          </wp:inline>
        </w:drawing>
      </w:r>
    </w:p>
    <w:p w14:paraId="7E6F8078" w14:textId="77777777" w:rsidR="00251C21" w:rsidRDefault="00251C21" w:rsidP="0095672C">
      <w:pPr>
        <w:rPr>
          <w:rFonts w:ascii="Times New Roman" w:hAnsi="Times New Roman"/>
        </w:rPr>
      </w:pPr>
    </w:p>
    <w:p w14:paraId="16A07FFF" w14:textId="77777777" w:rsidR="00251C21" w:rsidRDefault="00251C21" w:rsidP="0095672C">
      <w:pPr>
        <w:rPr>
          <w:rFonts w:ascii="Times New Roman" w:hAnsi="Times New Roman"/>
        </w:rPr>
      </w:pPr>
    </w:p>
    <w:p w14:paraId="265B0B9E" w14:textId="77777777" w:rsidR="00251C21" w:rsidRDefault="00251C21" w:rsidP="0095672C">
      <w:pPr>
        <w:rPr>
          <w:rFonts w:ascii="Times New Roman" w:hAnsi="Times New Roman"/>
        </w:rPr>
      </w:pPr>
    </w:p>
    <w:p w14:paraId="0DD965CC" w14:textId="184C571D" w:rsidR="00251C21" w:rsidRDefault="00251C21" w:rsidP="0095672C">
      <w:pPr>
        <w:rPr>
          <w:rFonts w:ascii="Times New Roman" w:hAnsi="Times New Roman"/>
        </w:rPr>
      </w:pPr>
      <w:r w:rsidRPr="00251C21">
        <w:rPr>
          <w:noProof/>
          <w:lang w:bidi="ar-SA"/>
        </w:rPr>
        <w:lastRenderedPageBreak/>
        <w:drawing>
          <wp:inline distT="0" distB="0" distL="0" distR="0" wp14:anchorId="1EB719CB" wp14:editId="170B0816">
            <wp:extent cx="5731510" cy="7619193"/>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7619193"/>
                    </a:xfrm>
                    <a:prstGeom prst="rect">
                      <a:avLst/>
                    </a:prstGeom>
                    <a:noFill/>
                    <a:ln>
                      <a:noFill/>
                    </a:ln>
                  </pic:spPr>
                </pic:pic>
              </a:graphicData>
            </a:graphic>
          </wp:inline>
        </w:drawing>
      </w:r>
    </w:p>
    <w:p w14:paraId="6822FBD4" w14:textId="77777777" w:rsidR="00251C21" w:rsidRDefault="00251C21" w:rsidP="0095672C">
      <w:pPr>
        <w:rPr>
          <w:rFonts w:ascii="Times New Roman" w:hAnsi="Times New Roman"/>
        </w:rPr>
      </w:pPr>
    </w:p>
    <w:p w14:paraId="33D0DCFD" w14:textId="77777777" w:rsidR="00251C21" w:rsidRDefault="00251C21" w:rsidP="0095672C">
      <w:pPr>
        <w:rPr>
          <w:rFonts w:ascii="Times New Roman" w:hAnsi="Times New Roman"/>
        </w:rPr>
      </w:pPr>
    </w:p>
    <w:p w14:paraId="4FD1794B" w14:textId="77777777" w:rsidR="00251C21" w:rsidRPr="00166F34" w:rsidRDefault="00251C21" w:rsidP="0095672C">
      <w:pPr>
        <w:rPr>
          <w:rFonts w:ascii="Times New Roman" w:hAnsi="Times New Roman"/>
        </w:rPr>
      </w:pPr>
    </w:p>
    <w:sectPr w:rsidR="00251C21" w:rsidRPr="00166F34"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A41DE3" w:rsidRDefault="00A41DE3" w:rsidP="0051516F">
      <w:pPr>
        <w:spacing w:after="0" w:line="240" w:lineRule="auto"/>
      </w:pPr>
      <w:r>
        <w:separator/>
      </w:r>
    </w:p>
  </w:endnote>
  <w:endnote w:type="continuationSeparator" w:id="0">
    <w:p w14:paraId="2B5C03B9" w14:textId="77777777" w:rsidR="00A41DE3" w:rsidRDefault="00A41DE3"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A41DE3" w:rsidRDefault="00A41DE3" w:rsidP="0051516F">
      <w:pPr>
        <w:spacing w:after="0" w:line="240" w:lineRule="auto"/>
      </w:pPr>
      <w:r>
        <w:separator/>
      </w:r>
    </w:p>
  </w:footnote>
  <w:footnote w:type="continuationSeparator" w:id="0">
    <w:p w14:paraId="1A3B888B" w14:textId="77777777" w:rsidR="00A41DE3" w:rsidRDefault="00A41DE3"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186BD8"/>
    <w:multiLevelType w:val="hybridMultilevel"/>
    <w:tmpl w:val="476691F4"/>
    <w:lvl w:ilvl="0" w:tplc="BC9AF4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5"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7"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4"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5" w15:restartNumberingAfterBreak="0">
    <w:nsid w:val="41AD3F85"/>
    <w:multiLevelType w:val="hybridMultilevel"/>
    <w:tmpl w:val="476691F4"/>
    <w:lvl w:ilvl="0" w:tplc="BC9AF4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8"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5"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6"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0"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2"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4"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3"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5"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7"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2" w15:restartNumberingAfterBreak="0">
    <w:nsid w:val="7B566ECE"/>
    <w:multiLevelType w:val="hybridMultilevel"/>
    <w:tmpl w:val="1DFCBC42"/>
    <w:lvl w:ilvl="0" w:tplc="E7C03F4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1"/>
  </w:num>
  <w:num w:numId="2">
    <w:abstractNumId w:val="48"/>
  </w:num>
  <w:num w:numId="3">
    <w:abstractNumId w:val="70"/>
  </w:num>
  <w:num w:numId="4">
    <w:abstractNumId w:val="9"/>
  </w:num>
  <w:num w:numId="5">
    <w:abstractNumId w:val="31"/>
  </w:num>
  <w:num w:numId="6">
    <w:abstractNumId w:val="45"/>
  </w:num>
  <w:num w:numId="7">
    <w:abstractNumId w:val="52"/>
  </w:num>
  <w:num w:numId="8">
    <w:abstractNumId w:val="0"/>
  </w:num>
  <w:num w:numId="9">
    <w:abstractNumId w:val="7"/>
  </w:num>
  <w:num w:numId="10">
    <w:abstractNumId w:val="69"/>
  </w:num>
  <w:num w:numId="11">
    <w:abstractNumId w:val="5"/>
  </w:num>
  <w:num w:numId="12">
    <w:abstractNumId w:val="29"/>
  </w:num>
  <w:num w:numId="13">
    <w:abstractNumId w:val="49"/>
  </w:num>
  <w:num w:numId="14">
    <w:abstractNumId w:val="58"/>
  </w:num>
  <w:num w:numId="15">
    <w:abstractNumId w:val="63"/>
  </w:num>
  <w:num w:numId="16">
    <w:abstractNumId w:val="14"/>
  </w:num>
  <w:num w:numId="17">
    <w:abstractNumId w:val="55"/>
  </w:num>
  <w:num w:numId="18">
    <w:abstractNumId w:val="32"/>
  </w:num>
  <w:num w:numId="19">
    <w:abstractNumId w:val="61"/>
  </w:num>
  <w:num w:numId="20">
    <w:abstractNumId w:val="56"/>
  </w:num>
  <w:num w:numId="21">
    <w:abstractNumId w:val="27"/>
  </w:num>
  <w:num w:numId="22">
    <w:abstractNumId w:val="57"/>
  </w:num>
  <w:num w:numId="23">
    <w:abstractNumId w:val="15"/>
  </w:num>
  <w:num w:numId="24">
    <w:abstractNumId w:val="33"/>
  </w:num>
  <w:num w:numId="25">
    <w:abstractNumId w:val="51"/>
  </w:num>
  <w:num w:numId="26">
    <w:abstractNumId w:val="73"/>
  </w:num>
  <w:num w:numId="27">
    <w:abstractNumId w:val="16"/>
  </w:num>
  <w:num w:numId="28">
    <w:abstractNumId w:val="3"/>
  </w:num>
  <w:num w:numId="29">
    <w:abstractNumId w:val="17"/>
  </w:num>
  <w:num w:numId="30">
    <w:abstractNumId w:val="13"/>
  </w:num>
  <w:num w:numId="31">
    <w:abstractNumId w:val="30"/>
  </w:num>
  <w:num w:numId="32">
    <w:abstractNumId w:val="67"/>
  </w:num>
  <w:num w:numId="33">
    <w:abstractNumId w:val="47"/>
  </w:num>
  <w:num w:numId="34">
    <w:abstractNumId w:val="59"/>
  </w:num>
  <w:num w:numId="35">
    <w:abstractNumId w:val="65"/>
  </w:num>
  <w:num w:numId="36">
    <w:abstractNumId w:val="1"/>
  </w:num>
  <w:num w:numId="37">
    <w:abstractNumId w:val="23"/>
  </w:num>
  <w:num w:numId="38">
    <w:abstractNumId w:val="64"/>
  </w:num>
  <w:num w:numId="39">
    <w:abstractNumId w:val="19"/>
  </w:num>
  <w:num w:numId="40">
    <w:abstractNumId w:val="44"/>
  </w:num>
  <w:num w:numId="41">
    <w:abstractNumId w:val="60"/>
  </w:num>
  <w:num w:numId="42">
    <w:abstractNumId w:val="11"/>
  </w:num>
  <w:num w:numId="43">
    <w:abstractNumId w:val="71"/>
  </w:num>
  <w:num w:numId="44">
    <w:abstractNumId w:val="6"/>
  </w:num>
  <w:num w:numId="45">
    <w:abstractNumId w:val="34"/>
  </w:num>
  <w:num w:numId="46">
    <w:abstractNumId w:val="28"/>
  </w:num>
  <w:num w:numId="47">
    <w:abstractNumId w:val="42"/>
  </w:num>
  <w:num w:numId="48">
    <w:abstractNumId w:val="39"/>
  </w:num>
  <w:num w:numId="49">
    <w:abstractNumId w:val="50"/>
  </w:num>
  <w:num w:numId="50">
    <w:abstractNumId w:val="22"/>
  </w:num>
  <w:num w:numId="51">
    <w:abstractNumId w:val="66"/>
  </w:num>
  <w:num w:numId="52">
    <w:abstractNumId w:val="8"/>
  </w:num>
  <w:num w:numId="53">
    <w:abstractNumId w:val="2"/>
  </w:num>
  <w:num w:numId="54">
    <w:abstractNumId w:val="24"/>
  </w:num>
  <w:num w:numId="55">
    <w:abstractNumId w:val="25"/>
  </w:num>
  <w:num w:numId="56">
    <w:abstractNumId w:val="26"/>
  </w:num>
  <w:num w:numId="57">
    <w:abstractNumId w:val="40"/>
  </w:num>
  <w:num w:numId="58">
    <w:abstractNumId w:val="46"/>
  </w:num>
  <w:num w:numId="59">
    <w:abstractNumId w:val="37"/>
  </w:num>
  <w:num w:numId="60">
    <w:abstractNumId w:val="62"/>
  </w:num>
  <w:num w:numId="61">
    <w:abstractNumId w:val="4"/>
  </w:num>
  <w:num w:numId="62">
    <w:abstractNumId w:val="53"/>
  </w:num>
  <w:num w:numId="63">
    <w:abstractNumId w:val="54"/>
  </w:num>
  <w:num w:numId="64">
    <w:abstractNumId w:val="20"/>
  </w:num>
  <w:num w:numId="65">
    <w:abstractNumId w:val="43"/>
  </w:num>
  <w:num w:numId="66">
    <w:abstractNumId w:val="41"/>
  </w:num>
  <w:num w:numId="67">
    <w:abstractNumId w:val="38"/>
  </w:num>
  <w:num w:numId="68">
    <w:abstractNumId w:val="68"/>
  </w:num>
  <w:num w:numId="69">
    <w:abstractNumId w:val="12"/>
  </w:num>
  <w:num w:numId="70">
    <w:abstractNumId w:val="36"/>
  </w:num>
  <w:num w:numId="71">
    <w:abstractNumId w:val="10"/>
  </w:num>
  <w:num w:numId="72">
    <w:abstractNumId w:val="72"/>
  </w:num>
  <w:num w:numId="73">
    <w:abstractNumId w:val="35"/>
  </w:num>
  <w:num w:numId="74">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2983"/>
    <w:rsid w:val="00026F3F"/>
    <w:rsid w:val="00035FBF"/>
    <w:rsid w:val="00036E79"/>
    <w:rsid w:val="00044E7C"/>
    <w:rsid w:val="00045F07"/>
    <w:rsid w:val="00053333"/>
    <w:rsid w:val="00053D9E"/>
    <w:rsid w:val="00056F3B"/>
    <w:rsid w:val="000570D1"/>
    <w:rsid w:val="00074077"/>
    <w:rsid w:val="00076C40"/>
    <w:rsid w:val="00080895"/>
    <w:rsid w:val="00082D34"/>
    <w:rsid w:val="00085583"/>
    <w:rsid w:val="00085D2D"/>
    <w:rsid w:val="00095251"/>
    <w:rsid w:val="00095399"/>
    <w:rsid w:val="00097A27"/>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A41"/>
    <w:rsid w:val="001441D4"/>
    <w:rsid w:val="00144777"/>
    <w:rsid w:val="00157CC7"/>
    <w:rsid w:val="001635A8"/>
    <w:rsid w:val="00165936"/>
    <w:rsid w:val="00166F34"/>
    <w:rsid w:val="001716A8"/>
    <w:rsid w:val="0017378A"/>
    <w:rsid w:val="00175AA7"/>
    <w:rsid w:val="00180169"/>
    <w:rsid w:val="00182441"/>
    <w:rsid w:val="00182F92"/>
    <w:rsid w:val="00187BC4"/>
    <w:rsid w:val="0019116F"/>
    <w:rsid w:val="0019271B"/>
    <w:rsid w:val="0019645C"/>
    <w:rsid w:val="001A6891"/>
    <w:rsid w:val="001B2D41"/>
    <w:rsid w:val="001B67DD"/>
    <w:rsid w:val="001D06F5"/>
    <w:rsid w:val="001D0DE2"/>
    <w:rsid w:val="001D212F"/>
    <w:rsid w:val="001D2292"/>
    <w:rsid w:val="001D3D3D"/>
    <w:rsid w:val="001D4914"/>
    <w:rsid w:val="001E7E5D"/>
    <w:rsid w:val="001F33AD"/>
    <w:rsid w:val="002037B9"/>
    <w:rsid w:val="0020511C"/>
    <w:rsid w:val="0020548A"/>
    <w:rsid w:val="0020581A"/>
    <w:rsid w:val="0020709D"/>
    <w:rsid w:val="00213DFA"/>
    <w:rsid w:val="00214026"/>
    <w:rsid w:val="0022080E"/>
    <w:rsid w:val="002247D6"/>
    <w:rsid w:val="00226AF2"/>
    <w:rsid w:val="00235E62"/>
    <w:rsid w:val="00240D74"/>
    <w:rsid w:val="00241EF2"/>
    <w:rsid w:val="002447AA"/>
    <w:rsid w:val="00251C21"/>
    <w:rsid w:val="0025281F"/>
    <w:rsid w:val="00262318"/>
    <w:rsid w:val="00262375"/>
    <w:rsid w:val="00266BEC"/>
    <w:rsid w:val="00270A08"/>
    <w:rsid w:val="00276645"/>
    <w:rsid w:val="00276C4C"/>
    <w:rsid w:val="00280E4D"/>
    <w:rsid w:val="00284994"/>
    <w:rsid w:val="0028500E"/>
    <w:rsid w:val="00286AA4"/>
    <w:rsid w:val="0029352E"/>
    <w:rsid w:val="002A01AC"/>
    <w:rsid w:val="002A0ACD"/>
    <w:rsid w:val="002A2F57"/>
    <w:rsid w:val="002A4393"/>
    <w:rsid w:val="002B48D4"/>
    <w:rsid w:val="002C06A5"/>
    <w:rsid w:val="002C253B"/>
    <w:rsid w:val="002C5083"/>
    <w:rsid w:val="002D07BB"/>
    <w:rsid w:val="002D7C8F"/>
    <w:rsid w:val="002E120A"/>
    <w:rsid w:val="002E1D2D"/>
    <w:rsid w:val="002E246F"/>
    <w:rsid w:val="002E2940"/>
    <w:rsid w:val="002E4D76"/>
    <w:rsid w:val="002E5263"/>
    <w:rsid w:val="002E5306"/>
    <w:rsid w:val="002E770C"/>
    <w:rsid w:val="002F0892"/>
    <w:rsid w:val="003026E0"/>
    <w:rsid w:val="00302DC9"/>
    <w:rsid w:val="00306742"/>
    <w:rsid w:val="00311F5E"/>
    <w:rsid w:val="00312902"/>
    <w:rsid w:val="0031378D"/>
    <w:rsid w:val="003175FF"/>
    <w:rsid w:val="00317AA6"/>
    <w:rsid w:val="00321B3B"/>
    <w:rsid w:val="00325F40"/>
    <w:rsid w:val="00330A0E"/>
    <w:rsid w:val="003316D5"/>
    <w:rsid w:val="003327D2"/>
    <w:rsid w:val="00334E4B"/>
    <w:rsid w:val="00344A73"/>
    <w:rsid w:val="0034585D"/>
    <w:rsid w:val="00345A4E"/>
    <w:rsid w:val="003466C0"/>
    <w:rsid w:val="003506B2"/>
    <w:rsid w:val="00352D31"/>
    <w:rsid w:val="0036363B"/>
    <w:rsid w:val="00380326"/>
    <w:rsid w:val="00384EDC"/>
    <w:rsid w:val="003854FB"/>
    <w:rsid w:val="00387D12"/>
    <w:rsid w:val="00390330"/>
    <w:rsid w:val="0039140E"/>
    <w:rsid w:val="0039387E"/>
    <w:rsid w:val="003A149C"/>
    <w:rsid w:val="003A1841"/>
    <w:rsid w:val="003A207D"/>
    <w:rsid w:val="003B2B5D"/>
    <w:rsid w:val="003B315C"/>
    <w:rsid w:val="003B3EC6"/>
    <w:rsid w:val="003B5C85"/>
    <w:rsid w:val="003C09CC"/>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6A8"/>
    <w:rsid w:val="00444C82"/>
    <w:rsid w:val="0044578D"/>
    <w:rsid w:val="00445E5A"/>
    <w:rsid w:val="00452293"/>
    <w:rsid w:val="00457489"/>
    <w:rsid w:val="00460B44"/>
    <w:rsid w:val="0046361A"/>
    <w:rsid w:val="00463B3E"/>
    <w:rsid w:val="00463F41"/>
    <w:rsid w:val="00464B85"/>
    <w:rsid w:val="00470C90"/>
    <w:rsid w:val="00482CC5"/>
    <w:rsid w:val="00486118"/>
    <w:rsid w:val="00486501"/>
    <w:rsid w:val="0049344B"/>
    <w:rsid w:val="00496855"/>
    <w:rsid w:val="00496908"/>
    <w:rsid w:val="00496E20"/>
    <w:rsid w:val="004A4F35"/>
    <w:rsid w:val="004A7A8F"/>
    <w:rsid w:val="004A7FC1"/>
    <w:rsid w:val="004B05E3"/>
    <w:rsid w:val="004B0C75"/>
    <w:rsid w:val="004B2500"/>
    <w:rsid w:val="004B41E6"/>
    <w:rsid w:val="004B61AF"/>
    <w:rsid w:val="004C0920"/>
    <w:rsid w:val="004C5083"/>
    <w:rsid w:val="004D51A9"/>
    <w:rsid w:val="004D683A"/>
    <w:rsid w:val="004E2CD5"/>
    <w:rsid w:val="004E7A49"/>
    <w:rsid w:val="004F2256"/>
    <w:rsid w:val="004F6070"/>
    <w:rsid w:val="004F7035"/>
    <w:rsid w:val="004F7860"/>
    <w:rsid w:val="00503D92"/>
    <w:rsid w:val="0051516F"/>
    <w:rsid w:val="0052388F"/>
    <w:rsid w:val="00525199"/>
    <w:rsid w:val="005255A2"/>
    <w:rsid w:val="00525F28"/>
    <w:rsid w:val="0053713B"/>
    <w:rsid w:val="005446B2"/>
    <w:rsid w:val="00552B99"/>
    <w:rsid w:val="0055345F"/>
    <w:rsid w:val="005570BE"/>
    <w:rsid w:val="0056144F"/>
    <w:rsid w:val="00561AAF"/>
    <w:rsid w:val="0056505D"/>
    <w:rsid w:val="00573E2C"/>
    <w:rsid w:val="00583E5E"/>
    <w:rsid w:val="00585B98"/>
    <w:rsid w:val="00591058"/>
    <w:rsid w:val="00595775"/>
    <w:rsid w:val="005A2F45"/>
    <w:rsid w:val="005B0A66"/>
    <w:rsid w:val="005B60CA"/>
    <w:rsid w:val="005C0297"/>
    <w:rsid w:val="005C4D28"/>
    <w:rsid w:val="005C54BC"/>
    <w:rsid w:val="005D0351"/>
    <w:rsid w:val="005D0BAB"/>
    <w:rsid w:val="005D5499"/>
    <w:rsid w:val="005D5B72"/>
    <w:rsid w:val="005E724C"/>
    <w:rsid w:val="005F3ABE"/>
    <w:rsid w:val="005F721A"/>
    <w:rsid w:val="00600656"/>
    <w:rsid w:val="00601B14"/>
    <w:rsid w:val="00601C23"/>
    <w:rsid w:val="0060445C"/>
    <w:rsid w:val="00604BAF"/>
    <w:rsid w:val="00611C81"/>
    <w:rsid w:val="00612C5B"/>
    <w:rsid w:val="00614E25"/>
    <w:rsid w:val="00620B4E"/>
    <w:rsid w:val="006313E1"/>
    <w:rsid w:val="006317FF"/>
    <w:rsid w:val="00632A29"/>
    <w:rsid w:val="00637AB7"/>
    <w:rsid w:val="00643E80"/>
    <w:rsid w:val="00651E3F"/>
    <w:rsid w:val="00663BBB"/>
    <w:rsid w:val="0067006B"/>
    <w:rsid w:val="006707A9"/>
    <w:rsid w:val="006746F6"/>
    <w:rsid w:val="00674FAB"/>
    <w:rsid w:val="00676198"/>
    <w:rsid w:val="00677115"/>
    <w:rsid w:val="006815F8"/>
    <w:rsid w:val="00681AAB"/>
    <w:rsid w:val="006822AF"/>
    <w:rsid w:val="00683608"/>
    <w:rsid w:val="00684869"/>
    <w:rsid w:val="00686578"/>
    <w:rsid w:val="006876BB"/>
    <w:rsid w:val="006907A8"/>
    <w:rsid w:val="00691EDB"/>
    <w:rsid w:val="00695D89"/>
    <w:rsid w:val="0069793C"/>
    <w:rsid w:val="006A03D4"/>
    <w:rsid w:val="006A0C2A"/>
    <w:rsid w:val="006A16EF"/>
    <w:rsid w:val="006A5EDE"/>
    <w:rsid w:val="006B3638"/>
    <w:rsid w:val="006C7119"/>
    <w:rsid w:val="006D4290"/>
    <w:rsid w:val="006D50F6"/>
    <w:rsid w:val="006D7422"/>
    <w:rsid w:val="006D7AF3"/>
    <w:rsid w:val="006E38D0"/>
    <w:rsid w:val="006E4A52"/>
    <w:rsid w:val="007124A9"/>
    <w:rsid w:val="0071342B"/>
    <w:rsid w:val="00717C2D"/>
    <w:rsid w:val="0072092D"/>
    <w:rsid w:val="00724947"/>
    <w:rsid w:val="00733380"/>
    <w:rsid w:val="00734AA4"/>
    <w:rsid w:val="00741991"/>
    <w:rsid w:val="007435FF"/>
    <w:rsid w:val="00743B6B"/>
    <w:rsid w:val="007700FA"/>
    <w:rsid w:val="00771597"/>
    <w:rsid w:val="00772673"/>
    <w:rsid w:val="00776C5E"/>
    <w:rsid w:val="007772EF"/>
    <w:rsid w:val="00777AEA"/>
    <w:rsid w:val="007834C8"/>
    <w:rsid w:val="007922EF"/>
    <w:rsid w:val="00793BC4"/>
    <w:rsid w:val="007A3B9F"/>
    <w:rsid w:val="007A4D0F"/>
    <w:rsid w:val="007A6341"/>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79A"/>
    <w:rsid w:val="008349EC"/>
    <w:rsid w:val="00837E57"/>
    <w:rsid w:val="008415AF"/>
    <w:rsid w:val="00850CF8"/>
    <w:rsid w:val="00852E81"/>
    <w:rsid w:val="00854FF4"/>
    <w:rsid w:val="0086255D"/>
    <w:rsid w:val="00866276"/>
    <w:rsid w:val="00866F4E"/>
    <w:rsid w:val="0087574D"/>
    <w:rsid w:val="00883D17"/>
    <w:rsid w:val="00884155"/>
    <w:rsid w:val="00884A9A"/>
    <w:rsid w:val="0088697A"/>
    <w:rsid w:val="00886A05"/>
    <w:rsid w:val="00890082"/>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CCA"/>
    <w:rsid w:val="009A7AC0"/>
    <w:rsid w:val="009B27E5"/>
    <w:rsid w:val="009B7221"/>
    <w:rsid w:val="009C2E50"/>
    <w:rsid w:val="009C618E"/>
    <w:rsid w:val="009D3D9E"/>
    <w:rsid w:val="009D74C4"/>
    <w:rsid w:val="009E4617"/>
    <w:rsid w:val="009E5725"/>
    <w:rsid w:val="009E7E1B"/>
    <w:rsid w:val="009F41F3"/>
    <w:rsid w:val="00A07329"/>
    <w:rsid w:val="00A07F19"/>
    <w:rsid w:val="00A25866"/>
    <w:rsid w:val="00A261B3"/>
    <w:rsid w:val="00A27E73"/>
    <w:rsid w:val="00A314F2"/>
    <w:rsid w:val="00A36D30"/>
    <w:rsid w:val="00A418E1"/>
    <w:rsid w:val="00A41C3B"/>
    <w:rsid w:val="00A41DE3"/>
    <w:rsid w:val="00A46097"/>
    <w:rsid w:val="00A47885"/>
    <w:rsid w:val="00A63304"/>
    <w:rsid w:val="00A65703"/>
    <w:rsid w:val="00A741AB"/>
    <w:rsid w:val="00A75F78"/>
    <w:rsid w:val="00A80F3C"/>
    <w:rsid w:val="00A82A9F"/>
    <w:rsid w:val="00A850E3"/>
    <w:rsid w:val="00A85457"/>
    <w:rsid w:val="00A86581"/>
    <w:rsid w:val="00AA4F14"/>
    <w:rsid w:val="00AA7A36"/>
    <w:rsid w:val="00AB3236"/>
    <w:rsid w:val="00AC3357"/>
    <w:rsid w:val="00AC6C39"/>
    <w:rsid w:val="00AD359C"/>
    <w:rsid w:val="00AD4A46"/>
    <w:rsid w:val="00AD5867"/>
    <w:rsid w:val="00AE2109"/>
    <w:rsid w:val="00AE65C0"/>
    <w:rsid w:val="00AF2ABF"/>
    <w:rsid w:val="00B05B5B"/>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4E0C"/>
    <w:rsid w:val="00C34BA4"/>
    <w:rsid w:val="00C40AF1"/>
    <w:rsid w:val="00C44BAC"/>
    <w:rsid w:val="00C45CF9"/>
    <w:rsid w:val="00C541C5"/>
    <w:rsid w:val="00C54C5C"/>
    <w:rsid w:val="00C70E64"/>
    <w:rsid w:val="00C74269"/>
    <w:rsid w:val="00C766D1"/>
    <w:rsid w:val="00C770DE"/>
    <w:rsid w:val="00C80BAE"/>
    <w:rsid w:val="00C90B58"/>
    <w:rsid w:val="00C93C42"/>
    <w:rsid w:val="00C94416"/>
    <w:rsid w:val="00C9579C"/>
    <w:rsid w:val="00C97D8C"/>
    <w:rsid w:val="00CA3CCE"/>
    <w:rsid w:val="00CA6CBD"/>
    <w:rsid w:val="00CA7571"/>
    <w:rsid w:val="00CB0E43"/>
    <w:rsid w:val="00CB1B2E"/>
    <w:rsid w:val="00CB2DFC"/>
    <w:rsid w:val="00CB4C76"/>
    <w:rsid w:val="00CB64A5"/>
    <w:rsid w:val="00CC4E6B"/>
    <w:rsid w:val="00CD22EA"/>
    <w:rsid w:val="00CD23A0"/>
    <w:rsid w:val="00CF19F1"/>
    <w:rsid w:val="00CF5902"/>
    <w:rsid w:val="00D002C4"/>
    <w:rsid w:val="00D037B6"/>
    <w:rsid w:val="00D047CA"/>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6918"/>
    <w:rsid w:val="00D93828"/>
    <w:rsid w:val="00D95713"/>
    <w:rsid w:val="00D972F0"/>
    <w:rsid w:val="00DB7C64"/>
    <w:rsid w:val="00DC035A"/>
    <w:rsid w:val="00DC1449"/>
    <w:rsid w:val="00DC3E15"/>
    <w:rsid w:val="00DC4A4A"/>
    <w:rsid w:val="00DC6B56"/>
    <w:rsid w:val="00DD66F8"/>
    <w:rsid w:val="00DD73BA"/>
    <w:rsid w:val="00DE34E9"/>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57F8E"/>
    <w:rsid w:val="00E6041B"/>
    <w:rsid w:val="00E608A8"/>
    <w:rsid w:val="00E646B1"/>
    <w:rsid w:val="00E70031"/>
    <w:rsid w:val="00E7065F"/>
    <w:rsid w:val="00E83AEE"/>
    <w:rsid w:val="00E852D3"/>
    <w:rsid w:val="00E91144"/>
    <w:rsid w:val="00E947B4"/>
    <w:rsid w:val="00EA1390"/>
    <w:rsid w:val="00EA3F2D"/>
    <w:rsid w:val="00EA3F32"/>
    <w:rsid w:val="00EA499D"/>
    <w:rsid w:val="00EB043A"/>
    <w:rsid w:val="00EB240E"/>
    <w:rsid w:val="00EB37FF"/>
    <w:rsid w:val="00EC13B4"/>
    <w:rsid w:val="00ED3D91"/>
    <w:rsid w:val="00EE453D"/>
    <w:rsid w:val="00EE5EDC"/>
    <w:rsid w:val="00EE6DA4"/>
    <w:rsid w:val="00EE7265"/>
    <w:rsid w:val="00EE7BC6"/>
    <w:rsid w:val="00EF2B88"/>
    <w:rsid w:val="00EF3C0A"/>
    <w:rsid w:val="00EF45EA"/>
    <w:rsid w:val="00F03619"/>
    <w:rsid w:val="00F13E5D"/>
    <w:rsid w:val="00F15222"/>
    <w:rsid w:val="00F153F2"/>
    <w:rsid w:val="00F15F60"/>
    <w:rsid w:val="00F170F3"/>
    <w:rsid w:val="00F206A8"/>
    <w:rsid w:val="00F2429D"/>
    <w:rsid w:val="00F25A78"/>
    <w:rsid w:val="00F27197"/>
    <w:rsid w:val="00F33593"/>
    <w:rsid w:val="00F37B36"/>
    <w:rsid w:val="00F37D39"/>
    <w:rsid w:val="00F42C0D"/>
    <w:rsid w:val="00F4507F"/>
    <w:rsid w:val="00F45436"/>
    <w:rsid w:val="00F5429D"/>
    <w:rsid w:val="00F60A50"/>
    <w:rsid w:val="00F60CFD"/>
    <w:rsid w:val="00F72364"/>
    <w:rsid w:val="00F748C6"/>
    <w:rsid w:val="00F820E5"/>
    <w:rsid w:val="00F8243B"/>
    <w:rsid w:val="00F85A82"/>
    <w:rsid w:val="00F97A90"/>
    <w:rsid w:val="00FA0938"/>
    <w:rsid w:val="00FA1DA8"/>
    <w:rsid w:val="00FA2880"/>
    <w:rsid w:val="00FB3A64"/>
    <w:rsid w:val="00FB3BCA"/>
    <w:rsid w:val="00FB47AF"/>
    <w:rsid w:val="00FB78CE"/>
    <w:rsid w:val="00FD32FA"/>
    <w:rsid w:val="00FE1E0B"/>
    <w:rsid w:val="00FE274F"/>
    <w:rsid w:val="00FE44F6"/>
    <w:rsid w:val="00FE6E28"/>
    <w:rsid w:val="00FE79E2"/>
    <w:rsid w:val="00FF0112"/>
    <w:rsid w:val="00FF2F58"/>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77A71CCE-1487-46D8-84DB-FB80C87B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nhideWhenUsed/>
    <w:pPr>
      <w:spacing w:line="240" w:lineRule="auto"/>
    </w:pPr>
    <w:rPr>
      <w:sz w:val="20"/>
      <w:szCs w:val="20"/>
    </w:rPr>
  </w:style>
  <w:style w:type="character" w:customStyle="1" w:styleId="CommentaireCar">
    <w:name w:val="Commentaire Car"/>
    <w:basedOn w:val="Policepardfaut"/>
    <w:link w:val="Commentaire"/>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 w:type="paragraph" w:customStyle="1" w:styleId="Annexesous-titre1">
    <w:name w:val="Annexe sous-titre 1"/>
    <w:basedOn w:val="Titre1"/>
    <w:next w:val="Normal"/>
    <w:link w:val="Annexesous-titre1Car"/>
    <w:qFormat/>
    <w:rsid w:val="00E57F8E"/>
    <w:pPr>
      <w:spacing w:before="0" w:line="240" w:lineRule="auto"/>
    </w:pPr>
    <w:rPr>
      <w:rFonts w:ascii="Arial" w:eastAsia="Times New Roman" w:hAnsi="Arial" w:cs="Arial"/>
      <w:b w:val="0"/>
      <w:sz w:val="32"/>
      <w:szCs w:val="32"/>
      <w:lang w:eastAsia="en-US" w:bidi="ar-SA"/>
    </w:rPr>
  </w:style>
  <w:style w:type="character" w:customStyle="1" w:styleId="Annexesous-titre1Car">
    <w:name w:val="Annexe sous-titre 1 Car"/>
    <w:basedOn w:val="Titre1Car"/>
    <w:link w:val="Annexesous-titre1"/>
    <w:rsid w:val="00E57F8E"/>
    <w:rPr>
      <w:rFonts w:ascii="Arial" w:eastAsia="Times New Roman" w:hAnsi="Arial" w:cs="Arial"/>
      <w:b w:val="0"/>
      <w:bCs/>
      <w:color w:val="365F91" w:themeColor="accent1" w:themeShade="BF"/>
      <w:sz w:val="32"/>
      <w:szCs w:val="3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5821F7C9-9AFE-409B-ADE9-FE51BAD1B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2698</Words>
  <Characters>14845</Characters>
  <Application>Microsoft Office Word</Application>
  <DocSecurity>0</DocSecurity>
  <Lines>123</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GONZALEZ GARCIA Ricardo (MARKT)</dc:creator>
  <cp:lastModifiedBy>DIAGNE Afissa-Elodie (SGACPR DAI)</cp:lastModifiedBy>
  <cp:revision>2</cp:revision>
  <dcterms:created xsi:type="dcterms:W3CDTF">2024-03-12T09:03:00Z</dcterms:created>
  <dcterms:modified xsi:type="dcterms:W3CDTF">2024-03-12T09:03:00Z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