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28B1" w:rsidRPr="003F734A" w:rsidRDefault="00DA1663" w:rsidP="005F28B1">
      <w:pPr>
        <w:rPr>
          <w:rFonts w:ascii="Times New Roman" w:hAnsi="Times New Roman" w:cs="Times New Roman"/>
          <w:b/>
        </w:rPr>
      </w:pPr>
      <w:bookmarkStart w:id="0" w:name="_GoBack"/>
      <w:bookmarkEnd w:id="0"/>
      <w:r w:rsidRPr="00DA1663">
        <w:rPr>
          <w:noProof/>
        </w:rPr>
        <w:t xml:space="preserve"> </w:t>
      </w:r>
      <w:r>
        <w:rPr>
          <w:noProof/>
        </w:rPr>
        <w:drawing>
          <wp:inline distT="0" distB="0" distL="0" distR="0" wp14:anchorId="0083C6F8" wp14:editId="4E33CBE4">
            <wp:extent cx="1109980" cy="989965"/>
            <wp:effectExtent l="0" t="0" r="0" b="635"/>
            <wp:docPr id="10" name="Image 5"/>
            <wp:cNvGraphicFramePr/>
            <a:graphic xmlns:a="http://schemas.openxmlformats.org/drawingml/2006/main">
              <a:graphicData uri="http://schemas.openxmlformats.org/drawingml/2006/picture">
                <pic:pic xmlns:pic="http://schemas.openxmlformats.org/drawingml/2006/picture">
                  <pic:nvPicPr>
                    <pic:cNvPr id="10" name="Image 5"/>
                    <pic:cNvPicPr/>
                  </pic:nvPicPr>
                  <pic:blipFill>
                    <a:blip r:embed="rId5">
                      <a:extLst>
                        <a:ext uri="{28A0092B-C50C-407E-A947-70E740481C1C}">
                          <a14:useLocalDpi xmlns:a14="http://schemas.microsoft.com/office/drawing/2010/main" val="0"/>
                        </a:ext>
                      </a:extLst>
                    </a:blip>
                    <a:stretch>
                      <a:fillRect/>
                    </a:stretch>
                  </pic:blipFill>
                  <pic:spPr bwMode="auto">
                    <a:xfrm>
                      <a:off x="0" y="0"/>
                      <a:ext cx="1109980" cy="989965"/>
                    </a:xfrm>
                    <a:prstGeom prst="rect">
                      <a:avLst/>
                    </a:prstGeom>
                    <a:noFill/>
                    <a:ln w="9525">
                      <a:noFill/>
                      <a:miter lim="800000"/>
                      <a:headEnd/>
                      <a:tailEnd/>
                    </a:ln>
                  </pic:spPr>
                </pic:pic>
              </a:graphicData>
            </a:graphic>
          </wp:inline>
        </w:drawing>
      </w:r>
    </w:p>
    <w:p w:rsidR="005F28B1" w:rsidRPr="00240557" w:rsidDel="00160A5F" w:rsidRDefault="005F28B1" w:rsidP="005F28B1">
      <w:pPr>
        <w:jc w:val="center"/>
        <w:rPr>
          <w:rFonts w:ascii="Times New Roman" w:hAnsi="Times New Roman" w:cs="Times New Roman"/>
          <w:b/>
          <w:color w:val="003B8E"/>
          <w:sz w:val="32"/>
          <w:szCs w:val="32"/>
        </w:rPr>
      </w:pPr>
      <w:r w:rsidRPr="00240557" w:rsidDel="00160A5F">
        <w:rPr>
          <w:rFonts w:ascii="Times New Roman" w:hAnsi="Times New Roman" w:cs="Times New Roman"/>
          <w:b/>
          <w:color w:val="003B8E"/>
          <w:sz w:val="32"/>
          <w:szCs w:val="32"/>
        </w:rPr>
        <w:t>Guide méthodologique</w:t>
      </w:r>
    </w:p>
    <w:p w:rsidR="005F28B1" w:rsidRPr="003C57EF" w:rsidRDefault="005F28B1" w:rsidP="005F28B1">
      <w:pPr>
        <w:jc w:val="center"/>
        <w:rPr>
          <w:rFonts w:ascii="Times New Roman" w:hAnsi="Times New Roman" w:cs="Times New Roman"/>
          <w:b/>
          <w:color w:val="003B8E"/>
          <w:sz w:val="32"/>
          <w:szCs w:val="32"/>
        </w:rPr>
      </w:pPr>
      <w:r w:rsidRPr="003C57EF">
        <w:rPr>
          <w:rFonts w:ascii="Times New Roman" w:hAnsi="Times New Roman" w:cs="Times New Roman"/>
          <w:b/>
          <w:color w:val="003B8E"/>
          <w:sz w:val="32"/>
          <w:szCs w:val="32"/>
        </w:rPr>
        <w:t>Modèle d’é</w:t>
      </w:r>
      <w:r>
        <w:rPr>
          <w:rFonts w:ascii="Times New Roman" w:hAnsi="Times New Roman" w:cs="Times New Roman"/>
          <w:b/>
          <w:color w:val="003B8E"/>
          <w:sz w:val="32"/>
          <w:szCs w:val="32"/>
        </w:rPr>
        <w:t>tat « Contenu de la remise » (RP.32.02</w:t>
      </w:r>
      <w:r w:rsidRPr="003C57EF">
        <w:rPr>
          <w:rFonts w:ascii="Times New Roman" w:hAnsi="Times New Roman" w:cs="Times New Roman"/>
          <w:b/>
          <w:color w:val="003B8E"/>
          <w:sz w:val="32"/>
          <w:szCs w:val="32"/>
        </w:rPr>
        <w:t>)</w:t>
      </w:r>
    </w:p>
    <w:p w:rsidR="005F28B1" w:rsidRPr="003F734A" w:rsidRDefault="005F28B1" w:rsidP="005F28B1">
      <w:pPr>
        <w:spacing w:after="0" w:line="240" w:lineRule="auto"/>
        <w:rPr>
          <w:rFonts w:ascii="Times New Roman" w:hAnsi="Times New Roman" w:cs="Times New Roman"/>
          <w:b/>
        </w:rPr>
      </w:pPr>
    </w:p>
    <w:p w:rsidR="005F28B1" w:rsidRPr="005F28B1" w:rsidRDefault="005F28B1" w:rsidP="005F28B1">
      <w:pPr>
        <w:jc w:val="both"/>
        <w:rPr>
          <w:rFonts w:ascii="Times New Roman" w:hAnsi="Times New Roman" w:cs="Times New Roman"/>
          <w:sz w:val="20"/>
          <w:szCs w:val="20"/>
        </w:rPr>
      </w:pPr>
      <w:r w:rsidRPr="003F734A">
        <w:rPr>
          <w:rFonts w:ascii="Times New Roman" w:hAnsi="Times New Roman" w:cs="Times New Roman"/>
          <w:sz w:val="20"/>
        </w:rPr>
        <w:t xml:space="preserve">Lorsqu’une justification spéciale est requise, celle-ci n’est pas à présenter dans le modèle de déclaration, mais doit être incluse en annexe du rapport régulier au contrôleur. </w:t>
      </w:r>
    </w:p>
    <w:p w:rsidR="006B6FE6" w:rsidRPr="00643B97" w:rsidRDefault="006B6FE6" w:rsidP="006B6FE6">
      <w:pPr>
        <w:rPr>
          <w:rFonts w:ascii="Times New Roman" w:eastAsia="Times New Roman" w:hAnsi="Times New Roman" w:cs="Times New Roman"/>
          <w:b/>
          <w:bCs/>
          <w:sz w:val="20"/>
          <w:szCs w:val="20"/>
        </w:rPr>
      </w:pPr>
      <w:r>
        <w:rPr>
          <w:rFonts w:ascii="Times New Roman" w:hAnsi="Times New Roman"/>
          <w:b/>
          <w:sz w:val="20"/>
        </w:rPr>
        <w:t>RP.32.02 – Entreprises liées</w:t>
      </w:r>
    </w:p>
    <w:p w:rsidR="006B6FE6" w:rsidRPr="00643B97" w:rsidRDefault="006B6FE6" w:rsidP="006B6FE6">
      <w:pPr>
        <w:rPr>
          <w:rFonts w:ascii="Times New Roman" w:eastAsia="Times New Roman" w:hAnsi="Times New Roman" w:cs="Times New Roman"/>
          <w:b/>
          <w:bCs/>
          <w:sz w:val="20"/>
          <w:szCs w:val="20"/>
        </w:rPr>
      </w:pPr>
      <w:r>
        <w:rPr>
          <w:rFonts w:ascii="Times New Roman" w:hAnsi="Times New Roman"/>
          <w:b/>
          <w:sz w:val="20"/>
        </w:rPr>
        <w:t>Observations générales</w:t>
      </w:r>
    </w:p>
    <w:p w:rsidR="006B6FE6" w:rsidRDefault="002824A3" w:rsidP="006B6FE6">
      <w:pPr>
        <w:jc w:val="both"/>
        <w:rPr>
          <w:rFonts w:ascii="Times New Roman" w:hAnsi="Times New Roman"/>
          <w:sz w:val="20"/>
        </w:rPr>
      </w:pPr>
      <w:r>
        <w:rPr>
          <w:rFonts w:ascii="Times New Roman" w:hAnsi="Times New Roman"/>
          <w:sz w:val="20"/>
        </w:rPr>
        <w:t>Elle n’est à remplir que si l’O</w:t>
      </w:r>
      <w:r w:rsidR="006B6FE6">
        <w:rPr>
          <w:rFonts w:ascii="Times New Roman" w:hAnsi="Times New Roman"/>
          <w:sz w:val="20"/>
        </w:rPr>
        <w:t>RPS n’appartient pas à un groupe au sens de l’article L.356-1 du code des assurances qui est lui-même assujetti au contrôle de groupe conformément à l’article L.356-2.</w:t>
      </w:r>
    </w:p>
    <w:p w:rsidR="006B6FE6" w:rsidRPr="00643B97" w:rsidRDefault="006B6FE6" w:rsidP="006B6FE6">
      <w:pPr>
        <w:jc w:val="both"/>
        <w:rPr>
          <w:rFonts w:ascii="Times New Roman" w:hAnsi="Times New Roman" w:cs="Times New Roman"/>
          <w:sz w:val="20"/>
          <w:szCs w:val="20"/>
        </w:rPr>
      </w:pPr>
      <w:r>
        <w:rPr>
          <w:rFonts w:ascii="Times New Roman" w:hAnsi="Times New Roman"/>
          <w:sz w:val="20"/>
        </w:rPr>
        <w:t>Ce modèle identifie l’ensemble des entreprises liées dont l’</w:t>
      </w:r>
      <w:r w:rsidR="002824A3">
        <w:rPr>
          <w:rFonts w:ascii="Times New Roman" w:hAnsi="Times New Roman"/>
          <w:sz w:val="20"/>
        </w:rPr>
        <w:t>entreprise participante est l’O</w:t>
      </w:r>
      <w:r>
        <w:rPr>
          <w:rFonts w:ascii="Times New Roman" w:hAnsi="Times New Roman"/>
          <w:sz w:val="20"/>
        </w:rPr>
        <w:t>RPS.</w:t>
      </w:r>
    </w:p>
    <w:p w:rsidR="006B6FE6" w:rsidRPr="00643B97" w:rsidRDefault="006B6FE6" w:rsidP="006B6FE6">
      <w:pPr>
        <w:pStyle w:val="Paragraphedeliste"/>
        <w:numPr>
          <w:ilvl w:val="0"/>
          <w:numId w:val="1"/>
        </w:numPr>
        <w:spacing w:after="200" w:line="276" w:lineRule="auto"/>
        <w:jc w:val="left"/>
        <w:rPr>
          <w:bCs/>
          <w:sz w:val="20"/>
        </w:rPr>
      </w:pPr>
      <w:r>
        <w:rPr>
          <w:sz w:val="20"/>
        </w:rPr>
        <w:t>Les cellules C0010 à C0081 concernent l’identification de l’entreprise liée;</w:t>
      </w:r>
    </w:p>
    <w:p w:rsidR="006B6FE6" w:rsidRPr="0044578D" w:rsidRDefault="006B6FE6" w:rsidP="006B6FE6">
      <w:pPr>
        <w:pStyle w:val="Paragraphedeliste"/>
        <w:numPr>
          <w:ilvl w:val="0"/>
          <w:numId w:val="1"/>
        </w:numPr>
        <w:spacing w:after="200" w:line="276" w:lineRule="auto"/>
        <w:jc w:val="left"/>
        <w:rPr>
          <w:bCs/>
          <w:sz w:val="20"/>
        </w:rPr>
      </w:pPr>
      <w:r>
        <w:rPr>
          <w:sz w:val="20"/>
        </w:rPr>
        <w:t>les cellules C0180 à C0230 concernent aux critères d’influence;</w:t>
      </w:r>
    </w:p>
    <w:tbl>
      <w:tblPr>
        <w:tblW w:w="9361" w:type="dxa"/>
        <w:tblInd w:w="108" w:type="dxa"/>
        <w:tblLook w:val="04A0" w:firstRow="1" w:lastRow="0" w:firstColumn="1" w:lastColumn="0" w:noHBand="0" w:noVBand="1"/>
      </w:tblPr>
      <w:tblGrid>
        <w:gridCol w:w="1144"/>
        <w:gridCol w:w="2126"/>
        <w:gridCol w:w="6091"/>
      </w:tblGrid>
      <w:tr w:rsidR="006B6FE6" w:rsidRPr="00643B97" w:rsidTr="00001712">
        <w:trPr>
          <w:trHeight w:val="285"/>
        </w:trPr>
        <w:tc>
          <w:tcPr>
            <w:tcW w:w="9361" w:type="dxa"/>
            <w:gridSpan w:val="3"/>
            <w:tcBorders>
              <w:top w:val="nil"/>
              <w:left w:val="nil"/>
              <w:bottom w:val="single" w:sz="4" w:space="0" w:color="auto"/>
              <w:right w:val="nil"/>
            </w:tcBorders>
            <w:shd w:val="clear" w:color="auto" w:fill="auto"/>
            <w:noWrap/>
            <w:vAlign w:val="bottom"/>
            <w:hideMark/>
          </w:tcPr>
          <w:p w:rsidR="006B6FE6" w:rsidRPr="00643B97" w:rsidRDefault="006B6FE6" w:rsidP="00001712">
            <w:pPr>
              <w:spacing w:after="0" w:line="240" w:lineRule="auto"/>
              <w:ind w:left="720"/>
              <w:contextualSpacing/>
              <w:rPr>
                <w:rFonts w:ascii="Times New Roman" w:eastAsia="Times New Roman" w:hAnsi="Times New Roman" w:cs="Times New Roman"/>
                <w:b/>
                <w:bCs/>
                <w:sz w:val="20"/>
                <w:szCs w:val="20"/>
              </w:rPr>
            </w:pPr>
          </w:p>
        </w:tc>
      </w:tr>
      <w:tr w:rsidR="006B6FE6" w:rsidRPr="00643B97" w:rsidTr="00001712">
        <w:trPr>
          <w:trHeight w:val="285"/>
        </w:trPr>
        <w:tc>
          <w:tcPr>
            <w:tcW w:w="11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6FE6" w:rsidRPr="00643B97" w:rsidRDefault="006B6FE6" w:rsidP="00001712">
            <w:pPr>
              <w:spacing w:after="0" w:line="240" w:lineRule="auto"/>
              <w:ind w:left="720"/>
              <w:contextualSpacing/>
              <w:jc w:val="center"/>
              <w:rPr>
                <w:rFonts w:ascii="Times New Roman" w:eastAsia="Times New Roman" w:hAnsi="Times New Roman" w:cs="Times New Roman"/>
                <w:b/>
                <w:bCs/>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6FE6" w:rsidRPr="00643B97" w:rsidRDefault="006B6FE6" w:rsidP="00001712">
            <w:pPr>
              <w:spacing w:after="0" w:line="240" w:lineRule="auto"/>
              <w:jc w:val="center"/>
              <w:rPr>
                <w:rFonts w:ascii="Times New Roman" w:eastAsia="Times New Roman" w:hAnsi="Times New Roman" w:cs="Times New Roman"/>
                <w:b/>
                <w:bCs/>
                <w:sz w:val="20"/>
                <w:szCs w:val="20"/>
              </w:rPr>
            </w:pPr>
            <w:r>
              <w:rPr>
                <w:rFonts w:ascii="Times New Roman" w:hAnsi="Times New Roman"/>
                <w:b/>
                <w:sz w:val="20"/>
              </w:rPr>
              <w:t>ÉLÉMENT À DÉCLARER</w:t>
            </w:r>
          </w:p>
        </w:tc>
        <w:tc>
          <w:tcPr>
            <w:tcW w:w="60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6FE6" w:rsidRPr="00643B97" w:rsidRDefault="006B6FE6" w:rsidP="00001712">
            <w:pPr>
              <w:spacing w:after="0" w:line="240" w:lineRule="auto"/>
              <w:jc w:val="center"/>
              <w:rPr>
                <w:rFonts w:ascii="Times New Roman" w:eastAsia="Times New Roman" w:hAnsi="Times New Roman" w:cs="Times New Roman"/>
                <w:b/>
                <w:bCs/>
                <w:sz w:val="20"/>
                <w:szCs w:val="20"/>
              </w:rPr>
            </w:pPr>
            <w:r>
              <w:rPr>
                <w:rFonts w:ascii="Times New Roman" w:hAnsi="Times New Roman"/>
                <w:b/>
                <w:sz w:val="20"/>
              </w:rPr>
              <w:t>INSTRUCTIONS</w:t>
            </w:r>
          </w:p>
        </w:tc>
      </w:tr>
      <w:tr w:rsidR="006B6FE6" w:rsidRPr="00643B97" w:rsidTr="00001712">
        <w:trPr>
          <w:trHeight w:val="537"/>
        </w:trPr>
        <w:tc>
          <w:tcPr>
            <w:tcW w:w="1144" w:type="dxa"/>
            <w:tcBorders>
              <w:top w:val="single" w:sz="4" w:space="0" w:color="auto"/>
              <w:left w:val="single" w:sz="4" w:space="0" w:color="auto"/>
              <w:bottom w:val="single" w:sz="4" w:space="0" w:color="auto"/>
              <w:right w:val="single" w:sz="4" w:space="0" w:color="auto"/>
            </w:tcBorders>
            <w:shd w:val="clear" w:color="auto" w:fill="auto"/>
            <w:hideMark/>
          </w:tcPr>
          <w:p w:rsidR="006B6FE6" w:rsidRPr="00643B97" w:rsidRDefault="006B6FE6" w:rsidP="00001712">
            <w:pPr>
              <w:spacing w:after="0" w:line="240" w:lineRule="auto"/>
              <w:rPr>
                <w:rFonts w:ascii="Times New Roman" w:eastAsia="Times New Roman" w:hAnsi="Times New Roman" w:cs="Times New Roman"/>
                <w:sz w:val="20"/>
                <w:szCs w:val="20"/>
              </w:rPr>
            </w:pPr>
            <w:r>
              <w:rPr>
                <w:rFonts w:ascii="Times New Roman" w:hAnsi="Times New Roman"/>
                <w:sz w:val="20"/>
              </w:rPr>
              <w:t xml:space="preserve">C0010 </w:t>
            </w:r>
          </w:p>
        </w:tc>
        <w:tc>
          <w:tcPr>
            <w:tcW w:w="2126" w:type="dxa"/>
            <w:tcBorders>
              <w:top w:val="single" w:sz="4" w:space="0" w:color="auto"/>
              <w:left w:val="nil"/>
              <w:bottom w:val="single" w:sz="4" w:space="0" w:color="auto"/>
              <w:right w:val="single" w:sz="4" w:space="0" w:color="auto"/>
            </w:tcBorders>
            <w:shd w:val="clear" w:color="auto" w:fill="auto"/>
            <w:hideMark/>
          </w:tcPr>
          <w:p w:rsidR="006B6FE6" w:rsidRPr="00643B97" w:rsidRDefault="006B6FE6" w:rsidP="00001712">
            <w:pPr>
              <w:spacing w:after="0" w:line="240" w:lineRule="auto"/>
              <w:rPr>
                <w:rFonts w:ascii="Times New Roman" w:eastAsia="Times New Roman" w:hAnsi="Times New Roman" w:cs="Times New Roman"/>
                <w:sz w:val="20"/>
                <w:szCs w:val="20"/>
              </w:rPr>
            </w:pPr>
            <w:r>
              <w:rPr>
                <w:rFonts w:ascii="Times New Roman" w:hAnsi="Times New Roman"/>
                <w:sz w:val="20"/>
              </w:rPr>
              <w:t xml:space="preserve">Pays </w:t>
            </w:r>
          </w:p>
        </w:tc>
        <w:tc>
          <w:tcPr>
            <w:tcW w:w="6091" w:type="dxa"/>
            <w:tcBorders>
              <w:top w:val="single" w:sz="4" w:space="0" w:color="auto"/>
              <w:left w:val="nil"/>
              <w:bottom w:val="single" w:sz="4" w:space="0" w:color="auto"/>
              <w:right w:val="single" w:sz="4" w:space="0" w:color="auto"/>
            </w:tcBorders>
            <w:shd w:val="clear" w:color="auto" w:fill="auto"/>
            <w:hideMark/>
          </w:tcPr>
          <w:p w:rsidR="006B6FE6" w:rsidRPr="00643B97" w:rsidRDefault="006B6FE6" w:rsidP="00001712">
            <w:pPr>
              <w:spacing w:after="0" w:line="240" w:lineRule="auto"/>
              <w:rPr>
                <w:rFonts w:ascii="Times New Roman" w:eastAsia="Times New Roman" w:hAnsi="Times New Roman" w:cs="Times New Roman"/>
                <w:sz w:val="20"/>
                <w:szCs w:val="20"/>
              </w:rPr>
            </w:pPr>
            <w:r>
              <w:rPr>
                <w:rFonts w:ascii="Times New Roman" w:hAnsi="Times New Roman"/>
                <w:sz w:val="20"/>
              </w:rPr>
              <w:t xml:space="preserve">Indiquer le code ISO 3166-1 alpha-2 du pays où se trouve le siège social de chaque entreprise liée </w:t>
            </w:r>
          </w:p>
        </w:tc>
      </w:tr>
      <w:tr w:rsidR="006B6FE6" w:rsidRPr="00643B97" w:rsidTr="00001712">
        <w:trPr>
          <w:trHeight w:val="3705"/>
        </w:trPr>
        <w:tc>
          <w:tcPr>
            <w:tcW w:w="1144" w:type="dxa"/>
            <w:tcBorders>
              <w:top w:val="nil"/>
              <w:left w:val="single" w:sz="4" w:space="0" w:color="auto"/>
              <w:bottom w:val="nil"/>
              <w:right w:val="single" w:sz="4" w:space="0" w:color="auto"/>
            </w:tcBorders>
            <w:shd w:val="clear" w:color="000000" w:fill="FFFFFF"/>
            <w:hideMark/>
          </w:tcPr>
          <w:p w:rsidR="006B6FE6" w:rsidRPr="00643B97" w:rsidRDefault="006B6FE6" w:rsidP="00001712">
            <w:pPr>
              <w:spacing w:after="0" w:line="240" w:lineRule="auto"/>
              <w:rPr>
                <w:rFonts w:ascii="Times New Roman" w:eastAsia="Times New Roman" w:hAnsi="Times New Roman" w:cs="Times New Roman"/>
                <w:sz w:val="20"/>
                <w:szCs w:val="20"/>
              </w:rPr>
            </w:pPr>
            <w:r>
              <w:rPr>
                <w:rFonts w:ascii="Times New Roman" w:hAnsi="Times New Roman"/>
                <w:sz w:val="20"/>
              </w:rPr>
              <w:t xml:space="preserve">C0020 </w:t>
            </w:r>
          </w:p>
        </w:tc>
        <w:tc>
          <w:tcPr>
            <w:tcW w:w="2126" w:type="dxa"/>
            <w:tcBorders>
              <w:top w:val="nil"/>
              <w:left w:val="nil"/>
              <w:bottom w:val="nil"/>
              <w:right w:val="single" w:sz="4" w:space="0" w:color="auto"/>
            </w:tcBorders>
            <w:shd w:val="clear" w:color="000000" w:fill="FFFFFF"/>
            <w:hideMark/>
          </w:tcPr>
          <w:p w:rsidR="006B6FE6" w:rsidRPr="00643B97" w:rsidRDefault="006B6FE6" w:rsidP="00001712">
            <w:pPr>
              <w:spacing w:after="0" w:line="240" w:lineRule="auto"/>
              <w:rPr>
                <w:rFonts w:ascii="Times New Roman" w:eastAsia="Times New Roman" w:hAnsi="Times New Roman" w:cs="Times New Roman"/>
                <w:sz w:val="20"/>
                <w:szCs w:val="20"/>
              </w:rPr>
            </w:pPr>
            <w:r>
              <w:rPr>
                <w:rFonts w:ascii="Times New Roman" w:hAnsi="Times New Roman"/>
                <w:sz w:val="20"/>
              </w:rPr>
              <w:t>Code d’identification de l’entreprise</w:t>
            </w:r>
          </w:p>
        </w:tc>
        <w:tc>
          <w:tcPr>
            <w:tcW w:w="6091" w:type="dxa"/>
            <w:tcBorders>
              <w:top w:val="nil"/>
              <w:left w:val="nil"/>
              <w:bottom w:val="nil"/>
              <w:right w:val="single" w:sz="4" w:space="0" w:color="auto"/>
            </w:tcBorders>
            <w:shd w:val="clear" w:color="000000" w:fill="FFFFFF"/>
            <w:hideMark/>
          </w:tcPr>
          <w:p w:rsidR="006B6FE6" w:rsidRPr="00643B97" w:rsidRDefault="006B6FE6" w:rsidP="00001712">
            <w:pPr>
              <w:spacing w:after="0" w:line="240" w:lineRule="auto"/>
              <w:rPr>
                <w:rFonts w:ascii="Times New Roman" w:eastAsia="Times New Roman" w:hAnsi="Times New Roman" w:cs="Times New Roman"/>
                <w:sz w:val="20"/>
                <w:szCs w:val="20"/>
              </w:rPr>
            </w:pPr>
            <w:r>
              <w:rPr>
                <w:rFonts w:ascii="Times New Roman" w:hAnsi="Times New Roman"/>
                <w:sz w:val="20"/>
              </w:rPr>
              <w:t xml:space="preserve">Code d’identification, par ordre de priorité suivant: </w:t>
            </w:r>
            <w:r>
              <w:rPr>
                <w:rFonts w:ascii="Times New Roman" w:eastAsia="Times New Roman" w:hAnsi="Times New Roman" w:cs="Times New Roman"/>
                <w:sz w:val="20"/>
                <w:szCs w:val="20"/>
              </w:rPr>
              <w:br/>
            </w:r>
            <w:r>
              <w:rPr>
                <w:rFonts w:ascii="Times New Roman" w:hAnsi="Times New Roman"/>
                <w:sz w:val="20"/>
              </w:rPr>
              <w:t xml:space="preserve">– identifiant d'entité juridique (LEI); </w:t>
            </w:r>
            <w:r>
              <w:rPr>
                <w:rFonts w:ascii="Times New Roman" w:eastAsia="Times New Roman" w:hAnsi="Times New Roman" w:cs="Times New Roman"/>
                <w:sz w:val="20"/>
                <w:szCs w:val="20"/>
              </w:rPr>
              <w:br/>
            </w:r>
            <w:r>
              <w:rPr>
                <w:rFonts w:ascii="Times New Roman" w:hAnsi="Times New Roman"/>
                <w:sz w:val="20"/>
              </w:rPr>
              <w:t>– code spécifique.</w:t>
            </w:r>
            <w:r>
              <w:rPr>
                <w:rFonts w:ascii="Times New Roman" w:eastAsia="Times New Roman" w:hAnsi="Times New Roman" w:cs="Times New Roman"/>
                <w:sz w:val="20"/>
                <w:szCs w:val="20"/>
              </w:rPr>
              <w:br/>
            </w:r>
            <w:r>
              <w:rPr>
                <w:rFonts w:ascii="Times New Roman" w:eastAsia="Times New Roman" w:hAnsi="Times New Roman" w:cs="Times New Roman"/>
                <w:sz w:val="20"/>
                <w:szCs w:val="20"/>
              </w:rPr>
              <w:br/>
            </w:r>
            <w:r>
              <w:rPr>
                <w:rFonts w:ascii="Times New Roman" w:hAnsi="Times New Roman"/>
                <w:sz w:val="20"/>
              </w:rPr>
              <w:t xml:space="preserve">Code spécifique: </w:t>
            </w:r>
            <w:r>
              <w:rPr>
                <w:rFonts w:ascii="Times New Roman" w:eastAsia="Times New Roman" w:hAnsi="Times New Roman" w:cs="Times New Roman"/>
                <w:sz w:val="20"/>
                <w:szCs w:val="20"/>
              </w:rPr>
              <w:br/>
            </w:r>
            <w:r>
              <w:rPr>
                <w:rFonts w:ascii="Times New Roman" w:hAnsi="Times New Roman"/>
                <w:sz w:val="20"/>
              </w:rPr>
              <w:t>– pour les entreprises d'assurance et de réassurance EEE et les autres entreprises EEE réglementées relevant du contrôle de groupe au sens de l'article 212, paragraphe 1, point c), de la directive 2009/138/CE: le code d'identification, attribué par l’autorité de contrôle compétente nationale, qui est utilisé sur le marché local;</w:t>
            </w:r>
          </w:p>
          <w:p w:rsidR="006B6FE6" w:rsidRPr="00643B97" w:rsidRDefault="006B6FE6" w:rsidP="00001712">
            <w:pPr>
              <w:spacing w:after="0" w:line="240" w:lineRule="auto"/>
              <w:rPr>
                <w:rFonts w:ascii="Times New Roman" w:eastAsia="Times New Roman" w:hAnsi="Times New Roman" w:cs="Times New Roman"/>
                <w:sz w:val="20"/>
                <w:szCs w:val="20"/>
              </w:rPr>
            </w:pPr>
            <w:r>
              <w:rPr>
                <w:rFonts w:ascii="Times New Roman" w:hAnsi="Times New Roman"/>
                <w:sz w:val="20"/>
              </w:rPr>
              <w:t xml:space="preserve">– pour les entreprises hors EEE et les entreprises non réglementées relevant du contrôle de groupe au sens de l'article 212, paragraphe 1, point c), de la directive 2009/138/CE, le code d’identification est fourni par le groupe. Le code d'identification attribué à chaque entreprise hors EEE ou non réglementée doit systématiquement respecter le format suivant: </w:t>
            </w:r>
            <w:r>
              <w:rPr>
                <w:rFonts w:ascii="Times New Roman" w:eastAsia="Times New Roman" w:hAnsi="Times New Roman" w:cs="Times New Roman"/>
                <w:sz w:val="20"/>
                <w:szCs w:val="20"/>
              </w:rPr>
              <w:br/>
            </w:r>
            <w:r>
              <w:rPr>
                <w:rFonts w:ascii="Times New Roman" w:hAnsi="Times New Roman"/>
                <w:sz w:val="20"/>
              </w:rPr>
              <w:t xml:space="preserve"> code d’identification de l’entreprise mère + </w:t>
            </w:r>
            <w:r>
              <w:rPr>
                <w:rFonts w:ascii="Times New Roman" w:eastAsia="Times New Roman" w:hAnsi="Times New Roman" w:cs="Times New Roman"/>
                <w:sz w:val="20"/>
                <w:szCs w:val="20"/>
              </w:rPr>
              <w:br/>
            </w:r>
            <w:r>
              <w:rPr>
                <w:rFonts w:ascii="Times New Roman" w:hAnsi="Times New Roman"/>
                <w:sz w:val="20"/>
              </w:rPr>
              <w:t xml:space="preserve"> code ISO 3166-1 alpha-2 du pays de l’entreprise + </w:t>
            </w:r>
            <w:r>
              <w:rPr>
                <w:rFonts w:ascii="Times New Roman" w:eastAsia="Times New Roman" w:hAnsi="Times New Roman" w:cs="Times New Roman"/>
                <w:sz w:val="20"/>
                <w:szCs w:val="20"/>
              </w:rPr>
              <w:br/>
            </w:r>
            <w:r>
              <w:rPr>
                <w:rFonts w:ascii="Times New Roman" w:hAnsi="Times New Roman"/>
                <w:sz w:val="20"/>
              </w:rPr>
              <w:t xml:space="preserve"> 5 chiffres</w:t>
            </w:r>
          </w:p>
        </w:tc>
      </w:tr>
      <w:tr w:rsidR="006B6FE6" w:rsidRPr="00643B97" w:rsidTr="00001712">
        <w:trPr>
          <w:trHeight w:val="883"/>
        </w:trPr>
        <w:tc>
          <w:tcPr>
            <w:tcW w:w="1144" w:type="dxa"/>
            <w:tcBorders>
              <w:top w:val="single" w:sz="4" w:space="0" w:color="auto"/>
              <w:left w:val="single" w:sz="4" w:space="0" w:color="auto"/>
              <w:bottom w:val="single" w:sz="4" w:space="0" w:color="auto"/>
              <w:right w:val="single" w:sz="4" w:space="0" w:color="auto"/>
            </w:tcBorders>
            <w:shd w:val="clear" w:color="000000" w:fill="FFFFFF"/>
            <w:hideMark/>
          </w:tcPr>
          <w:p w:rsidR="006B6FE6" w:rsidRPr="00643B97" w:rsidRDefault="006B6FE6" w:rsidP="00001712">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C0030</w:t>
            </w:r>
          </w:p>
        </w:tc>
        <w:tc>
          <w:tcPr>
            <w:tcW w:w="2126" w:type="dxa"/>
            <w:tcBorders>
              <w:top w:val="single" w:sz="4" w:space="0" w:color="auto"/>
              <w:left w:val="nil"/>
              <w:bottom w:val="single" w:sz="4" w:space="0" w:color="auto"/>
              <w:right w:val="single" w:sz="4" w:space="0" w:color="auto"/>
            </w:tcBorders>
            <w:shd w:val="clear" w:color="000000" w:fill="FFFFFF"/>
            <w:hideMark/>
          </w:tcPr>
          <w:p w:rsidR="006B6FE6" w:rsidRPr="00643B97" w:rsidRDefault="006B6FE6" w:rsidP="00001712">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 xml:space="preserve">Type de code d’identification de l’entreprise </w:t>
            </w:r>
          </w:p>
        </w:tc>
        <w:tc>
          <w:tcPr>
            <w:tcW w:w="6091" w:type="dxa"/>
            <w:tcBorders>
              <w:top w:val="single" w:sz="4" w:space="0" w:color="auto"/>
              <w:left w:val="nil"/>
              <w:bottom w:val="single" w:sz="4" w:space="0" w:color="auto"/>
              <w:right w:val="single" w:sz="4" w:space="0" w:color="auto"/>
            </w:tcBorders>
            <w:shd w:val="clear" w:color="000000" w:fill="FFFFFF"/>
            <w:hideMark/>
          </w:tcPr>
          <w:p w:rsidR="006B6FE6" w:rsidRPr="00643B97" w:rsidRDefault="006B6FE6" w:rsidP="00001712">
            <w:pPr>
              <w:spacing w:after="0" w:line="240" w:lineRule="auto"/>
              <w:rPr>
                <w:rFonts w:ascii="Times New Roman" w:eastAsia="Times New Roman" w:hAnsi="Times New Roman" w:cs="Times New Roman"/>
                <w:color w:val="000000"/>
                <w:sz w:val="20"/>
                <w:szCs w:val="20"/>
              </w:rPr>
            </w:pPr>
            <w:r>
              <w:rPr>
                <w:rFonts w:ascii="Times New Roman" w:hAnsi="Times New Roman"/>
                <w:color w:val="000000"/>
                <w:sz w:val="20"/>
              </w:rPr>
              <w:t>Indiquer le type de code utilisé dans la rubrique «Code d’identification de l'entreprise»</w:t>
            </w:r>
            <w:r>
              <w:rPr>
                <w:rFonts w:ascii="Times New Roman" w:eastAsia="Times New Roman" w:hAnsi="Times New Roman" w:cs="Times New Roman"/>
                <w:color w:val="000000"/>
                <w:sz w:val="20"/>
                <w:szCs w:val="20"/>
              </w:rPr>
              <w:br/>
            </w:r>
            <w:r>
              <w:rPr>
                <w:rFonts w:ascii="Times New Roman" w:hAnsi="Times New Roman"/>
                <w:color w:val="000000"/>
                <w:sz w:val="20"/>
              </w:rPr>
              <w:t xml:space="preserve">1 – LEI </w:t>
            </w:r>
            <w:r>
              <w:rPr>
                <w:rFonts w:ascii="Times New Roman" w:eastAsia="Times New Roman" w:hAnsi="Times New Roman" w:cs="Times New Roman"/>
                <w:color w:val="000000"/>
                <w:sz w:val="20"/>
                <w:szCs w:val="20"/>
              </w:rPr>
              <w:br/>
            </w:r>
            <w:r>
              <w:rPr>
                <w:rFonts w:ascii="Times New Roman" w:hAnsi="Times New Roman"/>
                <w:color w:val="000000"/>
                <w:sz w:val="20"/>
              </w:rPr>
              <w:t>2 – Code spécifique</w:t>
            </w:r>
          </w:p>
        </w:tc>
      </w:tr>
      <w:tr w:rsidR="006B6FE6" w:rsidRPr="00643B97" w:rsidTr="00001712">
        <w:trPr>
          <w:trHeight w:val="563"/>
        </w:trPr>
        <w:tc>
          <w:tcPr>
            <w:tcW w:w="1144" w:type="dxa"/>
            <w:tcBorders>
              <w:top w:val="nil"/>
              <w:left w:val="single" w:sz="4" w:space="0" w:color="auto"/>
              <w:bottom w:val="single" w:sz="4" w:space="0" w:color="auto"/>
              <w:right w:val="single" w:sz="4" w:space="0" w:color="auto"/>
            </w:tcBorders>
            <w:shd w:val="clear" w:color="auto" w:fill="auto"/>
            <w:hideMark/>
          </w:tcPr>
          <w:p w:rsidR="006B6FE6" w:rsidRPr="00643B97" w:rsidRDefault="006B6FE6" w:rsidP="00001712">
            <w:pPr>
              <w:spacing w:after="0" w:line="240" w:lineRule="auto"/>
              <w:rPr>
                <w:rFonts w:ascii="Times New Roman" w:eastAsia="Times New Roman" w:hAnsi="Times New Roman" w:cs="Times New Roman"/>
                <w:sz w:val="20"/>
                <w:szCs w:val="20"/>
              </w:rPr>
            </w:pPr>
            <w:r>
              <w:rPr>
                <w:rFonts w:ascii="Times New Roman" w:hAnsi="Times New Roman"/>
                <w:sz w:val="20"/>
              </w:rPr>
              <w:lastRenderedPageBreak/>
              <w:t xml:space="preserve">C0040 </w:t>
            </w:r>
          </w:p>
        </w:tc>
        <w:tc>
          <w:tcPr>
            <w:tcW w:w="2126" w:type="dxa"/>
            <w:tcBorders>
              <w:top w:val="nil"/>
              <w:left w:val="nil"/>
              <w:bottom w:val="single" w:sz="4" w:space="0" w:color="auto"/>
              <w:right w:val="single" w:sz="4" w:space="0" w:color="auto"/>
            </w:tcBorders>
            <w:shd w:val="clear" w:color="auto" w:fill="auto"/>
            <w:hideMark/>
          </w:tcPr>
          <w:p w:rsidR="006B6FE6" w:rsidRPr="00643B97" w:rsidRDefault="006B6FE6" w:rsidP="00001712">
            <w:pPr>
              <w:spacing w:after="0" w:line="240" w:lineRule="auto"/>
              <w:rPr>
                <w:rFonts w:ascii="Times New Roman" w:eastAsia="Times New Roman" w:hAnsi="Times New Roman" w:cs="Times New Roman"/>
                <w:sz w:val="20"/>
                <w:szCs w:val="20"/>
              </w:rPr>
            </w:pPr>
            <w:r>
              <w:rPr>
                <w:rFonts w:ascii="Times New Roman" w:hAnsi="Times New Roman"/>
                <w:sz w:val="20"/>
              </w:rPr>
              <w:t>Nom juridique de l’entreprise</w:t>
            </w:r>
          </w:p>
        </w:tc>
        <w:tc>
          <w:tcPr>
            <w:tcW w:w="6091" w:type="dxa"/>
            <w:tcBorders>
              <w:top w:val="nil"/>
              <w:left w:val="nil"/>
              <w:bottom w:val="single" w:sz="4" w:space="0" w:color="auto"/>
              <w:right w:val="single" w:sz="4" w:space="0" w:color="auto"/>
            </w:tcBorders>
            <w:shd w:val="clear" w:color="auto" w:fill="auto"/>
            <w:hideMark/>
          </w:tcPr>
          <w:p w:rsidR="006B6FE6" w:rsidRPr="00643B97" w:rsidRDefault="006B6FE6" w:rsidP="00001712">
            <w:pPr>
              <w:spacing w:after="0" w:line="240" w:lineRule="auto"/>
              <w:rPr>
                <w:rFonts w:ascii="Times New Roman" w:eastAsia="Times New Roman" w:hAnsi="Times New Roman" w:cs="Times New Roman"/>
                <w:sz w:val="20"/>
                <w:szCs w:val="20"/>
              </w:rPr>
            </w:pPr>
            <w:r>
              <w:rPr>
                <w:rFonts w:ascii="Times New Roman" w:hAnsi="Times New Roman"/>
                <w:sz w:val="20"/>
              </w:rPr>
              <w:t>Nom juridique de l’entreprise</w:t>
            </w:r>
          </w:p>
        </w:tc>
      </w:tr>
      <w:tr w:rsidR="006B6FE6" w:rsidRPr="00643B97" w:rsidTr="00001712">
        <w:trPr>
          <w:trHeight w:val="5985"/>
        </w:trPr>
        <w:tc>
          <w:tcPr>
            <w:tcW w:w="1144" w:type="dxa"/>
            <w:tcBorders>
              <w:top w:val="single" w:sz="4" w:space="0" w:color="auto"/>
              <w:left w:val="single" w:sz="4" w:space="0" w:color="auto"/>
              <w:bottom w:val="single" w:sz="4" w:space="0" w:color="auto"/>
              <w:right w:val="single" w:sz="4" w:space="0" w:color="auto"/>
            </w:tcBorders>
            <w:shd w:val="clear" w:color="auto" w:fill="auto"/>
            <w:hideMark/>
          </w:tcPr>
          <w:p w:rsidR="006B6FE6" w:rsidRPr="00643B97" w:rsidRDefault="006B6FE6" w:rsidP="00001712">
            <w:pPr>
              <w:spacing w:after="0" w:line="240" w:lineRule="auto"/>
              <w:rPr>
                <w:rFonts w:ascii="Times New Roman" w:eastAsia="Times New Roman" w:hAnsi="Times New Roman" w:cs="Times New Roman"/>
                <w:sz w:val="20"/>
                <w:szCs w:val="20"/>
              </w:rPr>
            </w:pPr>
            <w:r>
              <w:rPr>
                <w:rFonts w:ascii="Times New Roman" w:hAnsi="Times New Roman"/>
                <w:sz w:val="20"/>
              </w:rPr>
              <w:t xml:space="preserve">C0050 </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B6FE6" w:rsidRPr="00643B97" w:rsidRDefault="006B6FE6" w:rsidP="00001712">
            <w:pPr>
              <w:spacing w:after="0" w:line="240" w:lineRule="auto"/>
              <w:rPr>
                <w:rFonts w:ascii="Times New Roman" w:eastAsia="Times New Roman" w:hAnsi="Times New Roman" w:cs="Times New Roman"/>
                <w:sz w:val="20"/>
                <w:szCs w:val="20"/>
              </w:rPr>
            </w:pPr>
            <w:r>
              <w:rPr>
                <w:rFonts w:ascii="Times New Roman" w:hAnsi="Times New Roman"/>
                <w:sz w:val="20"/>
              </w:rPr>
              <w:t>Type d’entreprise</w:t>
            </w:r>
          </w:p>
        </w:tc>
        <w:tc>
          <w:tcPr>
            <w:tcW w:w="6091" w:type="dxa"/>
            <w:tcBorders>
              <w:top w:val="single" w:sz="4" w:space="0" w:color="auto"/>
              <w:left w:val="single" w:sz="4" w:space="0" w:color="auto"/>
              <w:bottom w:val="single" w:sz="4" w:space="0" w:color="auto"/>
              <w:right w:val="single" w:sz="4" w:space="0" w:color="auto"/>
            </w:tcBorders>
            <w:shd w:val="clear" w:color="000000" w:fill="FFFFFF"/>
            <w:hideMark/>
          </w:tcPr>
          <w:p w:rsidR="006B6FE6" w:rsidRPr="00643B97" w:rsidRDefault="006B6FE6" w:rsidP="00001712">
            <w:pPr>
              <w:spacing w:after="0" w:line="240" w:lineRule="auto"/>
              <w:rPr>
                <w:rFonts w:ascii="Times New Roman" w:eastAsia="Times New Roman" w:hAnsi="Times New Roman" w:cs="Times New Roman"/>
                <w:sz w:val="20"/>
                <w:szCs w:val="20"/>
              </w:rPr>
            </w:pPr>
            <w:r>
              <w:rPr>
                <w:rFonts w:ascii="Times New Roman" w:hAnsi="Times New Roman"/>
                <w:sz w:val="20"/>
              </w:rPr>
              <w:t xml:space="preserve">Le type d’entreprise, eu égard à son type d’activité. Cette information doit être fournie pour les entreprises EEE et hors EEE. Choisir impérativement l’une des options suivantes: </w:t>
            </w:r>
            <w:r>
              <w:rPr>
                <w:rFonts w:ascii="Times New Roman" w:eastAsia="Times New Roman" w:hAnsi="Times New Roman" w:cs="Times New Roman"/>
                <w:sz w:val="20"/>
                <w:szCs w:val="20"/>
              </w:rPr>
              <w:br/>
            </w:r>
            <w:r>
              <w:rPr>
                <w:rFonts w:ascii="Times New Roman" w:hAnsi="Times New Roman"/>
                <w:sz w:val="20"/>
              </w:rPr>
              <w:t>1 – Entreprise d'assurance vie</w:t>
            </w:r>
            <w:r>
              <w:rPr>
                <w:rFonts w:ascii="Times New Roman" w:eastAsia="Times New Roman" w:hAnsi="Times New Roman" w:cs="Times New Roman"/>
                <w:sz w:val="20"/>
                <w:szCs w:val="20"/>
              </w:rPr>
              <w:br/>
            </w:r>
            <w:r>
              <w:rPr>
                <w:rFonts w:ascii="Times New Roman" w:hAnsi="Times New Roman"/>
                <w:sz w:val="20"/>
              </w:rPr>
              <w:t>2 – Entreprise d'assurance non-vie</w:t>
            </w:r>
          </w:p>
          <w:p w:rsidR="006B6FE6" w:rsidRPr="00643B97" w:rsidRDefault="006B6FE6" w:rsidP="00001712">
            <w:pPr>
              <w:spacing w:after="0" w:line="240" w:lineRule="auto"/>
              <w:rPr>
                <w:rFonts w:ascii="Times New Roman" w:eastAsia="Times New Roman" w:hAnsi="Times New Roman" w:cs="Times New Roman"/>
                <w:sz w:val="20"/>
                <w:szCs w:val="20"/>
              </w:rPr>
            </w:pPr>
            <w:r>
              <w:rPr>
                <w:rFonts w:ascii="Times New Roman" w:hAnsi="Times New Roman"/>
                <w:sz w:val="20"/>
              </w:rPr>
              <w:t>3 – Entreprise de réassurance</w:t>
            </w:r>
            <w:r>
              <w:rPr>
                <w:rFonts w:ascii="Times New Roman" w:eastAsia="Times New Roman" w:hAnsi="Times New Roman" w:cs="Times New Roman"/>
                <w:sz w:val="20"/>
                <w:szCs w:val="20"/>
              </w:rPr>
              <w:br/>
            </w:r>
            <w:r>
              <w:rPr>
                <w:rFonts w:ascii="Times New Roman" w:hAnsi="Times New Roman"/>
                <w:sz w:val="20"/>
              </w:rPr>
              <w:t xml:space="preserve">4 – Entreprise </w:t>
            </w:r>
            <w:proofErr w:type="spellStart"/>
            <w:r>
              <w:rPr>
                <w:rFonts w:ascii="Times New Roman" w:hAnsi="Times New Roman"/>
                <w:sz w:val="20"/>
              </w:rPr>
              <w:t>multibranches</w:t>
            </w:r>
            <w:proofErr w:type="spellEnd"/>
            <w:r>
              <w:rPr>
                <w:rFonts w:ascii="Times New Roman" w:eastAsia="Times New Roman" w:hAnsi="Times New Roman" w:cs="Times New Roman"/>
                <w:sz w:val="20"/>
                <w:szCs w:val="20"/>
              </w:rPr>
              <w:br/>
            </w:r>
            <w:r>
              <w:rPr>
                <w:rFonts w:ascii="Times New Roman" w:hAnsi="Times New Roman"/>
                <w:sz w:val="20"/>
              </w:rPr>
              <w:t>5 – Société holding d’assurance au sens de l'article 212, paragraphe 1, point f), de la directive 2009/138/CE</w:t>
            </w:r>
            <w:r>
              <w:rPr>
                <w:rFonts w:ascii="Times New Roman" w:eastAsia="Times New Roman" w:hAnsi="Times New Roman" w:cs="Times New Roman"/>
                <w:sz w:val="20"/>
                <w:szCs w:val="20"/>
              </w:rPr>
              <w:br/>
            </w:r>
            <w:r>
              <w:rPr>
                <w:rFonts w:ascii="Times New Roman" w:hAnsi="Times New Roman"/>
                <w:sz w:val="20"/>
              </w:rPr>
              <w:t>6 – Société holding mixte d’assurance au sens de l'article 212, paragraphe 1, point g), de la directive 2009/138/CE</w:t>
            </w:r>
          </w:p>
          <w:p w:rsidR="006B6FE6" w:rsidRPr="00643B97" w:rsidRDefault="006B6FE6" w:rsidP="00001712">
            <w:pPr>
              <w:spacing w:after="0" w:line="240" w:lineRule="auto"/>
              <w:rPr>
                <w:rFonts w:ascii="Times New Roman" w:eastAsia="Times New Roman" w:hAnsi="Times New Roman" w:cs="Times New Roman"/>
                <w:sz w:val="20"/>
                <w:szCs w:val="20"/>
              </w:rPr>
            </w:pPr>
            <w:r>
              <w:rPr>
                <w:rFonts w:ascii="Times New Roman" w:hAnsi="Times New Roman"/>
                <w:sz w:val="20"/>
              </w:rPr>
              <w:t>7 – Compagnie financière holding mixte au sens de l'article 212, paragraphe 1, point h), de la directive 2009/138/CE</w:t>
            </w:r>
            <w:r>
              <w:rPr>
                <w:rFonts w:ascii="Times New Roman" w:eastAsia="Times New Roman" w:hAnsi="Times New Roman" w:cs="Times New Roman"/>
                <w:sz w:val="20"/>
                <w:szCs w:val="20"/>
              </w:rPr>
              <w:br/>
            </w:r>
            <w:r>
              <w:rPr>
                <w:rFonts w:ascii="Times New Roman" w:hAnsi="Times New Roman"/>
                <w:sz w:val="20"/>
              </w:rPr>
              <w:t>8 – Établissement de crédit, entreprise d'investissement ou établissement financier</w:t>
            </w:r>
            <w:r>
              <w:rPr>
                <w:rFonts w:ascii="Times New Roman" w:eastAsia="Times New Roman" w:hAnsi="Times New Roman" w:cs="Times New Roman"/>
                <w:sz w:val="20"/>
                <w:szCs w:val="20"/>
              </w:rPr>
              <w:br/>
            </w:r>
            <w:r>
              <w:rPr>
                <w:rFonts w:ascii="Times New Roman" w:hAnsi="Times New Roman"/>
                <w:sz w:val="20"/>
              </w:rPr>
              <w:t>9 – Institution de retraite professionnelle n’ayant pas son siège social en France</w:t>
            </w:r>
            <w:r>
              <w:rPr>
                <w:rFonts w:ascii="Times New Roman" w:eastAsia="Times New Roman" w:hAnsi="Times New Roman" w:cs="Times New Roman"/>
                <w:sz w:val="20"/>
                <w:szCs w:val="20"/>
              </w:rPr>
              <w:br/>
            </w:r>
            <w:r>
              <w:rPr>
                <w:rFonts w:ascii="Times New Roman" w:hAnsi="Times New Roman"/>
                <w:sz w:val="20"/>
              </w:rPr>
              <w:t xml:space="preserve">10 – </w:t>
            </w:r>
            <w:r w:rsidR="002824A3">
              <w:rPr>
                <w:rFonts w:ascii="Times New Roman" w:hAnsi="Times New Roman"/>
                <w:sz w:val="20"/>
              </w:rPr>
              <w:t>FRPS</w:t>
            </w:r>
            <w:r>
              <w:rPr>
                <w:rFonts w:ascii="Times New Roman" w:hAnsi="Times New Roman"/>
                <w:sz w:val="20"/>
              </w:rPr>
              <w:t>/MRPS/URPS/IRPS</w:t>
            </w:r>
            <w:r>
              <w:rPr>
                <w:rFonts w:ascii="Times New Roman" w:eastAsia="Times New Roman" w:hAnsi="Times New Roman" w:cs="Times New Roman"/>
                <w:sz w:val="20"/>
                <w:szCs w:val="20"/>
              </w:rPr>
              <w:br/>
            </w:r>
            <w:r>
              <w:rPr>
                <w:rFonts w:ascii="Times New Roman" w:hAnsi="Times New Roman"/>
                <w:sz w:val="20"/>
              </w:rPr>
              <w:t>11 – Entreprise non réglementée exerçant des activités financières au sens de l’article 1</w:t>
            </w:r>
            <w:r>
              <w:rPr>
                <w:rFonts w:ascii="Times New Roman" w:hAnsi="Times New Roman"/>
                <w:sz w:val="20"/>
                <w:vertAlign w:val="superscript"/>
              </w:rPr>
              <w:t>er</w:t>
            </w:r>
            <w:r>
              <w:rPr>
                <w:rFonts w:ascii="Times New Roman" w:hAnsi="Times New Roman"/>
                <w:sz w:val="20"/>
              </w:rPr>
              <w:t>, point 52, du règlement (UE) 2015/35</w:t>
            </w:r>
            <w:r>
              <w:rPr>
                <w:rFonts w:ascii="Times New Roman" w:eastAsia="Times New Roman" w:hAnsi="Times New Roman" w:cs="Times New Roman"/>
                <w:sz w:val="20"/>
                <w:szCs w:val="20"/>
              </w:rPr>
              <w:br/>
            </w:r>
            <w:r>
              <w:rPr>
                <w:rFonts w:ascii="Times New Roman" w:hAnsi="Times New Roman"/>
                <w:sz w:val="20"/>
              </w:rPr>
              <w:t>12 – Véhicule de titrisation agréé en vertu de l'article 211 de la directive 2009/138/CE</w:t>
            </w:r>
            <w:r>
              <w:rPr>
                <w:rFonts w:ascii="Times New Roman" w:eastAsia="Times New Roman" w:hAnsi="Times New Roman" w:cs="Times New Roman"/>
                <w:sz w:val="20"/>
                <w:szCs w:val="20"/>
              </w:rPr>
              <w:br/>
            </w:r>
            <w:r>
              <w:rPr>
                <w:rFonts w:ascii="Times New Roman" w:hAnsi="Times New Roman"/>
                <w:sz w:val="20"/>
              </w:rPr>
              <w:t>13 – Véhicule de titrisation autre qu'agréé en vertu de l'article 211 de la directive 2009/138/CE</w:t>
            </w:r>
          </w:p>
          <w:p w:rsidR="006B6FE6" w:rsidRPr="00643B97" w:rsidRDefault="006B6FE6" w:rsidP="00001712">
            <w:pPr>
              <w:spacing w:after="0" w:line="240" w:lineRule="auto"/>
              <w:rPr>
                <w:rFonts w:ascii="Times New Roman" w:eastAsia="Times New Roman" w:hAnsi="Times New Roman" w:cs="Times New Roman"/>
                <w:sz w:val="20"/>
                <w:szCs w:val="20"/>
              </w:rPr>
            </w:pPr>
            <w:r>
              <w:rPr>
                <w:rFonts w:ascii="Times New Roman" w:hAnsi="Times New Roman"/>
                <w:sz w:val="20"/>
              </w:rPr>
              <w:t>14 – Société de gestion d'OPCVM au sens de l’article 1</w:t>
            </w:r>
            <w:r>
              <w:rPr>
                <w:rFonts w:ascii="Times New Roman" w:hAnsi="Times New Roman"/>
                <w:sz w:val="20"/>
                <w:vertAlign w:val="superscript"/>
              </w:rPr>
              <w:t>er</w:t>
            </w:r>
            <w:r>
              <w:rPr>
                <w:rFonts w:ascii="Times New Roman" w:hAnsi="Times New Roman"/>
                <w:sz w:val="20"/>
              </w:rPr>
              <w:t>, point 54, du règlement (UE) 2015/35</w:t>
            </w:r>
          </w:p>
          <w:p w:rsidR="006B6FE6" w:rsidRDefault="006B6FE6" w:rsidP="00001712">
            <w:pPr>
              <w:keepNext/>
              <w:keepLines/>
              <w:spacing w:after="0" w:line="240" w:lineRule="auto"/>
              <w:outlineLvl w:val="1"/>
              <w:rPr>
                <w:rFonts w:ascii="Times New Roman" w:hAnsi="Times New Roman"/>
                <w:sz w:val="20"/>
              </w:rPr>
            </w:pPr>
            <w:r>
              <w:rPr>
                <w:rFonts w:ascii="Times New Roman" w:hAnsi="Times New Roman"/>
                <w:sz w:val="20"/>
              </w:rPr>
              <w:t>15 – Gestionnaire de fonds d'investissement alternatif au sens de l’article 1</w:t>
            </w:r>
            <w:r>
              <w:rPr>
                <w:rFonts w:ascii="Times New Roman" w:hAnsi="Times New Roman"/>
                <w:sz w:val="20"/>
                <w:vertAlign w:val="superscript"/>
              </w:rPr>
              <w:t>er</w:t>
            </w:r>
            <w:r>
              <w:rPr>
                <w:rFonts w:ascii="Times New Roman" w:hAnsi="Times New Roman"/>
                <w:sz w:val="20"/>
              </w:rPr>
              <w:t>, point 55, du règlement (UE) 2015/35</w:t>
            </w:r>
          </w:p>
          <w:p w:rsidR="006B6FE6" w:rsidRPr="0044578D" w:rsidRDefault="006B6FE6" w:rsidP="00001712">
            <w:pPr>
              <w:keepNext/>
              <w:keepLines/>
              <w:spacing w:after="0" w:line="240" w:lineRule="auto"/>
              <w:outlineLvl w:val="1"/>
              <w:rPr>
                <w:rFonts w:ascii="Times New Roman" w:hAnsi="Times New Roman"/>
                <w:sz w:val="20"/>
              </w:rPr>
            </w:pPr>
            <w:r>
              <w:rPr>
                <w:rFonts w:ascii="Times New Roman" w:hAnsi="Times New Roman"/>
                <w:sz w:val="20"/>
              </w:rPr>
              <w:t xml:space="preserve">16 – SCI </w:t>
            </w:r>
            <w:r>
              <w:rPr>
                <w:rFonts w:ascii="Times New Roman" w:eastAsia="Times New Roman" w:hAnsi="Times New Roman" w:cs="Times New Roman"/>
                <w:sz w:val="20"/>
                <w:szCs w:val="20"/>
              </w:rPr>
              <w:br/>
            </w:r>
            <w:r>
              <w:rPr>
                <w:rFonts w:ascii="Times New Roman" w:hAnsi="Times New Roman"/>
                <w:sz w:val="20"/>
              </w:rPr>
              <w:t>99 – Autre</w:t>
            </w:r>
          </w:p>
        </w:tc>
      </w:tr>
      <w:tr w:rsidR="006B6FE6" w:rsidRPr="00643B97" w:rsidTr="00001712">
        <w:trPr>
          <w:trHeight w:val="702"/>
        </w:trPr>
        <w:tc>
          <w:tcPr>
            <w:tcW w:w="1144" w:type="dxa"/>
            <w:tcBorders>
              <w:top w:val="single" w:sz="4" w:space="0" w:color="auto"/>
              <w:left w:val="single" w:sz="4" w:space="0" w:color="auto"/>
              <w:bottom w:val="single" w:sz="4" w:space="0" w:color="auto"/>
              <w:right w:val="single" w:sz="4" w:space="0" w:color="auto"/>
            </w:tcBorders>
            <w:shd w:val="clear" w:color="auto" w:fill="auto"/>
            <w:hideMark/>
          </w:tcPr>
          <w:p w:rsidR="006B6FE6" w:rsidRPr="00643B97" w:rsidRDefault="006B6FE6" w:rsidP="00001712">
            <w:pPr>
              <w:spacing w:after="0" w:line="240" w:lineRule="auto"/>
              <w:rPr>
                <w:rFonts w:ascii="Times New Roman" w:eastAsia="Times New Roman" w:hAnsi="Times New Roman" w:cs="Times New Roman"/>
                <w:sz w:val="20"/>
                <w:szCs w:val="20"/>
              </w:rPr>
            </w:pPr>
            <w:r>
              <w:rPr>
                <w:rFonts w:ascii="Times New Roman" w:hAnsi="Times New Roman"/>
                <w:sz w:val="20"/>
              </w:rPr>
              <w:t xml:space="preserve">C0060 </w:t>
            </w:r>
          </w:p>
        </w:tc>
        <w:tc>
          <w:tcPr>
            <w:tcW w:w="2126" w:type="dxa"/>
            <w:tcBorders>
              <w:top w:val="single" w:sz="4" w:space="0" w:color="auto"/>
              <w:left w:val="nil"/>
              <w:bottom w:val="single" w:sz="4" w:space="0" w:color="auto"/>
              <w:right w:val="single" w:sz="4" w:space="0" w:color="auto"/>
            </w:tcBorders>
            <w:shd w:val="clear" w:color="auto" w:fill="auto"/>
            <w:hideMark/>
          </w:tcPr>
          <w:p w:rsidR="006B6FE6" w:rsidRPr="00643B97" w:rsidRDefault="006B6FE6" w:rsidP="00001712">
            <w:pPr>
              <w:spacing w:after="0" w:line="240" w:lineRule="auto"/>
              <w:rPr>
                <w:rFonts w:ascii="Times New Roman" w:eastAsia="Times New Roman" w:hAnsi="Times New Roman" w:cs="Times New Roman"/>
                <w:sz w:val="20"/>
                <w:szCs w:val="20"/>
              </w:rPr>
            </w:pPr>
            <w:r>
              <w:rPr>
                <w:rFonts w:ascii="Times New Roman" w:hAnsi="Times New Roman"/>
                <w:sz w:val="20"/>
              </w:rPr>
              <w:t xml:space="preserve">Forme juridique </w:t>
            </w:r>
          </w:p>
        </w:tc>
        <w:tc>
          <w:tcPr>
            <w:tcW w:w="6091" w:type="dxa"/>
            <w:tcBorders>
              <w:top w:val="single" w:sz="4" w:space="0" w:color="auto"/>
              <w:left w:val="nil"/>
              <w:bottom w:val="single" w:sz="4" w:space="0" w:color="auto"/>
              <w:right w:val="single" w:sz="4" w:space="0" w:color="auto"/>
            </w:tcBorders>
            <w:shd w:val="clear" w:color="auto" w:fill="auto"/>
            <w:hideMark/>
          </w:tcPr>
          <w:p w:rsidR="006B6FE6" w:rsidRPr="00643B97" w:rsidRDefault="006B6FE6" w:rsidP="00001712">
            <w:pPr>
              <w:spacing w:after="0" w:line="240" w:lineRule="auto"/>
              <w:rPr>
                <w:rFonts w:ascii="Times New Roman" w:eastAsia="Times New Roman" w:hAnsi="Times New Roman" w:cs="Times New Roman"/>
                <w:sz w:val="20"/>
                <w:szCs w:val="20"/>
              </w:rPr>
            </w:pPr>
            <w:r>
              <w:rPr>
                <w:rFonts w:ascii="Times New Roman" w:hAnsi="Times New Roman"/>
                <w:sz w:val="20"/>
              </w:rPr>
              <w:t xml:space="preserve">La forme juridique de l’entreprise. </w:t>
            </w:r>
          </w:p>
          <w:p w:rsidR="006B6FE6" w:rsidRPr="00643B97" w:rsidRDefault="006B6FE6" w:rsidP="00001712">
            <w:pPr>
              <w:spacing w:after="0" w:line="240" w:lineRule="auto"/>
              <w:rPr>
                <w:rFonts w:ascii="Times New Roman" w:eastAsia="Times New Roman" w:hAnsi="Times New Roman" w:cs="Times New Roman"/>
                <w:sz w:val="20"/>
                <w:szCs w:val="20"/>
              </w:rPr>
            </w:pPr>
            <w:r>
              <w:rPr>
                <w:rFonts w:ascii="Times New Roman" w:hAnsi="Times New Roman"/>
                <w:sz w:val="20"/>
              </w:rPr>
              <w:t>Pour les catégories 1 à 4, ainsi que 10, les catégories à déclarer sont « SA », « SAM », « mutuelle », « IP », « MRPS », « URPS », « IRPS »</w:t>
            </w:r>
          </w:p>
        </w:tc>
      </w:tr>
      <w:tr w:rsidR="006B6FE6" w:rsidRPr="00643B97" w:rsidTr="00001712">
        <w:trPr>
          <w:trHeight w:val="1056"/>
        </w:trPr>
        <w:tc>
          <w:tcPr>
            <w:tcW w:w="1144" w:type="dxa"/>
            <w:tcBorders>
              <w:top w:val="nil"/>
              <w:left w:val="single" w:sz="4" w:space="0" w:color="auto"/>
              <w:bottom w:val="single" w:sz="4" w:space="0" w:color="auto"/>
              <w:right w:val="single" w:sz="4" w:space="0" w:color="auto"/>
            </w:tcBorders>
            <w:shd w:val="clear" w:color="000000" w:fill="FFFFFF"/>
            <w:hideMark/>
          </w:tcPr>
          <w:p w:rsidR="006B6FE6" w:rsidRPr="00643B97" w:rsidRDefault="006B6FE6" w:rsidP="00001712">
            <w:pPr>
              <w:spacing w:after="0" w:line="240" w:lineRule="auto"/>
              <w:rPr>
                <w:rFonts w:ascii="Times New Roman" w:eastAsia="Times New Roman" w:hAnsi="Times New Roman" w:cs="Times New Roman"/>
                <w:sz w:val="20"/>
                <w:szCs w:val="20"/>
              </w:rPr>
            </w:pPr>
            <w:r>
              <w:rPr>
                <w:rFonts w:ascii="Times New Roman" w:hAnsi="Times New Roman"/>
                <w:sz w:val="20"/>
              </w:rPr>
              <w:t xml:space="preserve">C0070 </w:t>
            </w:r>
          </w:p>
        </w:tc>
        <w:tc>
          <w:tcPr>
            <w:tcW w:w="2126" w:type="dxa"/>
            <w:tcBorders>
              <w:top w:val="nil"/>
              <w:left w:val="nil"/>
              <w:bottom w:val="single" w:sz="4" w:space="0" w:color="auto"/>
              <w:right w:val="single" w:sz="4" w:space="0" w:color="auto"/>
            </w:tcBorders>
            <w:shd w:val="clear" w:color="000000" w:fill="FFFFFF"/>
            <w:hideMark/>
          </w:tcPr>
          <w:p w:rsidR="006B6FE6" w:rsidRPr="00643B97" w:rsidRDefault="006B6FE6" w:rsidP="00001712">
            <w:pPr>
              <w:spacing w:after="0" w:line="240" w:lineRule="auto"/>
              <w:rPr>
                <w:rFonts w:ascii="Times New Roman" w:eastAsia="Times New Roman" w:hAnsi="Times New Roman" w:cs="Times New Roman"/>
                <w:sz w:val="20"/>
                <w:szCs w:val="20"/>
              </w:rPr>
            </w:pPr>
            <w:r>
              <w:rPr>
                <w:rFonts w:ascii="Times New Roman" w:hAnsi="Times New Roman"/>
                <w:sz w:val="20"/>
              </w:rPr>
              <w:t>Catégorie (mutuelle/non mutuelle)</w:t>
            </w:r>
          </w:p>
        </w:tc>
        <w:tc>
          <w:tcPr>
            <w:tcW w:w="6091" w:type="dxa"/>
            <w:tcBorders>
              <w:top w:val="nil"/>
              <w:left w:val="nil"/>
              <w:bottom w:val="single" w:sz="4" w:space="0" w:color="auto"/>
              <w:right w:val="single" w:sz="4" w:space="0" w:color="auto"/>
            </w:tcBorders>
            <w:shd w:val="clear" w:color="000000" w:fill="FFFFFF"/>
            <w:hideMark/>
          </w:tcPr>
          <w:p w:rsidR="006B6FE6" w:rsidRPr="00643B97" w:rsidRDefault="006B6FE6" w:rsidP="00001712">
            <w:pPr>
              <w:spacing w:after="0" w:line="240" w:lineRule="auto"/>
              <w:rPr>
                <w:rFonts w:ascii="Times New Roman" w:eastAsia="Times New Roman" w:hAnsi="Times New Roman" w:cs="Times New Roman"/>
                <w:sz w:val="20"/>
                <w:szCs w:val="20"/>
              </w:rPr>
            </w:pPr>
            <w:r>
              <w:rPr>
                <w:rFonts w:ascii="Times New Roman" w:hAnsi="Times New Roman"/>
                <w:sz w:val="20"/>
              </w:rPr>
              <w:t>Informations de haut niveau sur la forme juridique, à savoir le fait que l'entreprise est de type mutuel ou non.</w:t>
            </w:r>
            <w:r>
              <w:rPr>
                <w:rFonts w:ascii="Times New Roman" w:eastAsia="Times New Roman" w:hAnsi="Times New Roman" w:cs="Times New Roman"/>
                <w:sz w:val="20"/>
                <w:szCs w:val="20"/>
              </w:rPr>
              <w:br/>
            </w:r>
            <w:r>
              <w:rPr>
                <w:rFonts w:ascii="Times New Roman" w:hAnsi="Times New Roman"/>
                <w:sz w:val="20"/>
              </w:rPr>
              <w:t>Choisir impérativement l’une des options suivantes:</w:t>
            </w:r>
            <w:r>
              <w:rPr>
                <w:rFonts w:ascii="Times New Roman" w:eastAsia="Times New Roman" w:hAnsi="Times New Roman" w:cs="Times New Roman"/>
                <w:sz w:val="20"/>
                <w:szCs w:val="20"/>
              </w:rPr>
              <w:br/>
            </w:r>
            <w:r>
              <w:rPr>
                <w:rFonts w:ascii="Times New Roman" w:hAnsi="Times New Roman"/>
                <w:sz w:val="20"/>
              </w:rPr>
              <w:t xml:space="preserve">1 – Mutuelle </w:t>
            </w:r>
            <w:r>
              <w:rPr>
                <w:rFonts w:ascii="Times New Roman" w:eastAsia="Times New Roman" w:hAnsi="Times New Roman" w:cs="Times New Roman"/>
                <w:sz w:val="20"/>
                <w:szCs w:val="20"/>
              </w:rPr>
              <w:br/>
            </w:r>
            <w:r>
              <w:rPr>
                <w:rFonts w:ascii="Times New Roman" w:hAnsi="Times New Roman"/>
                <w:sz w:val="20"/>
              </w:rPr>
              <w:t>2 – Non mutuelle</w:t>
            </w:r>
          </w:p>
        </w:tc>
      </w:tr>
      <w:tr w:rsidR="006B6FE6" w:rsidRPr="00643B97" w:rsidTr="00001712">
        <w:trPr>
          <w:trHeight w:val="702"/>
        </w:trPr>
        <w:tc>
          <w:tcPr>
            <w:tcW w:w="1144" w:type="dxa"/>
            <w:tcBorders>
              <w:top w:val="nil"/>
              <w:left w:val="single" w:sz="4" w:space="0" w:color="auto"/>
              <w:bottom w:val="single" w:sz="4" w:space="0" w:color="auto"/>
              <w:right w:val="single" w:sz="4" w:space="0" w:color="auto"/>
            </w:tcBorders>
            <w:shd w:val="clear" w:color="000000" w:fill="FFFFFF"/>
            <w:hideMark/>
          </w:tcPr>
          <w:p w:rsidR="006B6FE6" w:rsidRPr="00643B97" w:rsidRDefault="006B6FE6" w:rsidP="00001712">
            <w:pPr>
              <w:spacing w:after="0" w:line="240" w:lineRule="auto"/>
              <w:rPr>
                <w:rFonts w:ascii="Times New Roman" w:eastAsia="Times New Roman" w:hAnsi="Times New Roman" w:cs="Times New Roman"/>
                <w:sz w:val="20"/>
                <w:szCs w:val="20"/>
              </w:rPr>
            </w:pPr>
            <w:r>
              <w:rPr>
                <w:rFonts w:ascii="Times New Roman" w:hAnsi="Times New Roman"/>
                <w:sz w:val="20"/>
              </w:rPr>
              <w:t xml:space="preserve">C0081 </w:t>
            </w:r>
          </w:p>
        </w:tc>
        <w:tc>
          <w:tcPr>
            <w:tcW w:w="2126" w:type="dxa"/>
            <w:tcBorders>
              <w:top w:val="nil"/>
              <w:left w:val="nil"/>
              <w:bottom w:val="single" w:sz="4" w:space="0" w:color="auto"/>
              <w:right w:val="single" w:sz="4" w:space="0" w:color="auto"/>
            </w:tcBorders>
            <w:shd w:val="clear" w:color="000000" w:fill="FFFFFF"/>
            <w:hideMark/>
          </w:tcPr>
          <w:p w:rsidR="006B6FE6" w:rsidRPr="00643B97" w:rsidRDefault="006B6FE6" w:rsidP="00001712">
            <w:pPr>
              <w:spacing w:after="0" w:line="240" w:lineRule="auto"/>
              <w:rPr>
                <w:rFonts w:ascii="Times New Roman" w:eastAsia="Times New Roman" w:hAnsi="Times New Roman" w:cs="Times New Roman"/>
                <w:sz w:val="20"/>
                <w:szCs w:val="20"/>
              </w:rPr>
            </w:pPr>
            <w:r>
              <w:rPr>
                <w:rFonts w:ascii="Times New Roman" w:hAnsi="Times New Roman"/>
                <w:sz w:val="20"/>
              </w:rPr>
              <w:t>Autorité de contrôle</w:t>
            </w:r>
          </w:p>
        </w:tc>
        <w:tc>
          <w:tcPr>
            <w:tcW w:w="6091" w:type="dxa"/>
            <w:tcBorders>
              <w:top w:val="nil"/>
              <w:left w:val="nil"/>
              <w:bottom w:val="single" w:sz="4" w:space="0" w:color="auto"/>
              <w:right w:val="single" w:sz="4" w:space="0" w:color="auto"/>
            </w:tcBorders>
            <w:shd w:val="clear" w:color="000000" w:fill="FFFFFF"/>
            <w:hideMark/>
          </w:tcPr>
          <w:p w:rsidR="006B6FE6" w:rsidRPr="00643B97" w:rsidRDefault="006B6FE6" w:rsidP="00001712">
            <w:pPr>
              <w:spacing w:after="0" w:line="240" w:lineRule="auto"/>
              <w:rPr>
                <w:rFonts w:ascii="Times New Roman" w:eastAsia="Times New Roman" w:hAnsi="Times New Roman" w:cs="Times New Roman"/>
                <w:sz w:val="20"/>
                <w:szCs w:val="20"/>
              </w:rPr>
            </w:pPr>
            <w:r>
              <w:rPr>
                <w:rFonts w:ascii="Times New Roman" w:hAnsi="Times New Roman"/>
                <w:sz w:val="20"/>
              </w:rPr>
              <w:t xml:space="preserve">Nom de l’autorité de contrôle de l’entreprise si celle-ci relève des catégories 1 à 4, 8, 9,10 ou 12 de la cellule «Type d’entreprise». </w:t>
            </w:r>
          </w:p>
          <w:p w:rsidR="006B6FE6" w:rsidRPr="00643B97" w:rsidRDefault="006B6FE6" w:rsidP="00001712">
            <w:pPr>
              <w:spacing w:after="0" w:line="240" w:lineRule="auto"/>
              <w:rPr>
                <w:rFonts w:ascii="Times New Roman" w:eastAsia="Times New Roman" w:hAnsi="Times New Roman" w:cs="Times New Roman"/>
                <w:sz w:val="20"/>
                <w:szCs w:val="20"/>
              </w:rPr>
            </w:pPr>
          </w:p>
          <w:p w:rsidR="006B6FE6" w:rsidRPr="00643B97" w:rsidRDefault="006B6FE6" w:rsidP="00001712">
            <w:pPr>
              <w:spacing w:after="0" w:line="240" w:lineRule="auto"/>
              <w:rPr>
                <w:rFonts w:ascii="Times New Roman" w:eastAsia="Times New Roman" w:hAnsi="Times New Roman" w:cs="Times New Roman"/>
                <w:sz w:val="20"/>
                <w:szCs w:val="20"/>
              </w:rPr>
            </w:pPr>
            <w:r>
              <w:rPr>
                <w:rFonts w:ascii="Times New Roman" w:hAnsi="Times New Roman"/>
                <w:sz w:val="20"/>
              </w:rPr>
              <w:t>Indiquer le nom complet de l’autorité.</w:t>
            </w:r>
          </w:p>
        </w:tc>
      </w:tr>
      <w:tr w:rsidR="006B6FE6" w:rsidRPr="00643B97" w:rsidTr="00001712">
        <w:trPr>
          <w:trHeight w:val="702"/>
        </w:trPr>
        <w:tc>
          <w:tcPr>
            <w:tcW w:w="1144" w:type="dxa"/>
            <w:tcBorders>
              <w:top w:val="nil"/>
              <w:left w:val="single" w:sz="4" w:space="0" w:color="auto"/>
              <w:bottom w:val="single" w:sz="4" w:space="0" w:color="auto"/>
              <w:right w:val="single" w:sz="4" w:space="0" w:color="auto"/>
            </w:tcBorders>
            <w:shd w:val="clear" w:color="000000" w:fill="FFFFFF"/>
          </w:tcPr>
          <w:p w:rsidR="006B6FE6" w:rsidRDefault="006B6FE6" w:rsidP="00001712">
            <w:pPr>
              <w:spacing w:after="0" w:line="240" w:lineRule="auto"/>
              <w:rPr>
                <w:rFonts w:ascii="Times New Roman" w:hAnsi="Times New Roman"/>
                <w:sz w:val="20"/>
              </w:rPr>
            </w:pPr>
            <w:r>
              <w:rPr>
                <w:rFonts w:ascii="Times New Roman" w:hAnsi="Times New Roman"/>
                <w:sz w:val="20"/>
              </w:rPr>
              <w:t xml:space="preserve">C0180 </w:t>
            </w:r>
          </w:p>
        </w:tc>
        <w:tc>
          <w:tcPr>
            <w:tcW w:w="2126" w:type="dxa"/>
            <w:tcBorders>
              <w:top w:val="nil"/>
              <w:left w:val="nil"/>
              <w:bottom w:val="single" w:sz="4" w:space="0" w:color="auto"/>
              <w:right w:val="single" w:sz="4" w:space="0" w:color="auto"/>
            </w:tcBorders>
            <w:shd w:val="clear" w:color="000000" w:fill="FFFFFF"/>
          </w:tcPr>
          <w:p w:rsidR="006B6FE6" w:rsidRDefault="006B6FE6" w:rsidP="00001712">
            <w:pPr>
              <w:spacing w:after="0" w:line="240" w:lineRule="auto"/>
              <w:rPr>
                <w:rFonts w:ascii="Times New Roman" w:hAnsi="Times New Roman"/>
                <w:sz w:val="20"/>
              </w:rPr>
            </w:pPr>
            <w:r>
              <w:rPr>
                <w:rFonts w:ascii="Times New Roman" w:hAnsi="Times New Roman"/>
                <w:sz w:val="20"/>
              </w:rPr>
              <w:t>% de part de capital</w:t>
            </w:r>
          </w:p>
        </w:tc>
        <w:tc>
          <w:tcPr>
            <w:tcW w:w="6091" w:type="dxa"/>
            <w:tcBorders>
              <w:top w:val="nil"/>
              <w:left w:val="nil"/>
              <w:bottom w:val="single" w:sz="4" w:space="0" w:color="auto"/>
              <w:right w:val="single" w:sz="4" w:space="0" w:color="auto"/>
            </w:tcBorders>
            <w:shd w:val="clear" w:color="000000" w:fill="FFFFFF"/>
          </w:tcPr>
          <w:p w:rsidR="006B6FE6" w:rsidRDefault="006B6FE6" w:rsidP="002824A3">
            <w:pPr>
              <w:spacing w:after="0" w:line="240" w:lineRule="auto"/>
              <w:rPr>
                <w:rFonts w:ascii="Times New Roman" w:hAnsi="Times New Roman"/>
                <w:sz w:val="20"/>
              </w:rPr>
            </w:pPr>
            <w:r>
              <w:rPr>
                <w:rFonts w:ascii="Times New Roman" w:hAnsi="Times New Roman"/>
                <w:sz w:val="20"/>
              </w:rPr>
              <w:t>Fraction du capital souscrit qui est détenue, directement ou indirectement, par l</w:t>
            </w:r>
            <w:r w:rsidR="002824A3">
              <w:rPr>
                <w:rFonts w:ascii="Times New Roman" w:hAnsi="Times New Roman"/>
                <w:sz w:val="20"/>
              </w:rPr>
              <w:t>’ORPS</w:t>
            </w:r>
            <w:r>
              <w:rPr>
                <w:rFonts w:ascii="Times New Roman" w:hAnsi="Times New Roman"/>
                <w:sz w:val="20"/>
              </w:rPr>
              <w:t>.</w:t>
            </w:r>
          </w:p>
        </w:tc>
      </w:tr>
      <w:tr w:rsidR="006B6FE6" w:rsidRPr="00643B97" w:rsidTr="00001712">
        <w:trPr>
          <w:trHeight w:val="702"/>
        </w:trPr>
        <w:tc>
          <w:tcPr>
            <w:tcW w:w="1144" w:type="dxa"/>
            <w:tcBorders>
              <w:top w:val="nil"/>
              <w:left w:val="single" w:sz="4" w:space="0" w:color="auto"/>
              <w:bottom w:val="single" w:sz="4" w:space="0" w:color="auto"/>
              <w:right w:val="single" w:sz="4" w:space="0" w:color="auto"/>
            </w:tcBorders>
            <w:shd w:val="clear" w:color="000000" w:fill="FFFFFF"/>
          </w:tcPr>
          <w:p w:rsidR="006B6FE6" w:rsidRDefault="006B6FE6" w:rsidP="00001712">
            <w:pPr>
              <w:spacing w:after="0" w:line="240" w:lineRule="auto"/>
              <w:rPr>
                <w:rFonts w:ascii="Times New Roman" w:hAnsi="Times New Roman"/>
                <w:sz w:val="20"/>
              </w:rPr>
            </w:pPr>
            <w:r>
              <w:rPr>
                <w:rFonts w:ascii="Times New Roman" w:hAnsi="Times New Roman"/>
                <w:sz w:val="20"/>
              </w:rPr>
              <w:t xml:space="preserve">C0200 </w:t>
            </w:r>
          </w:p>
        </w:tc>
        <w:tc>
          <w:tcPr>
            <w:tcW w:w="2126" w:type="dxa"/>
            <w:tcBorders>
              <w:top w:val="nil"/>
              <w:left w:val="nil"/>
              <w:bottom w:val="single" w:sz="4" w:space="0" w:color="auto"/>
              <w:right w:val="single" w:sz="4" w:space="0" w:color="auto"/>
            </w:tcBorders>
            <w:shd w:val="clear" w:color="000000" w:fill="FFFFFF"/>
          </w:tcPr>
          <w:p w:rsidR="006B6FE6" w:rsidRDefault="006B6FE6" w:rsidP="00001712">
            <w:pPr>
              <w:spacing w:after="0" w:line="240" w:lineRule="auto"/>
              <w:rPr>
                <w:rFonts w:ascii="Times New Roman" w:hAnsi="Times New Roman"/>
                <w:sz w:val="20"/>
              </w:rPr>
            </w:pPr>
            <w:r>
              <w:rPr>
                <w:rFonts w:ascii="Times New Roman" w:hAnsi="Times New Roman"/>
                <w:sz w:val="20"/>
              </w:rPr>
              <w:t>% des droits de vote</w:t>
            </w:r>
          </w:p>
        </w:tc>
        <w:tc>
          <w:tcPr>
            <w:tcW w:w="6091" w:type="dxa"/>
            <w:tcBorders>
              <w:top w:val="nil"/>
              <w:left w:val="nil"/>
              <w:bottom w:val="single" w:sz="4" w:space="0" w:color="auto"/>
              <w:right w:val="single" w:sz="4" w:space="0" w:color="auto"/>
            </w:tcBorders>
            <w:shd w:val="clear" w:color="000000" w:fill="FFFFFF"/>
          </w:tcPr>
          <w:p w:rsidR="006B6FE6" w:rsidRDefault="006B6FE6" w:rsidP="00001712">
            <w:pPr>
              <w:spacing w:after="0" w:line="240" w:lineRule="auto"/>
              <w:rPr>
                <w:rFonts w:ascii="Times New Roman" w:hAnsi="Times New Roman"/>
                <w:sz w:val="20"/>
              </w:rPr>
            </w:pPr>
            <w:r>
              <w:rPr>
                <w:rFonts w:ascii="Times New Roman" w:hAnsi="Times New Roman"/>
                <w:sz w:val="20"/>
              </w:rPr>
              <w:t>Part des droits de vote détenus, direc</w:t>
            </w:r>
            <w:r w:rsidR="002824A3">
              <w:rPr>
                <w:rFonts w:ascii="Times New Roman" w:hAnsi="Times New Roman"/>
                <w:sz w:val="20"/>
              </w:rPr>
              <w:t>tement ou indirectement, par l’ORPS</w:t>
            </w:r>
          </w:p>
        </w:tc>
      </w:tr>
    </w:tbl>
    <w:p w:rsidR="00D94D9F" w:rsidRDefault="00D94D9F">
      <w:pPr>
        <w:rPr>
          <w:b/>
        </w:rPr>
        <w:sectPr w:rsidR="00D94D9F">
          <w:pgSz w:w="11906" w:h="16838"/>
          <w:pgMar w:top="1417" w:right="1417" w:bottom="1417" w:left="1417" w:header="708" w:footer="708" w:gutter="0"/>
          <w:cols w:space="708"/>
          <w:docGrid w:linePitch="360"/>
        </w:sectPr>
      </w:pPr>
    </w:p>
    <w:p w:rsidR="00D94D9F" w:rsidRDefault="00D94D9F">
      <w:pPr>
        <w:rPr>
          <w:b/>
        </w:rPr>
        <w:sectPr w:rsidR="00D94D9F" w:rsidSect="00D94D9F">
          <w:pgSz w:w="11906" w:h="16838"/>
          <w:pgMar w:top="1418" w:right="1418" w:bottom="1418" w:left="1418" w:header="709" w:footer="709" w:gutter="0"/>
          <w:cols w:space="708"/>
          <w:docGrid w:linePitch="360"/>
        </w:sectPr>
      </w:pPr>
      <w:r w:rsidRPr="00D94D9F">
        <w:rPr>
          <w:noProof/>
          <w:lang w:bidi="ar-SA"/>
        </w:rPr>
        <w:lastRenderedPageBreak/>
        <w:drawing>
          <wp:inline distT="0" distB="0" distL="0" distR="0" wp14:anchorId="31DE5A78" wp14:editId="3A4180B1">
            <wp:extent cx="5737720" cy="12096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59450" cy="1214256"/>
                    </a:xfrm>
                    <a:prstGeom prst="rect">
                      <a:avLst/>
                    </a:prstGeom>
                    <a:noFill/>
                    <a:ln>
                      <a:noFill/>
                    </a:ln>
                  </pic:spPr>
                </pic:pic>
              </a:graphicData>
            </a:graphic>
          </wp:inline>
        </w:drawing>
      </w:r>
    </w:p>
    <w:p w:rsidR="00D94D9F" w:rsidRPr="006B6FE6" w:rsidRDefault="00D94D9F" w:rsidP="002824A3">
      <w:pPr>
        <w:rPr>
          <w:b/>
        </w:rPr>
      </w:pPr>
    </w:p>
    <w:sectPr w:rsidR="00D94D9F" w:rsidRPr="006B6F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99368D"/>
    <w:multiLevelType w:val="hybridMultilevel"/>
    <w:tmpl w:val="0A2A3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FE6"/>
    <w:rsid w:val="002824A3"/>
    <w:rsid w:val="005F28B1"/>
    <w:rsid w:val="006B6FE6"/>
    <w:rsid w:val="00734770"/>
    <w:rsid w:val="00777804"/>
    <w:rsid w:val="00D94D9F"/>
    <w:rsid w:val="00DA1663"/>
    <w:rsid w:val="00E56909"/>
    <w:rsid w:val="00F304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B7380A-D6D7-4B73-95D0-D62E0C18B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B6FE6"/>
    <w:rPr>
      <w:lang w:eastAsia="fr-FR" w:bidi="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6B6FE6"/>
    <w:rPr>
      <w:sz w:val="16"/>
      <w:szCs w:val="16"/>
    </w:rPr>
  </w:style>
  <w:style w:type="paragraph" w:styleId="Commentaire">
    <w:name w:val="annotation text"/>
    <w:basedOn w:val="Normal"/>
    <w:link w:val="CommentaireCar"/>
    <w:uiPriority w:val="99"/>
    <w:unhideWhenUsed/>
    <w:rsid w:val="006B6FE6"/>
    <w:pPr>
      <w:spacing w:line="240" w:lineRule="auto"/>
    </w:pPr>
    <w:rPr>
      <w:sz w:val="20"/>
      <w:szCs w:val="20"/>
    </w:rPr>
  </w:style>
  <w:style w:type="character" w:customStyle="1" w:styleId="CommentaireCar">
    <w:name w:val="Commentaire Car"/>
    <w:basedOn w:val="Policepardfaut"/>
    <w:link w:val="Commentaire"/>
    <w:uiPriority w:val="99"/>
    <w:rsid w:val="006B6FE6"/>
    <w:rPr>
      <w:sz w:val="20"/>
      <w:szCs w:val="20"/>
      <w:lang w:eastAsia="fr-FR" w:bidi="fr-FR"/>
    </w:rPr>
  </w:style>
  <w:style w:type="paragraph" w:styleId="Paragraphedeliste">
    <w:name w:val="List Paragraph"/>
    <w:basedOn w:val="Normal"/>
    <w:uiPriority w:val="34"/>
    <w:qFormat/>
    <w:rsid w:val="006B6FE6"/>
    <w:pPr>
      <w:spacing w:after="0" w:line="240" w:lineRule="auto"/>
      <w:ind w:left="720"/>
      <w:contextualSpacing/>
      <w:jc w:val="both"/>
    </w:pPr>
    <w:rPr>
      <w:rFonts w:ascii="Times New Roman" w:eastAsia="Times New Roman" w:hAnsi="Times New Roman" w:cs="Times New Roman"/>
      <w:szCs w:val="20"/>
    </w:rPr>
  </w:style>
  <w:style w:type="paragraph" w:styleId="Textedebulles">
    <w:name w:val="Balloon Text"/>
    <w:basedOn w:val="Normal"/>
    <w:link w:val="TextedebullesCar"/>
    <w:uiPriority w:val="99"/>
    <w:semiHidden/>
    <w:unhideWhenUsed/>
    <w:rsid w:val="006B6FE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B6FE6"/>
    <w:rPr>
      <w:rFonts w:ascii="Tahoma" w:hAnsi="Tahoma" w:cs="Tahoma"/>
      <w:sz w:val="16"/>
      <w:szCs w:val="16"/>
      <w:lang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677</Words>
  <Characters>3725</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4394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ADNOT</dc:creator>
  <cp:lastModifiedBy>DIAGNE Afissa-Elodie (SGACPR DAI)</cp:lastModifiedBy>
  <cp:revision>2</cp:revision>
  <dcterms:created xsi:type="dcterms:W3CDTF">2024-03-12T09:05:00Z</dcterms:created>
  <dcterms:modified xsi:type="dcterms:W3CDTF">2024-03-12T09:05:00Z</dcterms:modified>
</cp:coreProperties>
</file>