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A55188" w14:textId="2C756BF1" w:rsidR="008771DA" w:rsidRDefault="00380382" w:rsidP="008771DA">
      <w:pPr>
        <w:rPr>
          <w:rFonts w:ascii="Times New Roman" w:hAnsi="Times New Roman" w:cs="Times New Roman"/>
          <w:b/>
          <w:sz w:val="20"/>
        </w:rPr>
      </w:pPr>
      <w:bookmarkStart w:id="0" w:name="_GoBack"/>
      <w:bookmarkEnd w:id="0"/>
      <w:r>
        <w:rPr>
          <w:noProof/>
        </w:rPr>
        <w:drawing>
          <wp:inline distT="0" distB="0" distL="0" distR="0" wp14:anchorId="561E9225" wp14:editId="6DD96BAE">
            <wp:extent cx="1109980" cy="989965"/>
            <wp:effectExtent l="0" t="0" r="0" b="635"/>
            <wp:docPr id="10" name="Image 5"/>
            <wp:cNvGraphicFramePr/>
            <a:graphic xmlns:a="http://schemas.openxmlformats.org/drawingml/2006/main">
              <a:graphicData uri="http://schemas.openxmlformats.org/drawingml/2006/picture">
                <pic:pic xmlns:pic="http://schemas.openxmlformats.org/drawingml/2006/picture">
                  <pic:nvPicPr>
                    <pic:cNvPr id="10" name="Image 5"/>
                    <pic:cNvPicPr/>
                  </pic:nvPicPr>
                  <pic:blipFill>
                    <a:blip r:embed="rId9">
                      <a:extLst>
                        <a:ext uri="{28A0092B-C50C-407E-A947-70E740481C1C}">
                          <a14:useLocalDpi xmlns:a14="http://schemas.microsoft.com/office/drawing/2010/main" val="0"/>
                        </a:ext>
                      </a:extLst>
                    </a:blip>
                    <a:stretch>
                      <a:fillRect/>
                    </a:stretch>
                  </pic:blipFill>
                  <pic:spPr bwMode="auto">
                    <a:xfrm>
                      <a:off x="0" y="0"/>
                      <a:ext cx="1109980" cy="989965"/>
                    </a:xfrm>
                    <a:prstGeom prst="rect">
                      <a:avLst/>
                    </a:prstGeom>
                    <a:noFill/>
                    <a:ln w="9525">
                      <a:noFill/>
                      <a:miter lim="800000"/>
                      <a:headEnd/>
                      <a:tailEnd/>
                    </a:ln>
                  </pic:spPr>
                </pic:pic>
              </a:graphicData>
            </a:graphic>
          </wp:inline>
        </w:drawing>
      </w:r>
    </w:p>
    <w:p w14:paraId="54359729" w14:textId="77777777" w:rsidR="008771DA" w:rsidRPr="00AF1D16" w:rsidDel="00160A5F" w:rsidRDefault="008771DA" w:rsidP="008771DA">
      <w:pPr>
        <w:jc w:val="center"/>
        <w:rPr>
          <w:rFonts w:ascii="Times New Roman" w:hAnsi="Times New Roman" w:cs="Times New Roman"/>
          <w:b/>
          <w:color w:val="003B8E"/>
          <w:sz w:val="32"/>
          <w:szCs w:val="32"/>
        </w:rPr>
      </w:pPr>
      <w:r w:rsidRPr="00AF1D16" w:rsidDel="00160A5F">
        <w:rPr>
          <w:rFonts w:ascii="Times New Roman" w:hAnsi="Times New Roman" w:cs="Times New Roman"/>
          <w:b/>
          <w:color w:val="003B8E"/>
          <w:sz w:val="32"/>
          <w:szCs w:val="32"/>
        </w:rPr>
        <w:t>Guide méthodologique</w:t>
      </w:r>
    </w:p>
    <w:p w14:paraId="26F4E80C" w14:textId="749B4A5F" w:rsidR="008771DA" w:rsidRPr="00AF1D16" w:rsidRDefault="008771DA" w:rsidP="008771DA">
      <w:pPr>
        <w:jc w:val="center"/>
        <w:rPr>
          <w:rFonts w:ascii="Times New Roman" w:hAnsi="Times New Roman" w:cs="Times New Roman"/>
          <w:b/>
          <w:color w:val="003B8E"/>
          <w:sz w:val="28"/>
          <w:szCs w:val="32"/>
        </w:rPr>
      </w:pPr>
      <w:r>
        <w:rPr>
          <w:rFonts w:ascii="Times New Roman" w:hAnsi="Times New Roman" w:cs="Times New Roman"/>
          <w:b/>
          <w:color w:val="003B8E"/>
          <w:sz w:val="28"/>
          <w:szCs w:val="32"/>
        </w:rPr>
        <w:t>Modèle de l’état</w:t>
      </w:r>
      <w:r w:rsidRPr="00AF1D16">
        <w:rPr>
          <w:rFonts w:ascii="Times New Roman" w:hAnsi="Times New Roman" w:cs="Times New Roman"/>
          <w:b/>
          <w:color w:val="003B8E"/>
          <w:sz w:val="28"/>
          <w:szCs w:val="32"/>
        </w:rPr>
        <w:t xml:space="preserve"> « </w:t>
      </w:r>
      <w:r w:rsidRPr="008771DA">
        <w:rPr>
          <w:rFonts w:ascii="Times New Roman" w:hAnsi="Times New Roman" w:cs="Times New Roman"/>
          <w:b/>
          <w:color w:val="003B8E"/>
          <w:sz w:val="28"/>
          <w:szCs w:val="32"/>
        </w:rPr>
        <w:t>Actifs détenus en tant que sûretés</w:t>
      </w:r>
      <w:r w:rsidRPr="00AF1D16">
        <w:rPr>
          <w:rFonts w:ascii="Times New Roman" w:hAnsi="Times New Roman" w:cs="Times New Roman"/>
          <w:b/>
          <w:color w:val="003B8E"/>
          <w:sz w:val="28"/>
          <w:szCs w:val="32"/>
        </w:rPr>
        <w:t> » (RP</w:t>
      </w:r>
      <w:r>
        <w:rPr>
          <w:rFonts w:ascii="Times New Roman" w:hAnsi="Times New Roman" w:cs="Times New Roman"/>
          <w:b/>
          <w:color w:val="003B8E"/>
          <w:sz w:val="28"/>
          <w:szCs w:val="32"/>
        </w:rPr>
        <w:t>.11.01.01)</w:t>
      </w:r>
    </w:p>
    <w:p w14:paraId="2B72492E" w14:textId="77777777" w:rsidR="008771DA" w:rsidRDefault="008771DA" w:rsidP="00950116">
      <w:pPr>
        <w:rPr>
          <w:rFonts w:ascii="Times New Roman" w:hAnsi="Times New Roman"/>
          <w:b/>
          <w:sz w:val="20"/>
        </w:rPr>
      </w:pPr>
    </w:p>
    <w:p w14:paraId="1A099826" w14:textId="77777777" w:rsidR="0095672C" w:rsidRPr="008B3312" w:rsidRDefault="0095672C" w:rsidP="00950116">
      <w:pPr>
        <w:rPr>
          <w:rFonts w:ascii="Times New Roman" w:hAnsi="Times New Roman" w:cs="Times New Roman"/>
          <w:b/>
          <w:bCs/>
          <w:sz w:val="20"/>
          <w:szCs w:val="20"/>
        </w:rPr>
      </w:pPr>
      <w:r>
        <w:rPr>
          <w:rFonts w:ascii="Times New Roman" w:hAnsi="Times New Roman"/>
          <w:b/>
          <w:sz w:val="20"/>
        </w:rPr>
        <w:t>Observations générales</w:t>
      </w:r>
    </w:p>
    <w:p w14:paraId="1E5BB89A" w14:textId="1B17A941" w:rsidR="0095672C" w:rsidRPr="008B3312" w:rsidRDefault="0095672C" w:rsidP="00950116">
      <w:pPr>
        <w:jc w:val="both"/>
        <w:rPr>
          <w:rFonts w:ascii="Times New Roman" w:hAnsi="Times New Roman" w:cs="Times New Roman"/>
          <w:bCs/>
          <w:sz w:val="20"/>
          <w:szCs w:val="20"/>
        </w:rPr>
      </w:pPr>
      <w:r>
        <w:rPr>
          <w:rFonts w:ascii="Times New Roman" w:hAnsi="Times New Roman"/>
          <w:sz w:val="20"/>
        </w:rPr>
        <w:t>Ce modèle contient une liste élément par élément des actifs détenus hors bilan en tant que sûreté</w:t>
      </w:r>
      <w:r w:rsidR="00565267">
        <w:rPr>
          <w:rFonts w:ascii="Times New Roman" w:hAnsi="Times New Roman"/>
          <w:sz w:val="20"/>
        </w:rPr>
        <w:t>s</w:t>
      </w:r>
      <w:r>
        <w:rPr>
          <w:rFonts w:ascii="Times New Roman" w:hAnsi="Times New Roman"/>
          <w:sz w:val="20"/>
        </w:rPr>
        <w:t xml:space="preserve"> couvrant les actifs du bilan détenus directement par </w:t>
      </w:r>
      <w:r w:rsidR="008771DA">
        <w:rPr>
          <w:rFonts w:ascii="Times New Roman" w:hAnsi="Times New Roman"/>
          <w:sz w:val="20"/>
        </w:rPr>
        <w:t>l’O</w:t>
      </w:r>
      <w:r w:rsidR="00126B85">
        <w:rPr>
          <w:rFonts w:ascii="Times New Roman" w:hAnsi="Times New Roman"/>
          <w:sz w:val="20"/>
        </w:rPr>
        <w:t xml:space="preserve">RPS </w:t>
      </w:r>
      <w:r>
        <w:rPr>
          <w:rFonts w:ascii="Times New Roman" w:hAnsi="Times New Roman"/>
          <w:sz w:val="20"/>
        </w:rPr>
        <w:t>(c’est-à-dire non</w:t>
      </w:r>
      <w:proofErr w:type="gramStart"/>
      <w:r>
        <w:rPr>
          <w:rFonts w:ascii="Times New Roman" w:hAnsi="Times New Roman"/>
          <w:sz w:val="20"/>
        </w:rPr>
        <w:t xml:space="preserve"> «par</w:t>
      </w:r>
      <w:proofErr w:type="gramEnd"/>
      <w:r>
        <w:rPr>
          <w:rFonts w:ascii="Times New Roman" w:hAnsi="Times New Roman"/>
          <w:sz w:val="20"/>
        </w:rPr>
        <w:t xml:space="preserve"> transparence»). </w:t>
      </w:r>
    </w:p>
    <w:p w14:paraId="3FC5A903" w14:textId="0FC3A802" w:rsidR="0095672C" w:rsidRPr="008B3312" w:rsidRDefault="0095672C" w:rsidP="00950116">
      <w:pPr>
        <w:jc w:val="both"/>
        <w:rPr>
          <w:rFonts w:ascii="Times New Roman" w:hAnsi="Times New Roman" w:cs="Times New Roman"/>
          <w:bCs/>
          <w:sz w:val="20"/>
          <w:szCs w:val="20"/>
        </w:rPr>
      </w:pPr>
      <w:r>
        <w:rPr>
          <w:rFonts w:ascii="Times New Roman" w:hAnsi="Times New Roman"/>
          <w:sz w:val="20"/>
        </w:rPr>
        <w:t>Il vise à la fourniture d’informations détaillées dans la perspective des actifs détenus en tant que sûreté</w:t>
      </w:r>
      <w:r w:rsidR="00565267">
        <w:rPr>
          <w:rFonts w:ascii="Times New Roman" w:hAnsi="Times New Roman"/>
          <w:sz w:val="20"/>
        </w:rPr>
        <w:t>s</w:t>
      </w:r>
      <w:r>
        <w:rPr>
          <w:rFonts w:ascii="Times New Roman" w:hAnsi="Times New Roman"/>
          <w:sz w:val="20"/>
        </w:rPr>
        <w:t>, et non dans la perspective du contrat de sûreté</w:t>
      </w:r>
      <w:r w:rsidR="00565267">
        <w:rPr>
          <w:rFonts w:ascii="Times New Roman" w:hAnsi="Times New Roman"/>
          <w:sz w:val="20"/>
        </w:rPr>
        <w:t>s</w:t>
      </w:r>
      <w:r>
        <w:rPr>
          <w:rFonts w:ascii="Times New Roman" w:hAnsi="Times New Roman"/>
          <w:sz w:val="20"/>
        </w:rPr>
        <w:t xml:space="preserve">. </w:t>
      </w:r>
    </w:p>
    <w:p w14:paraId="1CF1B35B" w14:textId="601119F5" w:rsidR="0095672C" w:rsidRPr="008B3312" w:rsidRDefault="0095672C" w:rsidP="00950116">
      <w:pPr>
        <w:jc w:val="both"/>
        <w:rPr>
          <w:rFonts w:ascii="Times New Roman" w:hAnsi="Times New Roman" w:cs="Times New Roman"/>
          <w:bCs/>
          <w:sz w:val="20"/>
          <w:szCs w:val="20"/>
        </w:rPr>
      </w:pPr>
      <w:r>
        <w:rPr>
          <w:rFonts w:ascii="Times New Roman" w:hAnsi="Times New Roman"/>
          <w:sz w:val="20"/>
        </w:rPr>
        <w:t>S’il existe un pool de sûretés ou un contrat de sûreté</w:t>
      </w:r>
      <w:r w:rsidR="00565267">
        <w:rPr>
          <w:rFonts w:ascii="Times New Roman" w:hAnsi="Times New Roman"/>
          <w:sz w:val="20"/>
        </w:rPr>
        <w:t>s</w:t>
      </w:r>
      <w:r>
        <w:rPr>
          <w:rFonts w:ascii="Times New Roman" w:hAnsi="Times New Roman"/>
          <w:sz w:val="20"/>
        </w:rPr>
        <w:t xml:space="preserve"> comprenant plusieurs actifs, utiliser autant de lignes que les actifs compris dans le pool ou le contrat pour la déclaration.</w:t>
      </w:r>
    </w:p>
    <w:p w14:paraId="7F7A66AC" w14:textId="77777777" w:rsidR="0095672C" w:rsidRPr="008B3312" w:rsidRDefault="0095672C" w:rsidP="00950116">
      <w:pPr>
        <w:jc w:val="both"/>
        <w:rPr>
          <w:rFonts w:ascii="Times New Roman" w:hAnsi="Times New Roman" w:cs="Times New Roman"/>
          <w:sz w:val="20"/>
          <w:szCs w:val="20"/>
        </w:rPr>
      </w:pPr>
      <w:r>
        <w:rPr>
          <w:rFonts w:ascii="Times New Roman" w:hAnsi="Times New Roman"/>
          <w:sz w:val="20"/>
        </w:rPr>
        <w:t xml:space="preserve">Ce modèle se compose de deux </w:t>
      </w:r>
      <w:proofErr w:type="gramStart"/>
      <w:r>
        <w:rPr>
          <w:rFonts w:ascii="Times New Roman" w:hAnsi="Times New Roman"/>
          <w:sz w:val="20"/>
        </w:rPr>
        <w:t>tableaux:</w:t>
      </w:r>
      <w:proofErr w:type="gramEnd"/>
      <w:r>
        <w:rPr>
          <w:rFonts w:ascii="Times New Roman" w:hAnsi="Times New Roman"/>
          <w:sz w:val="20"/>
        </w:rPr>
        <w:t xml:space="preserve"> «Informations sur les positions détenues» et «Informations sur les actifs».</w:t>
      </w:r>
    </w:p>
    <w:p w14:paraId="15C1D2AB" w14:textId="77777777" w:rsidR="0095672C" w:rsidRPr="008B3312" w:rsidRDefault="0095672C" w:rsidP="00950116">
      <w:pPr>
        <w:jc w:val="both"/>
        <w:rPr>
          <w:rFonts w:ascii="Times New Roman" w:hAnsi="Times New Roman" w:cs="Times New Roman"/>
          <w:sz w:val="20"/>
          <w:szCs w:val="20"/>
        </w:rPr>
      </w:pPr>
      <w:r>
        <w:rPr>
          <w:rFonts w:ascii="Times New Roman" w:hAnsi="Times New Roman"/>
          <w:sz w:val="20"/>
        </w:rPr>
        <w:t>Dans le tableau</w:t>
      </w:r>
      <w:proofErr w:type="gramStart"/>
      <w:r>
        <w:rPr>
          <w:rFonts w:ascii="Times New Roman" w:hAnsi="Times New Roman"/>
          <w:sz w:val="20"/>
        </w:rPr>
        <w:t xml:space="preserve"> «Informations</w:t>
      </w:r>
      <w:proofErr w:type="gramEnd"/>
      <w:r>
        <w:rPr>
          <w:rFonts w:ascii="Times New Roman" w:hAnsi="Times New Roman"/>
          <w:sz w:val="20"/>
        </w:rPr>
        <w:t xml:space="preserve"> sur les positions détenues», chaque actif détenu en tant que sûreté doit être déclaré séparément, et il convient d’utiliser autant de lignes que nécessaire pour compléter dûment toutes les variables requises dans ce tableau. Si deux valeurs peuvent être attribuées à une variable pour un même actif, celui-ci doit être déclaré sur plus d’une ligne.</w:t>
      </w:r>
    </w:p>
    <w:p w14:paraId="47BB991A" w14:textId="77777777" w:rsidR="0095672C" w:rsidRPr="008B3312" w:rsidRDefault="0095672C" w:rsidP="00950116">
      <w:pPr>
        <w:jc w:val="both"/>
        <w:rPr>
          <w:rFonts w:ascii="Times New Roman" w:hAnsi="Times New Roman" w:cs="Times New Roman"/>
          <w:sz w:val="20"/>
          <w:szCs w:val="20"/>
        </w:rPr>
      </w:pPr>
      <w:r>
        <w:rPr>
          <w:rFonts w:ascii="Times New Roman" w:hAnsi="Times New Roman"/>
          <w:sz w:val="20"/>
        </w:rPr>
        <w:t>Dans le tableau</w:t>
      </w:r>
      <w:proofErr w:type="gramStart"/>
      <w:r>
        <w:rPr>
          <w:rFonts w:ascii="Times New Roman" w:hAnsi="Times New Roman"/>
          <w:sz w:val="20"/>
        </w:rPr>
        <w:t xml:space="preserve"> «Informations</w:t>
      </w:r>
      <w:proofErr w:type="gramEnd"/>
      <w:r>
        <w:rPr>
          <w:rFonts w:ascii="Times New Roman" w:hAnsi="Times New Roman"/>
          <w:sz w:val="20"/>
        </w:rPr>
        <w:t xml:space="preserve"> sur les actifs», il convient de déclarer chaque actif séparément, à raison d’une ligne par actif, en complétant toutes les variables requises dans ce tableau.</w:t>
      </w:r>
    </w:p>
    <w:p w14:paraId="02ED5004" w14:textId="0B1DC5EA" w:rsidR="0095672C" w:rsidRPr="008B3312" w:rsidRDefault="0095672C" w:rsidP="00950116">
      <w:pPr>
        <w:jc w:val="both"/>
        <w:rPr>
          <w:rFonts w:ascii="Times New Roman" w:hAnsi="Times New Roman" w:cs="Times New Roman"/>
          <w:sz w:val="20"/>
          <w:szCs w:val="20"/>
        </w:rPr>
      </w:pPr>
      <w:r>
        <w:rPr>
          <w:rFonts w:ascii="Times New Roman" w:hAnsi="Times New Roman"/>
          <w:sz w:val="20"/>
        </w:rPr>
        <w:t>Tous les éléments à l’exception de C0140</w:t>
      </w:r>
      <w:proofErr w:type="gramStart"/>
      <w:r>
        <w:rPr>
          <w:rFonts w:ascii="Times New Roman" w:hAnsi="Times New Roman"/>
          <w:sz w:val="20"/>
        </w:rPr>
        <w:t xml:space="preserve"> «type</w:t>
      </w:r>
      <w:proofErr w:type="gramEnd"/>
      <w:r>
        <w:rPr>
          <w:rFonts w:ascii="Times New Roman" w:hAnsi="Times New Roman"/>
          <w:sz w:val="20"/>
        </w:rPr>
        <w:t xml:space="preserve"> d’actif pour lequel la sûreté est détenue», C0060 «nom de la contrepartie qui fournit la sûreté» et C0070 «nom du groupe de la contrepartie qui fournit la sûreté», ont trait à des informations sur les actifs détenus en tant que sûreté</w:t>
      </w:r>
      <w:r w:rsidR="00565267">
        <w:rPr>
          <w:rFonts w:ascii="Times New Roman" w:hAnsi="Times New Roman"/>
          <w:sz w:val="20"/>
        </w:rPr>
        <w:t>s</w:t>
      </w:r>
      <w:r>
        <w:rPr>
          <w:rFonts w:ascii="Times New Roman" w:hAnsi="Times New Roman"/>
          <w:sz w:val="20"/>
        </w:rPr>
        <w:t>. L’élément C0140 concerne l’actif du bilan pour lequel la sûreté est détenue, et les éléments C0060 et C0070 la contrepartie qui fournit la sûreté.</w:t>
      </w:r>
    </w:p>
    <w:p w14:paraId="65236D90" w14:textId="6EEBB226" w:rsidR="0095672C" w:rsidRPr="008B3312" w:rsidRDefault="0095672C" w:rsidP="00950116">
      <w:pPr>
        <w:jc w:val="both"/>
        <w:rPr>
          <w:rFonts w:ascii="Times New Roman" w:hAnsi="Times New Roman" w:cs="Times New Roman"/>
          <w:sz w:val="20"/>
          <w:szCs w:val="20"/>
        </w:rPr>
      </w:pPr>
      <w:r>
        <w:rPr>
          <w:rFonts w:ascii="Times New Roman" w:hAnsi="Times New Roman"/>
          <w:sz w:val="20"/>
        </w:rPr>
        <w:t xml:space="preserve">Les catégories d’actifs visées dans ce modèle sont celles définies à </w:t>
      </w:r>
      <w:r w:rsidRPr="00757810">
        <w:rPr>
          <w:rFonts w:ascii="Times New Roman" w:hAnsi="Times New Roman"/>
          <w:sz w:val="20"/>
        </w:rPr>
        <w:t>l’annexe IV</w:t>
      </w:r>
      <w:proofErr w:type="gramStart"/>
      <w:r w:rsidRPr="00757810">
        <w:rPr>
          <w:rFonts w:ascii="Times New Roman" w:hAnsi="Times New Roman"/>
          <w:sz w:val="20"/>
        </w:rPr>
        <w:t xml:space="preserve"> </w:t>
      </w:r>
      <w:r w:rsidRPr="00B43B89">
        <w:rPr>
          <w:rFonts w:ascii="Times New Roman" w:hAnsi="Times New Roman"/>
          <w:sz w:val="20"/>
        </w:rPr>
        <w:t>«Catégories</w:t>
      </w:r>
      <w:proofErr w:type="gramEnd"/>
      <w:r w:rsidRPr="00B43B89">
        <w:rPr>
          <w:rFonts w:ascii="Times New Roman" w:hAnsi="Times New Roman"/>
          <w:sz w:val="20"/>
        </w:rPr>
        <w:t xml:space="preserve"> d’actifs» du </w:t>
      </w:r>
      <w:r w:rsidR="00035FBF" w:rsidRPr="00757810">
        <w:rPr>
          <w:rFonts w:ascii="Times New Roman" w:hAnsi="Times New Roman"/>
          <w:sz w:val="20"/>
        </w:rPr>
        <w:t xml:space="preserve">Règlement d’exécution (UE) </w:t>
      </w:r>
      <w:r w:rsidR="00E812DB">
        <w:rPr>
          <w:rFonts w:ascii="Times New Roman" w:hAnsi="Times New Roman"/>
          <w:sz w:val="20"/>
        </w:rPr>
        <w:t>2023/894</w:t>
      </w:r>
      <w:r w:rsidR="00035FBF" w:rsidRPr="00757810">
        <w:rPr>
          <w:rFonts w:ascii="Times New Roman" w:hAnsi="Times New Roman"/>
          <w:sz w:val="20"/>
        </w:rPr>
        <w:t xml:space="preserve"> de la Commission du </w:t>
      </w:r>
      <w:r w:rsidR="00E812DB">
        <w:rPr>
          <w:rFonts w:ascii="Times New Roman" w:hAnsi="Times New Roman"/>
          <w:sz w:val="20"/>
        </w:rPr>
        <w:t>4 avril 2023</w:t>
      </w:r>
      <w:r w:rsidRPr="00B43B89">
        <w:rPr>
          <w:rFonts w:ascii="Times New Roman" w:hAnsi="Times New Roman"/>
          <w:sz w:val="20"/>
        </w:rPr>
        <w:t xml:space="preserve">, et les références aux codes CIC renvoient à l’annexe V «Tableau des codes CIC» du </w:t>
      </w:r>
      <w:r w:rsidR="00035FBF" w:rsidRPr="00B43B89">
        <w:rPr>
          <w:rFonts w:ascii="Times New Roman" w:hAnsi="Times New Roman"/>
          <w:sz w:val="20"/>
        </w:rPr>
        <w:t>même</w:t>
      </w:r>
      <w:r w:rsidRPr="00B43B89">
        <w:rPr>
          <w:rFonts w:ascii="Times New Roman" w:hAnsi="Times New Roman"/>
          <w:sz w:val="20"/>
        </w:rPr>
        <w:t xml:space="preserve"> règlement.</w:t>
      </w:r>
    </w:p>
    <w:p w14:paraId="1B2F0B6D" w14:textId="77777777" w:rsidR="0095672C" w:rsidRPr="008B3312" w:rsidRDefault="0095672C" w:rsidP="00950116">
      <w:pPr>
        <w:jc w:val="both"/>
        <w:rPr>
          <w:rFonts w:ascii="Times New Roman" w:hAnsi="Times New Roman" w:cs="Times New Roman"/>
          <w:b/>
          <w:sz w:val="20"/>
          <w:szCs w:val="20"/>
        </w:rPr>
      </w:pPr>
      <w:r>
        <w:rPr>
          <w:rFonts w:ascii="Times New Roman" w:hAnsi="Times New Roman"/>
          <w:b/>
          <w:sz w:val="20"/>
        </w:rPr>
        <w:t>Informations sur les positions détenues</w:t>
      </w:r>
    </w:p>
    <w:tbl>
      <w:tblPr>
        <w:tblStyle w:val="Grilledutableau"/>
        <w:tblW w:w="9322" w:type="dxa"/>
        <w:tblLook w:val="04A0" w:firstRow="1" w:lastRow="0" w:firstColumn="1" w:lastColumn="0" w:noHBand="0" w:noVBand="1"/>
      </w:tblPr>
      <w:tblGrid>
        <w:gridCol w:w="1378"/>
        <w:gridCol w:w="1991"/>
        <w:gridCol w:w="5953"/>
      </w:tblGrid>
      <w:tr w:rsidR="0095672C" w:rsidRPr="008B3312" w14:paraId="4C50D8B1" w14:textId="77777777" w:rsidTr="0044578D">
        <w:trPr>
          <w:trHeight w:val="300"/>
        </w:trPr>
        <w:tc>
          <w:tcPr>
            <w:tcW w:w="1378" w:type="dxa"/>
            <w:noWrap/>
            <w:hideMark/>
          </w:tcPr>
          <w:p w14:paraId="76D62478" w14:textId="77777777" w:rsidR="0095672C" w:rsidRPr="008B3312" w:rsidRDefault="0095672C" w:rsidP="00950116">
            <w:pPr>
              <w:spacing w:after="200" w:line="276" w:lineRule="auto"/>
              <w:jc w:val="center"/>
              <w:rPr>
                <w:rFonts w:ascii="Times New Roman" w:hAnsi="Times New Roman" w:cs="Times New Roman"/>
                <w:sz w:val="20"/>
                <w:szCs w:val="20"/>
              </w:rPr>
            </w:pPr>
          </w:p>
        </w:tc>
        <w:tc>
          <w:tcPr>
            <w:tcW w:w="1991" w:type="dxa"/>
            <w:hideMark/>
          </w:tcPr>
          <w:p w14:paraId="10420190" w14:textId="77777777" w:rsidR="0095672C" w:rsidRPr="008B3312" w:rsidRDefault="0095672C" w:rsidP="00950116">
            <w:pPr>
              <w:spacing w:after="200" w:line="276" w:lineRule="auto"/>
              <w:jc w:val="center"/>
              <w:rPr>
                <w:rFonts w:ascii="Times New Roman" w:hAnsi="Times New Roman" w:cs="Times New Roman"/>
                <w:b/>
                <w:bCs/>
                <w:sz w:val="20"/>
                <w:szCs w:val="20"/>
              </w:rPr>
            </w:pPr>
            <w:r>
              <w:rPr>
                <w:rFonts w:ascii="Times New Roman" w:hAnsi="Times New Roman"/>
                <w:b/>
                <w:sz w:val="20"/>
              </w:rPr>
              <w:t>ÉLÉMENT À DÉCLARER</w:t>
            </w:r>
          </w:p>
        </w:tc>
        <w:tc>
          <w:tcPr>
            <w:tcW w:w="5953" w:type="dxa"/>
            <w:hideMark/>
          </w:tcPr>
          <w:p w14:paraId="4F42AF6D" w14:textId="77777777" w:rsidR="0095672C" w:rsidRPr="008B3312" w:rsidRDefault="0095672C" w:rsidP="00950116">
            <w:pPr>
              <w:spacing w:after="200" w:line="276" w:lineRule="auto"/>
              <w:jc w:val="center"/>
              <w:rPr>
                <w:rFonts w:ascii="Times New Roman" w:hAnsi="Times New Roman" w:cs="Times New Roman"/>
                <w:b/>
                <w:bCs/>
                <w:sz w:val="20"/>
                <w:szCs w:val="20"/>
              </w:rPr>
            </w:pPr>
            <w:r>
              <w:rPr>
                <w:rFonts w:ascii="Times New Roman" w:hAnsi="Times New Roman"/>
                <w:b/>
                <w:sz w:val="20"/>
              </w:rPr>
              <w:t>INSTRUCTIONS</w:t>
            </w:r>
          </w:p>
        </w:tc>
      </w:tr>
      <w:tr w:rsidR="0095672C" w:rsidRPr="008B3312" w14:paraId="69ADD5E7" w14:textId="77777777" w:rsidTr="0044578D">
        <w:trPr>
          <w:trHeight w:val="1530"/>
        </w:trPr>
        <w:tc>
          <w:tcPr>
            <w:tcW w:w="1378" w:type="dxa"/>
            <w:hideMark/>
          </w:tcPr>
          <w:p w14:paraId="5495CDF3" w14:textId="77777777" w:rsidR="0095672C" w:rsidRPr="00166F34" w:rsidRDefault="0095672C" w:rsidP="00950116">
            <w:pPr>
              <w:pStyle w:val="Sansinterligne"/>
              <w:rPr>
                <w:rFonts w:ascii="Times New Roman" w:hAnsi="Times New Roman"/>
              </w:rPr>
            </w:pPr>
            <w:r>
              <w:rPr>
                <w:rFonts w:ascii="Times New Roman" w:hAnsi="Times New Roman"/>
                <w:sz w:val="20"/>
              </w:rPr>
              <w:t>C0040</w:t>
            </w:r>
          </w:p>
        </w:tc>
        <w:tc>
          <w:tcPr>
            <w:tcW w:w="1991" w:type="dxa"/>
            <w:hideMark/>
          </w:tcPr>
          <w:p w14:paraId="120AC057"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Code d’identification de l’actif</w:t>
            </w:r>
          </w:p>
        </w:tc>
        <w:tc>
          <w:tcPr>
            <w:tcW w:w="5953" w:type="dxa"/>
            <w:hideMark/>
          </w:tcPr>
          <w:p w14:paraId="41819402" w14:textId="3B28FE66"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 xml:space="preserve">Indiquer le code d’identification de l’actif, par ordre de priorité </w:t>
            </w:r>
            <w:proofErr w:type="gramStart"/>
            <w:r>
              <w:rPr>
                <w:rFonts w:ascii="Times New Roman" w:hAnsi="Times New Roman"/>
                <w:sz w:val="20"/>
              </w:rPr>
              <w:t>suivant:</w:t>
            </w:r>
            <w:proofErr w:type="gramEnd"/>
            <w:r>
              <w:rPr>
                <w:rFonts w:ascii="Times New Roman" w:hAnsi="Times New Roman"/>
                <w:sz w:val="20"/>
              </w:rPr>
              <w:t xml:space="preserve"> </w:t>
            </w:r>
            <w:r w:rsidR="00FE79E2">
              <w:rPr>
                <w:rFonts w:ascii="Times New Roman" w:hAnsi="Times New Roman" w:cs="Times New Roman"/>
                <w:sz w:val="20"/>
                <w:szCs w:val="20"/>
              </w:rPr>
              <w:br/>
            </w:r>
            <w:r>
              <w:rPr>
                <w:rFonts w:ascii="Times New Roman" w:hAnsi="Times New Roman"/>
                <w:sz w:val="20"/>
              </w:rPr>
              <w:t xml:space="preserve">  – code ISIN de l’ISO 6166 si disponible</w:t>
            </w:r>
            <w:r w:rsidR="00FE79E2">
              <w:rPr>
                <w:rFonts w:ascii="Times New Roman" w:hAnsi="Times New Roman" w:cs="Times New Roman"/>
                <w:sz w:val="20"/>
                <w:szCs w:val="20"/>
              </w:rPr>
              <w:br/>
            </w:r>
            <w:r>
              <w:rPr>
                <w:rFonts w:ascii="Times New Roman" w:hAnsi="Times New Roman"/>
                <w:sz w:val="20"/>
              </w:rPr>
              <w:t xml:space="preserve">  – autres codes reconnus (tels que CUSIP, Bloomberg </w:t>
            </w:r>
            <w:proofErr w:type="spellStart"/>
            <w:r>
              <w:rPr>
                <w:rFonts w:ascii="Times New Roman" w:hAnsi="Times New Roman"/>
                <w:sz w:val="20"/>
              </w:rPr>
              <w:t>Ticker</w:t>
            </w:r>
            <w:proofErr w:type="spellEnd"/>
            <w:r>
              <w:rPr>
                <w:rFonts w:ascii="Times New Roman" w:hAnsi="Times New Roman"/>
                <w:sz w:val="20"/>
              </w:rPr>
              <w:t>, Reuters RIC)</w:t>
            </w:r>
            <w:r w:rsidR="00FE79E2">
              <w:rPr>
                <w:rFonts w:ascii="Times New Roman" w:hAnsi="Times New Roman" w:cs="Times New Roman"/>
                <w:sz w:val="20"/>
                <w:szCs w:val="20"/>
              </w:rPr>
              <w:br/>
            </w:r>
            <w:r>
              <w:rPr>
                <w:rFonts w:ascii="Times New Roman" w:hAnsi="Times New Roman"/>
                <w:sz w:val="20"/>
              </w:rPr>
              <w:t xml:space="preserve">  – code attribué par </w:t>
            </w:r>
            <w:r w:rsidR="008771DA">
              <w:rPr>
                <w:rFonts w:ascii="Times New Roman" w:hAnsi="Times New Roman"/>
                <w:sz w:val="20"/>
              </w:rPr>
              <w:t>l’O</w:t>
            </w:r>
            <w:r w:rsidR="00126B85">
              <w:rPr>
                <w:rFonts w:ascii="Times New Roman" w:hAnsi="Times New Roman"/>
                <w:sz w:val="20"/>
              </w:rPr>
              <w:t>RPS</w:t>
            </w:r>
            <w:r>
              <w:rPr>
                <w:rFonts w:ascii="Times New Roman" w:hAnsi="Times New Roman"/>
                <w:sz w:val="20"/>
              </w:rPr>
              <w:t xml:space="preserve">, lorsque les options ci-dessus ne sont pas </w:t>
            </w:r>
            <w:r>
              <w:rPr>
                <w:rFonts w:ascii="Times New Roman" w:hAnsi="Times New Roman"/>
                <w:sz w:val="20"/>
              </w:rPr>
              <w:lastRenderedPageBreak/>
              <w:t>disponibles, qui doit rester constant dans le temps</w:t>
            </w:r>
          </w:p>
          <w:p w14:paraId="2317F8BB"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 xml:space="preserve">Lorsque le même code d’identification d’actif doit être répété pour un actif émis dans 2 monnaies différentes, voire plus, ce code d’identification de l’actif doit être assorti du code alphabétique ISO 4217 de la monnaie d’émission, comme </w:t>
            </w:r>
            <w:proofErr w:type="gramStart"/>
            <w:r>
              <w:rPr>
                <w:rFonts w:ascii="Times New Roman" w:hAnsi="Times New Roman"/>
                <w:sz w:val="20"/>
              </w:rPr>
              <w:t>suit:</w:t>
            </w:r>
            <w:proofErr w:type="gramEnd"/>
            <w:r>
              <w:rPr>
                <w:rFonts w:ascii="Times New Roman" w:hAnsi="Times New Roman"/>
                <w:sz w:val="20"/>
              </w:rPr>
              <w:t xml:space="preserve"> «code + EUR»</w:t>
            </w:r>
          </w:p>
        </w:tc>
      </w:tr>
      <w:tr w:rsidR="0095672C" w:rsidRPr="008B3312" w14:paraId="5F56E623" w14:textId="77777777" w:rsidTr="0044578D">
        <w:trPr>
          <w:trHeight w:val="1500"/>
        </w:trPr>
        <w:tc>
          <w:tcPr>
            <w:tcW w:w="1378" w:type="dxa"/>
            <w:hideMark/>
          </w:tcPr>
          <w:p w14:paraId="4CF3F30E"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lastRenderedPageBreak/>
              <w:t>C0050</w:t>
            </w:r>
          </w:p>
        </w:tc>
        <w:tc>
          <w:tcPr>
            <w:tcW w:w="1991" w:type="dxa"/>
            <w:hideMark/>
          </w:tcPr>
          <w:p w14:paraId="45C04EC1"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Type de code d’identification de l’actif</w:t>
            </w:r>
          </w:p>
        </w:tc>
        <w:tc>
          <w:tcPr>
            <w:tcW w:w="5953" w:type="dxa"/>
            <w:hideMark/>
          </w:tcPr>
          <w:p w14:paraId="7D9A26D0"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Indiquer le type de code d’identification utilisé pour l’élément</w:t>
            </w:r>
            <w:proofErr w:type="gramStart"/>
            <w:r>
              <w:rPr>
                <w:rFonts w:ascii="Times New Roman" w:hAnsi="Times New Roman"/>
                <w:sz w:val="20"/>
              </w:rPr>
              <w:t xml:space="preserve"> «code</w:t>
            </w:r>
            <w:proofErr w:type="gramEnd"/>
            <w:r>
              <w:rPr>
                <w:rFonts w:ascii="Times New Roman" w:hAnsi="Times New Roman"/>
                <w:sz w:val="20"/>
              </w:rPr>
              <w:t xml:space="preserve"> d’identification de l’actif». Choisir impérativement l’une des options </w:t>
            </w:r>
            <w:proofErr w:type="gramStart"/>
            <w:r>
              <w:rPr>
                <w:rFonts w:ascii="Times New Roman" w:hAnsi="Times New Roman"/>
                <w:sz w:val="20"/>
              </w:rPr>
              <w:t>suivantes:</w:t>
            </w:r>
            <w:proofErr w:type="gramEnd"/>
          </w:p>
          <w:p w14:paraId="1DCFFE90" w14:textId="6E87B256" w:rsidR="0095672C" w:rsidRPr="008B3312" w:rsidRDefault="00AF0B98" w:rsidP="00950116">
            <w:pPr>
              <w:rPr>
                <w:rFonts w:ascii="Times New Roman" w:hAnsi="Times New Roman" w:cs="Times New Roman"/>
                <w:sz w:val="20"/>
                <w:szCs w:val="20"/>
              </w:rPr>
            </w:pPr>
            <w:r>
              <w:rPr>
                <w:rFonts w:ascii="Times New Roman" w:hAnsi="Times New Roman"/>
                <w:sz w:val="20"/>
              </w:rPr>
              <w:t xml:space="preserve">1 </w:t>
            </w:r>
            <w:r w:rsidR="0095672C">
              <w:rPr>
                <w:rFonts w:ascii="Times New Roman" w:hAnsi="Times New Roman"/>
                <w:sz w:val="20"/>
              </w:rPr>
              <w:t>– code ISIN de l’ISO 6166</w:t>
            </w:r>
          </w:p>
          <w:p w14:paraId="4F659DAC"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2 – code CUSIP (</w:t>
            </w:r>
            <w:proofErr w:type="spellStart"/>
            <w:r>
              <w:rPr>
                <w:rFonts w:ascii="Times New Roman" w:hAnsi="Times New Roman"/>
                <w:sz w:val="20"/>
              </w:rPr>
              <w:t>Committee</w:t>
            </w:r>
            <w:proofErr w:type="spellEnd"/>
            <w:r>
              <w:rPr>
                <w:rFonts w:ascii="Times New Roman" w:hAnsi="Times New Roman"/>
                <w:sz w:val="20"/>
              </w:rPr>
              <w:t xml:space="preserve"> on Uniform Securities Identification </w:t>
            </w:r>
            <w:proofErr w:type="spellStart"/>
            <w:r>
              <w:rPr>
                <w:rFonts w:ascii="Times New Roman" w:hAnsi="Times New Roman"/>
                <w:sz w:val="20"/>
              </w:rPr>
              <w:t>Procedures</w:t>
            </w:r>
            <w:proofErr w:type="spellEnd"/>
            <w:proofErr w:type="gramStart"/>
            <w:r>
              <w:rPr>
                <w:rFonts w:ascii="Times New Roman" w:hAnsi="Times New Roman"/>
                <w:sz w:val="20"/>
              </w:rPr>
              <w:t>):</w:t>
            </w:r>
            <w:proofErr w:type="gramEnd"/>
            <w:r>
              <w:rPr>
                <w:rFonts w:ascii="Times New Roman" w:hAnsi="Times New Roman"/>
                <w:sz w:val="20"/>
              </w:rPr>
              <w:t xml:space="preserve"> numéro attribué par le CUSIP Service Bureau pour les entreprises américaines et canadiennes</w:t>
            </w:r>
          </w:p>
          <w:p w14:paraId="085EB4A4"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3 – SEDOL (Stock Exchange Daily Official List pour la bourse de Londres)</w:t>
            </w:r>
          </w:p>
          <w:p w14:paraId="3444B34C"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4 – WKN (</w:t>
            </w:r>
            <w:proofErr w:type="spellStart"/>
            <w:r>
              <w:rPr>
                <w:rFonts w:ascii="Times New Roman" w:hAnsi="Times New Roman"/>
                <w:sz w:val="20"/>
              </w:rPr>
              <w:t>Wertpapier</w:t>
            </w:r>
            <w:proofErr w:type="spellEnd"/>
            <w:r>
              <w:rPr>
                <w:rFonts w:ascii="Times New Roman" w:hAnsi="Times New Roman"/>
                <w:sz w:val="20"/>
              </w:rPr>
              <w:t xml:space="preserve"> Kenn-</w:t>
            </w:r>
            <w:proofErr w:type="spellStart"/>
            <w:r>
              <w:rPr>
                <w:rFonts w:ascii="Times New Roman" w:hAnsi="Times New Roman"/>
                <w:sz w:val="20"/>
              </w:rPr>
              <w:t>Nummer</w:t>
            </w:r>
            <w:proofErr w:type="spellEnd"/>
            <w:r>
              <w:rPr>
                <w:rFonts w:ascii="Times New Roman" w:hAnsi="Times New Roman"/>
                <w:sz w:val="20"/>
              </w:rPr>
              <w:t>, le numéro d’identification alphanumérique allemand)</w:t>
            </w:r>
          </w:p>
          <w:p w14:paraId="4A9F3B88"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 xml:space="preserve">5 – Bloomberg </w:t>
            </w:r>
            <w:proofErr w:type="spellStart"/>
            <w:r>
              <w:rPr>
                <w:rFonts w:ascii="Times New Roman" w:hAnsi="Times New Roman"/>
                <w:sz w:val="20"/>
              </w:rPr>
              <w:t>Ticker</w:t>
            </w:r>
            <w:proofErr w:type="spellEnd"/>
            <w:r>
              <w:rPr>
                <w:rFonts w:ascii="Times New Roman" w:hAnsi="Times New Roman"/>
                <w:sz w:val="20"/>
              </w:rPr>
              <w:t xml:space="preserve"> (code à lettres Bloomberg d’identification des titres d’une société)</w:t>
            </w:r>
          </w:p>
          <w:p w14:paraId="59BBB0D6"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6 – BBGID (Bloomberg Global ID)</w:t>
            </w:r>
          </w:p>
          <w:p w14:paraId="107BF92E"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 xml:space="preserve">7 – Reuters RIC (Reuters Instrument Code) </w:t>
            </w:r>
          </w:p>
          <w:p w14:paraId="7F1321B7"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8 – FIGI (Financial Instrument Global Identifier)</w:t>
            </w:r>
          </w:p>
          <w:p w14:paraId="1C0158AD"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9 – Autre code attribué par un membre de l’Association des agences nationales de codification</w:t>
            </w:r>
          </w:p>
          <w:p w14:paraId="7AB3AD9A" w14:textId="2ABC917A"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 xml:space="preserve">99 – Code attribué par </w:t>
            </w:r>
            <w:r w:rsidR="008771DA">
              <w:rPr>
                <w:rFonts w:ascii="Times New Roman" w:hAnsi="Times New Roman"/>
                <w:sz w:val="20"/>
              </w:rPr>
              <w:t>l’O</w:t>
            </w:r>
            <w:r w:rsidR="00126B85">
              <w:rPr>
                <w:rFonts w:ascii="Times New Roman" w:hAnsi="Times New Roman"/>
                <w:sz w:val="20"/>
              </w:rPr>
              <w:t>RPS</w:t>
            </w:r>
          </w:p>
          <w:p w14:paraId="5A17D518"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Lorsque le même code d’identification d’actif doit être répété pour un actif émis dans 2 monnaies différentes, voire plus, et que, sous C0040, est déclaré le code d’identification de l’actif assorti du code alphabétique ISO 4217 de la monnaie d’émission, la réponse fournie pour le «type de code d’identification de l’actif» doit faire référence à la fois à l’option 9 et à l’option correspondant au code d’identification d’origine, comme dans l’exemple suivant, où le code d’origine déclaré était un code ISIN assorti du code monnaie: «9/1».</w:t>
            </w:r>
          </w:p>
        </w:tc>
      </w:tr>
      <w:tr w:rsidR="0095672C" w:rsidRPr="008B3312" w14:paraId="215DA531" w14:textId="77777777" w:rsidTr="0044578D">
        <w:trPr>
          <w:trHeight w:val="1806"/>
        </w:trPr>
        <w:tc>
          <w:tcPr>
            <w:tcW w:w="1378" w:type="dxa"/>
            <w:hideMark/>
          </w:tcPr>
          <w:p w14:paraId="23C7C68D"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C0060</w:t>
            </w:r>
          </w:p>
        </w:tc>
        <w:tc>
          <w:tcPr>
            <w:tcW w:w="1991" w:type="dxa"/>
            <w:hideMark/>
          </w:tcPr>
          <w:p w14:paraId="4218D009"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Nom de la contrepartie qui fournit la sûreté</w:t>
            </w:r>
          </w:p>
        </w:tc>
        <w:tc>
          <w:tcPr>
            <w:tcW w:w="5953" w:type="dxa"/>
            <w:hideMark/>
          </w:tcPr>
          <w:p w14:paraId="4CF1C7AE"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Nom de la contrepartie qui fournit la sûreté. Indiquer le nom de l’entité enregistré dans la base de données des identifiants d’entité juridique (LEI) s’il existe. À défaut, indiquer la dénomination légale.</w:t>
            </w:r>
          </w:p>
          <w:p w14:paraId="728632F4"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Lorsque les actifs du bilan pour lesquels la sûreté est détenue sont des avances sur police, déclarer</w:t>
            </w:r>
            <w:proofErr w:type="gramStart"/>
            <w:r>
              <w:rPr>
                <w:rFonts w:ascii="Times New Roman" w:hAnsi="Times New Roman"/>
                <w:sz w:val="20"/>
              </w:rPr>
              <w:t xml:space="preserve"> «preneur</w:t>
            </w:r>
            <w:proofErr w:type="gramEnd"/>
            <w:r>
              <w:rPr>
                <w:rFonts w:ascii="Times New Roman" w:hAnsi="Times New Roman"/>
                <w:sz w:val="20"/>
              </w:rPr>
              <w:t xml:space="preserve">». </w:t>
            </w:r>
          </w:p>
        </w:tc>
      </w:tr>
      <w:tr w:rsidR="0095672C" w:rsidRPr="008B3312" w14:paraId="3EF8B5C0" w14:textId="77777777" w:rsidTr="0044578D">
        <w:trPr>
          <w:trHeight w:val="855"/>
        </w:trPr>
        <w:tc>
          <w:tcPr>
            <w:tcW w:w="1378" w:type="dxa"/>
            <w:hideMark/>
          </w:tcPr>
          <w:p w14:paraId="209707AB"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C0070</w:t>
            </w:r>
          </w:p>
        </w:tc>
        <w:tc>
          <w:tcPr>
            <w:tcW w:w="1991" w:type="dxa"/>
            <w:hideMark/>
          </w:tcPr>
          <w:p w14:paraId="5D0DEDCE"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Nom du groupe de la contrepartie qui fournit la sûreté</w:t>
            </w:r>
          </w:p>
        </w:tc>
        <w:tc>
          <w:tcPr>
            <w:tcW w:w="5953" w:type="dxa"/>
            <w:hideMark/>
          </w:tcPr>
          <w:p w14:paraId="7A68EAFF"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Identifier le groupe économique de la contrepartie qui fournit la sûreté. Indiquer le nom de l’entité enregistré dans la base de données des identifiants d’entité juridique (LEI) s’il existe. À défaut, indiquer la dénomination légale.</w:t>
            </w:r>
          </w:p>
          <w:p w14:paraId="260C3FCF"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Ne s’applique pas lorsque les actifs du bilan pour lesquels la sûreté est détenue sont des avances sur police.</w:t>
            </w:r>
          </w:p>
        </w:tc>
      </w:tr>
      <w:tr w:rsidR="0095672C" w:rsidRPr="008B3312" w14:paraId="0FE55A15" w14:textId="77777777" w:rsidTr="0044578D">
        <w:trPr>
          <w:trHeight w:val="509"/>
        </w:trPr>
        <w:tc>
          <w:tcPr>
            <w:tcW w:w="1378" w:type="dxa"/>
            <w:vMerge w:val="restart"/>
            <w:hideMark/>
          </w:tcPr>
          <w:p w14:paraId="66616083"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C0080</w:t>
            </w:r>
          </w:p>
        </w:tc>
        <w:tc>
          <w:tcPr>
            <w:tcW w:w="1991" w:type="dxa"/>
            <w:vMerge w:val="restart"/>
            <w:hideMark/>
          </w:tcPr>
          <w:p w14:paraId="40C072A8"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Pays de conservation</w:t>
            </w:r>
          </w:p>
        </w:tc>
        <w:tc>
          <w:tcPr>
            <w:tcW w:w="5953" w:type="dxa"/>
            <w:vMerge w:val="restart"/>
            <w:hideMark/>
          </w:tcPr>
          <w:p w14:paraId="31FB748B" w14:textId="73845B33" w:rsidR="0095672C" w:rsidRPr="008B3312" w:rsidRDefault="0095672C" w:rsidP="00950116">
            <w:pPr>
              <w:rPr>
                <w:rFonts w:ascii="Times New Roman" w:hAnsi="Times New Roman" w:cs="Times New Roman"/>
                <w:sz w:val="20"/>
                <w:szCs w:val="20"/>
              </w:rPr>
            </w:pPr>
            <w:r>
              <w:rPr>
                <w:rFonts w:ascii="Times New Roman" w:hAnsi="Times New Roman"/>
                <w:sz w:val="20"/>
              </w:rPr>
              <w:t xml:space="preserve">Code ISO 3166-1 alpha-2 du pays où sont conservés les actifs </w:t>
            </w:r>
            <w:r w:rsidR="008771DA">
              <w:rPr>
                <w:rFonts w:ascii="Times New Roman" w:hAnsi="Times New Roman"/>
                <w:sz w:val="20"/>
              </w:rPr>
              <w:t>de l’O</w:t>
            </w:r>
            <w:r w:rsidR="00FB47AF">
              <w:rPr>
                <w:rFonts w:ascii="Times New Roman" w:hAnsi="Times New Roman"/>
                <w:sz w:val="20"/>
              </w:rPr>
              <w:t>RPS</w:t>
            </w:r>
            <w:r>
              <w:rPr>
                <w:rFonts w:ascii="Times New Roman" w:hAnsi="Times New Roman"/>
                <w:sz w:val="20"/>
              </w:rPr>
              <w:t xml:space="preserve">. Aux fins de l’identification des conservateurs internationaux, </w:t>
            </w:r>
            <w:r>
              <w:rPr>
                <w:rFonts w:ascii="Times New Roman" w:hAnsi="Times New Roman"/>
                <w:sz w:val="20"/>
              </w:rPr>
              <w:lastRenderedPageBreak/>
              <w:t>tels qu’</w:t>
            </w:r>
            <w:proofErr w:type="spellStart"/>
            <w:r>
              <w:rPr>
                <w:rFonts w:ascii="Times New Roman" w:hAnsi="Times New Roman"/>
                <w:sz w:val="20"/>
              </w:rPr>
              <w:t>Euroclear</w:t>
            </w:r>
            <w:proofErr w:type="spellEnd"/>
            <w:r>
              <w:rPr>
                <w:rFonts w:ascii="Times New Roman" w:hAnsi="Times New Roman"/>
                <w:sz w:val="20"/>
              </w:rPr>
              <w:t>, est considéré comme pays de conservation le pays d’établissement légal dans lequel le service de conservation a été contractuellement défini.</w:t>
            </w:r>
          </w:p>
          <w:p w14:paraId="16B2C659" w14:textId="77777777" w:rsidR="0095672C" w:rsidRPr="008B3312" w:rsidRDefault="0095672C" w:rsidP="00950116">
            <w:pPr>
              <w:tabs>
                <w:tab w:val="left" w:pos="1039"/>
              </w:tabs>
              <w:rPr>
                <w:rFonts w:ascii="Times New Roman" w:hAnsi="Times New Roman" w:cs="Times New Roman"/>
                <w:sz w:val="20"/>
                <w:szCs w:val="20"/>
              </w:rPr>
            </w:pPr>
          </w:p>
          <w:p w14:paraId="6370139B"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Lorsqu’un même actif est conservé dans plusieurs pays, il est déclaré sur autant de lignes que nécessaire pour identifier séparément chaque pays de conservation.</w:t>
            </w:r>
          </w:p>
          <w:p w14:paraId="5DAD01E4" w14:textId="77777777" w:rsidR="0095672C" w:rsidRPr="008B3312" w:rsidRDefault="0095672C" w:rsidP="00950116">
            <w:pPr>
              <w:tabs>
                <w:tab w:val="left" w:pos="1039"/>
              </w:tabs>
              <w:rPr>
                <w:rFonts w:ascii="Times New Roman" w:hAnsi="Times New Roman" w:cs="Times New Roman"/>
                <w:sz w:val="20"/>
                <w:szCs w:val="20"/>
              </w:rPr>
            </w:pPr>
          </w:p>
          <w:p w14:paraId="512E66D6"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Ne s’applique pas à la catégorie CIC 8</w:t>
            </w:r>
            <w:proofErr w:type="gramStart"/>
            <w:r>
              <w:rPr>
                <w:rFonts w:ascii="Times New Roman" w:hAnsi="Times New Roman"/>
                <w:sz w:val="20"/>
              </w:rPr>
              <w:t xml:space="preserve"> «Prêts</w:t>
            </w:r>
            <w:proofErr w:type="gramEnd"/>
            <w:r>
              <w:rPr>
                <w:rFonts w:ascii="Times New Roman" w:hAnsi="Times New Roman"/>
                <w:sz w:val="20"/>
              </w:rPr>
              <w:t xml:space="preserve"> et prêts hypothécaires» (aux personnes physiques), ces actifs ne devant pas être individualisés, ni aux catégories CIC 71, CIC 75 et CIC 95 «Biens d’équipement (pour usage propre)», pour la même raison.</w:t>
            </w:r>
          </w:p>
          <w:p w14:paraId="7C2C05DE" w14:textId="77777777" w:rsidR="0095672C" w:rsidRPr="008B3312" w:rsidRDefault="0095672C" w:rsidP="00950116">
            <w:pPr>
              <w:rPr>
                <w:rFonts w:ascii="Times New Roman" w:hAnsi="Times New Roman" w:cs="Times New Roman"/>
                <w:sz w:val="20"/>
                <w:szCs w:val="20"/>
              </w:rPr>
            </w:pPr>
          </w:p>
          <w:p w14:paraId="3FEA0597"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En ce qui concerne la catégorie CIC 9, hors CIC 95</w:t>
            </w:r>
            <w:proofErr w:type="gramStart"/>
            <w:r>
              <w:rPr>
                <w:rFonts w:ascii="Times New Roman" w:hAnsi="Times New Roman"/>
                <w:sz w:val="20"/>
              </w:rPr>
              <w:t xml:space="preserve"> «Biens</w:t>
            </w:r>
            <w:proofErr w:type="gramEnd"/>
            <w:r>
              <w:rPr>
                <w:rFonts w:ascii="Times New Roman" w:hAnsi="Times New Roman"/>
                <w:sz w:val="20"/>
              </w:rPr>
              <w:t xml:space="preserve"> d’équipement (pour usage propre)», le pays émetteur est déterminé selon l’adresse du bien.</w:t>
            </w:r>
          </w:p>
        </w:tc>
      </w:tr>
      <w:tr w:rsidR="0095672C" w:rsidRPr="008B3312" w14:paraId="53E01FBC" w14:textId="77777777" w:rsidTr="0044578D">
        <w:trPr>
          <w:trHeight w:val="1035"/>
        </w:trPr>
        <w:tc>
          <w:tcPr>
            <w:tcW w:w="1378" w:type="dxa"/>
            <w:vMerge/>
            <w:hideMark/>
          </w:tcPr>
          <w:p w14:paraId="6CBDA481" w14:textId="77777777" w:rsidR="0095672C" w:rsidRPr="008B3312" w:rsidRDefault="0095672C" w:rsidP="00950116">
            <w:pPr>
              <w:spacing w:after="200" w:line="276" w:lineRule="auto"/>
              <w:rPr>
                <w:rFonts w:ascii="Times New Roman" w:hAnsi="Times New Roman" w:cs="Times New Roman"/>
                <w:sz w:val="20"/>
                <w:szCs w:val="20"/>
              </w:rPr>
            </w:pPr>
          </w:p>
        </w:tc>
        <w:tc>
          <w:tcPr>
            <w:tcW w:w="1991" w:type="dxa"/>
            <w:vMerge/>
            <w:hideMark/>
          </w:tcPr>
          <w:p w14:paraId="425CD0A4" w14:textId="77777777" w:rsidR="0095672C" w:rsidRPr="008B3312" w:rsidRDefault="0095672C" w:rsidP="00950116">
            <w:pPr>
              <w:spacing w:after="200" w:line="276" w:lineRule="auto"/>
              <w:rPr>
                <w:rFonts w:ascii="Times New Roman" w:hAnsi="Times New Roman" w:cs="Times New Roman"/>
                <w:sz w:val="20"/>
                <w:szCs w:val="20"/>
              </w:rPr>
            </w:pPr>
          </w:p>
        </w:tc>
        <w:tc>
          <w:tcPr>
            <w:tcW w:w="5953" w:type="dxa"/>
            <w:vMerge/>
            <w:hideMark/>
          </w:tcPr>
          <w:p w14:paraId="7DBCED14" w14:textId="77777777" w:rsidR="0095672C" w:rsidRPr="008B3312" w:rsidRDefault="0095672C" w:rsidP="00950116">
            <w:pPr>
              <w:spacing w:after="200" w:line="276" w:lineRule="auto"/>
              <w:rPr>
                <w:rFonts w:ascii="Times New Roman" w:hAnsi="Times New Roman" w:cs="Times New Roman"/>
                <w:sz w:val="20"/>
                <w:szCs w:val="20"/>
              </w:rPr>
            </w:pPr>
          </w:p>
        </w:tc>
      </w:tr>
      <w:tr w:rsidR="0095672C" w:rsidRPr="008B3312" w14:paraId="1E1A1607" w14:textId="77777777" w:rsidTr="0044578D">
        <w:trPr>
          <w:trHeight w:val="890"/>
        </w:trPr>
        <w:tc>
          <w:tcPr>
            <w:tcW w:w="1378" w:type="dxa"/>
            <w:hideMark/>
          </w:tcPr>
          <w:p w14:paraId="582E58B8"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C0090</w:t>
            </w:r>
          </w:p>
        </w:tc>
        <w:tc>
          <w:tcPr>
            <w:tcW w:w="1991" w:type="dxa"/>
            <w:hideMark/>
          </w:tcPr>
          <w:p w14:paraId="050E7A7E"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Quantité</w:t>
            </w:r>
          </w:p>
        </w:tc>
        <w:tc>
          <w:tcPr>
            <w:tcW w:w="5953" w:type="dxa"/>
            <w:hideMark/>
          </w:tcPr>
          <w:p w14:paraId="177DD99D"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 xml:space="preserve">Nombre d’actifs, pour </w:t>
            </w:r>
            <w:proofErr w:type="gramStart"/>
            <w:r>
              <w:rPr>
                <w:rFonts w:ascii="Times New Roman" w:hAnsi="Times New Roman"/>
                <w:sz w:val="20"/>
              </w:rPr>
              <w:t>tous les actifs si pertinent</w:t>
            </w:r>
            <w:proofErr w:type="gramEnd"/>
            <w:r>
              <w:rPr>
                <w:rFonts w:ascii="Times New Roman" w:hAnsi="Times New Roman"/>
                <w:sz w:val="20"/>
              </w:rPr>
              <w:t>.</w:t>
            </w:r>
          </w:p>
          <w:p w14:paraId="52122B75"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Ne rien déclarer pour cet élément, si une déclaration sous C0100</w:t>
            </w:r>
            <w:proofErr w:type="gramStart"/>
            <w:r>
              <w:rPr>
                <w:rFonts w:ascii="Times New Roman" w:hAnsi="Times New Roman"/>
                <w:sz w:val="20"/>
              </w:rPr>
              <w:t xml:space="preserve"> «Au</w:t>
            </w:r>
            <w:proofErr w:type="gramEnd"/>
            <w:r>
              <w:rPr>
                <w:rFonts w:ascii="Times New Roman" w:hAnsi="Times New Roman"/>
                <w:sz w:val="20"/>
              </w:rPr>
              <w:t xml:space="preserve"> pair» est effectuée.</w:t>
            </w:r>
          </w:p>
        </w:tc>
      </w:tr>
      <w:tr w:rsidR="0095672C" w:rsidRPr="008B3312" w14:paraId="247BF5A7" w14:textId="77777777" w:rsidTr="0044578D">
        <w:trPr>
          <w:trHeight w:val="1005"/>
        </w:trPr>
        <w:tc>
          <w:tcPr>
            <w:tcW w:w="1378" w:type="dxa"/>
          </w:tcPr>
          <w:p w14:paraId="69CBBAF2" w14:textId="77777777" w:rsidR="0095672C" w:rsidRPr="008B3312" w:rsidRDefault="0095672C" w:rsidP="00950116">
            <w:pPr>
              <w:pStyle w:val="Sansinterligne"/>
              <w:rPr>
                <w:rFonts w:ascii="Times New Roman" w:hAnsi="Times New Roman" w:cs="Times New Roman"/>
                <w:sz w:val="20"/>
              </w:rPr>
            </w:pPr>
            <w:r>
              <w:rPr>
                <w:rFonts w:ascii="Times New Roman" w:hAnsi="Times New Roman"/>
                <w:sz w:val="20"/>
              </w:rPr>
              <w:t>C0100</w:t>
            </w:r>
          </w:p>
        </w:tc>
        <w:tc>
          <w:tcPr>
            <w:tcW w:w="1991" w:type="dxa"/>
          </w:tcPr>
          <w:p w14:paraId="47CFBCCA"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Au pair</w:t>
            </w:r>
          </w:p>
        </w:tc>
        <w:tc>
          <w:tcPr>
            <w:tcW w:w="5953" w:type="dxa"/>
          </w:tcPr>
          <w:p w14:paraId="078A7A49" w14:textId="77777777" w:rsidR="0095672C" w:rsidRPr="008B3312" w:rsidRDefault="00741991" w:rsidP="00950116">
            <w:pPr>
              <w:spacing w:after="200" w:line="276" w:lineRule="auto"/>
              <w:rPr>
                <w:rFonts w:ascii="Times New Roman" w:hAnsi="Times New Roman" w:cs="Times New Roman"/>
                <w:sz w:val="20"/>
                <w:szCs w:val="20"/>
              </w:rPr>
            </w:pPr>
            <w:r>
              <w:rPr>
                <w:rFonts w:ascii="Times New Roman" w:hAnsi="Times New Roman"/>
                <w:sz w:val="20"/>
              </w:rPr>
              <w:t>Encours mesuré au pair pour tous les actifs pour lesquels cette information est pertinente et en montant nominal pour CIC 72, 73, 74, 75 et 79, s’il y a lieu.</w:t>
            </w:r>
          </w:p>
          <w:p w14:paraId="66820162"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Ne rien déclarer pour cet élément, si une déclaration sous C0090</w:t>
            </w:r>
            <w:proofErr w:type="gramStart"/>
            <w:r>
              <w:rPr>
                <w:rFonts w:ascii="Times New Roman" w:hAnsi="Times New Roman"/>
                <w:sz w:val="20"/>
              </w:rPr>
              <w:t xml:space="preserve"> «Quantité</w:t>
            </w:r>
            <w:proofErr w:type="gramEnd"/>
            <w:r>
              <w:rPr>
                <w:rFonts w:ascii="Times New Roman" w:hAnsi="Times New Roman"/>
                <w:sz w:val="20"/>
              </w:rPr>
              <w:t>» est effectuée.</w:t>
            </w:r>
          </w:p>
        </w:tc>
      </w:tr>
      <w:tr w:rsidR="00FB47AF" w:rsidRPr="008B3312" w14:paraId="0D728915" w14:textId="77777777" w:rsidTr="00FB47AF">
        <w:trPr>
          <w:trHeight w:val="690"/>
        </w:trPr>
        <w:tc>
          <w:tcPr>
            <w:tcW w:w="1378" w:type="dxa"/>
          </w:tcPr>
          <w:p w14:paraId="74885C4A" w14:textId="77777777" w:rsidR="00FB47AF" w:rsidRDefault="00FB47AF" w:rsidP="00950116">
            <w:pPr>
              <w:pStyle w:val="Sansinterligne"/>
              <w:rPr>
                <w:rFonts w:ascii="Times New Roman" w:hAnsi="Times New Roman"/>
                <w:sz w:val="20"/>
              </w:rPr>
            </w:pPr>
            <w:r>
              <w:rPr>
                <w:rFonts w:ascii="Times New Roman" w:hAnsi="Times New Roman"/>
                <w:sz w:val="20"/>
              </w:rPr>
              <w:t>C0130</w:t>
            </w:r>
          </w:p>
        </w:tc>
        <w:tc>
          <w:tcPr>
            <w:tcW w:w="1991" w:type="dxa"/>
          </w:tcPr>
          <w:p w14:paraId="2E497C31" w14:textId="77777777" w:rsidR="00FB47AF" w:rsidRDefault="00FB47AF" w:rsidP="00950116">
            <w:pPr>
              <w:rPr>
                <w:rFonts w:ascii="Times New Roman" w:hAnsi="Times New Roman"/>
                <w:sz w:val="20"/>
              </w:rPr>
            </w:pPr>
            <w:r>
              <w:rPr>
                <w:rFonts w:ascii="Times New Roman" w:hAnsi="Times New Roman"/>
                <w:sz w:val="20"/>
              </w:rPr>
              <w:t>Intérêts courus</w:t>
            </w:r>
          </w:p>
        </w:tc>
        <w:tc>
          <w:tcPr>
            <w:tcW w:w="5953" w:type="dxa"/>
          </w:tcPr>
          <w:p w14:paraId="542E40A3" w14:textId="77777777" w:rsidR="00FB47AF" w:rsidRDefault="00FB47AF" w:rsidP="00950116">
            <w:pPr>
              <w:rPr>
                <w:rFonts w:ascii="Times New Roman" w:hAnsi="Times New Roman"/>
                <w:sz w:val="20"/>
              </w:rPr>
            </w:pPr>
            <w:r>
              <w:rPr>
                <w:rFonts w:ascii="Times New Roman" w:hAnsi="Times New Roman"/>
                <w:sz w:val="20"/>
              </w:rPr>
              <w:t>Quantifier le montant des intérêts courus après la dernière date de coupon pour les titres portant intérêts. Il convient de noter que cette valeur fait également partie de l’élément</w:t>
            </w:r>
            <w:proofErr w:type="gramStart"/>
            <w:r>
              <w:rPr>
                <w:rFonts w:ascii="Times New Roman" w:hAnsi="Times New Roman"/>
                <w:sz w:val="20"/>
              </w:rPr>
              <w:t xml:space="preserve"> «Montant</w:t>
            </w:r>
            <w:proofErr w:type="gramEnd"/>
            <w:r>
              <w:rPr>
                <w:rFonts w:ascii="Times New Roman" w:hAnsi="Times New Roman"/>
                <w:sz w:val="20"/>
              </w:rPr>
              <w:t xml:space="preserve"> total».</w:t>
            </w:r>
          </w:p>
        </w:tc>
      </w:tr>
      <w:tr w:rsidR="00FB47AF" w:rsidRPr="008B3312" w14:paraId="1AE1EA18" w14:textId="77777777" w:rsidTr="0044578D">
        <w:trPr>
          <w:trHeight w:val="690"/>
        </w:trPr>
        <w:tc>
          <w:tcPr>
            <w:tcW w:w="1378" w:type="dxa"/>
          </w:tcPr>
          <w:p w14:paraId="7E019243" w14:textId="77777777" w:rsidR="00FB47AF" w:rsidRDefault="00FB47AF" w:rsidP="00950116">
            <w:pPr>
              <w:pStyle w:val="Sansinterligne"/>
              <w:rPr>
                <w:rFonts w:ascii="Times New Roman" w:hAnsi="Times New Roman"/>
                <w:sz w:val="20"/>
              </w:rPr>
            </w:pPr>
            <w:r>
              <w:rPr>
                <w:rFonts w:ascii="Times New Roman" w:hAnsi="Times New Roman"/>
                <w:sz w:val="20"/>
              </w:rPr>
              <w:t>C0131</w:t>
            </w:r>
          </w:p>
        </w:tc>
        <w:tc>
          <w:tcPr>
            <w:tcW w:w="1991" w:type="dxa"/>
          </w:tcPr>
          <w:p w14:paraId="1D5517EB" w14:textId="77777777" w:rsidR="00FB47AF" w:rsidRDefault="00FB47AF" w:rsidP="00950116">
            <w:pPr>
              <w:rPr>
                <w:rFonts w:ascii="Times New Roman" w:hAnsi="Times New Roman"/>
                <w:sz w:val="20"/>
              </w:rPr>
            </w:pPr>
            <w:r>
              <w:rPr>
                <w:rFonts w:ascii="Times New Roman" w:hAnsi="Times New Roman"/>
                <w:sz w:val="20"/>
              </w:rPr>
              <w:t>Valeur brute comptable (contrevaleur en euros le cas échéant)</w:t>
            </w:r>
          </w:p>
        </w:tc>
        <w:tc>
          <w:tcPr>
            <w:tcW w:w="5953" w:type="dxa"/>
          </w:tcPr>
          <w:p w14:paraId="64834459" w14:textId="77777777" w:rsidR="00FB47AF" w:rsidRDefault="00FB47AF" w:rsidP="00950116">
            <w:pPr>
              <w:rPr>
                <w:rFonts w:ascii="Times New Roman" w:hAnsi="Times New Roman"/>
                <w:sz w:val="20"/>
              </w:rPr>
            </w:pPr>
            <w:r>
              <w:rPr>
                <w:rFonts w:ascii="Times New Roman" w:hAnsi="Times New Roman"/>
                <w:sz w:val="20"/>
              </w:rPr>
              <w:t>Indiquer la valeur brute comptable. Une valeur numérique est attendue.</w:t>
            </w:r>
          </w:p>
        </w:tc>
      </w:tr>
      <w:tr w:rsidR="00FB47AF" w:rsidRPr="008B3312" w14:paraId="3CAFC0C5" w14:textId="77777777" w:rsidTr="0044578D">
        <w:trPr>
          <w:trHeight w:val="690"/>
        </w:trPr>
        <w:tc>
          <w:tcPr>
            <w:tcW w:w="1378" w:type="dxa"/>
          </w:tcPr>
          <w:p w14:paraId="67DE5370" w14:textId="77777777" w:rsidR="00FB47AF" w:rsidRDefault="00FB47AF" w:rsidP="00950116">
            <w:pPr>
              <w:pStyle w:val="Sansinterligne"/>
              <w:rPr>
                <w:rFonts w:ascii="Times New Roman" w:hAnsi="Times New Roman"/>
                <w:sz w:val="20"/>
              </w:rPr>
            </w:pPr>
            <w:r>
              <w:rPr>
                <w:rFonts w:ascii="Times New Roman" w:hAnsi="Times New Roman"/>
                <w:sz w:val="20"/>
              </w:rPr>
              <w:t>C0132</w:t>
            </w:r>
          </w:p>
        </w:tc>
        <w:tc>
          <w:tcPr>
            <w:tcW w:w="1991" w:type="dxa"/>
          </w:tcPr>
          <w:p w14:paraId="5733DCC8" w14:textId="77777777" w:rsidR="00FB47AF" w:rsidRDefault="00FB47AF" w:rsidP="00950116">
            <w:pPr>
              <w:rPr>
                <w:rFonts w:ascii="Times New Roman" w:hAnsi="Times New Roman"/>
                <w:sz w:val="20"/>
              </w:rPr>
            </w:pPr>
            <w:r>
              <w:rPr>
                <w:rFonts w:ascii="Times New Roman" w:hAnsi="Times New Roman"/>
                <w:sz w:val="20"/>
              </w:rPr>
              <w:t>Amortissements (contrevaleur en euros le cas échéant)</w:t>
            </w:r>
          </w:p>
        </w:tc>
        <w:tc>
          <w:tcPr>
            <w:tcW w:w="5953" w:type="dxa"/>
          </w:tcPr>
          <w:p w14:paraId="7BA9D07A" w14:textId="77777777" w:rsidR="00FB47AF" w:rsidRDefault="00FB47AF" w:rsidP="00950116">
            <w:pPr>
              <w:rPr>
                <w:rFonts w:ascii="Times New Roman" w:hAnsi="Times New Roman"/>
                <w:sz w:val="20"/>
              </w:rPr>
            </w:pPr>
            <w:r>
              <w:rPr>
                <w:rFonts w:ascii="Times New Roman" w:hAnsi="Times New Roman"/>
                <w:sz w:val="20"/>
              </w:rPr>
              <w:t>Indiquer le montant d’amortissements. Une valeur numérique est attendue.</w:t>
            </w:r>
          </w:p>
        </w:tc>
      </w:tr>
      <w:tr w:rsidR="00FB47AF" w:rsidRPr="008B3312" w14:paraId="212FEE9B" w14:textId="77777777" w:rsidTr="0044578D">
        <w:trPr>
          <w:trHeight w:val="690"/>
        </w:trPr>
        <w:tc>
          <w:tcPr>
            <w:tcW w:w="1378" w:type="dxa"/>
          </w:tcPr>
          <w:p w14:paraId="3D832780" w14:textId="77777777" w:rsidR="00FB47AF" w:rsidRDefault="00FB47AF" w:rsidP="00950116">
            <w:pPr>
              <w:pStyle w:val="Sansinterligne"/>
              <w:rPr>
                <w:rFonts w:ascii="Times New Roman" w:hAnsi="Times New Roman"/>
                <w:sz w:val="20"/>
              </w:rPr>
            </w:pPr>
            <w:r>
              <w:rPr>
                <w:rFonts w:ascii="Times New Roman" w:hAnsi="Times New Roman"/>
                <w:sz w:val="20"/>
              </w:rPr>
              <w:t>C0133</w:t>
            </w:r>
          </w:p>
        </w:tc>
        <w:tc>
          <w:tcPr>
            <w:tcW w:w="1991" w:type="dxa"/>
          </w:tcPr>
          <w:p w14:paraId="6B8F1C7C" w14:textId="77777777" w:rsidR="00FB47AF" w:rsidRDefault="00FB47AF" w:rsidP="00950116">
            <w:pPr>
              <w:rPr>
                <w:rFonts w:ascii="Times New Roman" w:hAnsi="Times New Roman"/>
                <w:sz w:val="20"/>
              </w:rPr>
            </w:pPr>
            <w:r>
              <w:rPr>
                <w:rFonts w:ascii="Times New Roman" w:hAnsi="Times New Roman"/>
                <w:sz w:val="20"/>
              </w:rPr>
              <w:t>Dépréciations (contrevaleur en euros le cas échéant)</w:t>
            </w:r>
          </w:p>
        </w:tc>
        <w:tc>
          <w:tcPr>
            <w:tcW w:w="5953" w:type="dxa"/>
          </w:tcPr>
          <w:p w14:paraId="6C44A9B8" w14:textId="77777777" w:rsidR="00FB47AF" w:rsidRDefault="00FB47AF" w:rsidP="00950116">
            <w:pPr>
              <w:rPr>
                <w:rFonts w:ascii="Times New Roman" w:hAnsi="Times New Roman"/>
                <w:sz w:val="20"/>
              </w:rPr>
            </w:pPr>
            <w:r>
              <w:rPr>
                <w:rFonts w:ascii="Times New Roman" w:hAnsi="Times New Roman"/>
                <w:sz w:val="20"/>
              </w:rPr>
              <w:t>Indiquer le montant de dépréciations. Une valeur numérique est attendue.</w:t>
            </w:r>
          </w:p>
        </w:tc>
      </w:tr>
      <w:tr w:rsidR="00FB47AF" w:rsidRPr="008B3312" w14:paraId="6CECF434" w14:textId="77777777" w:rsidTr="0044578D">
        <w:trPr>
          <w:trHeight w:val="690"/>
        </w:trPr>
        <w:tc>
          <w:tcPr>
            <w:tcW w:w="1378" w:type="dxa"/>
          </w:tcPr>
          <w:p w14:paraId="46E18667" w14:textId="77777777" w:rsidR="00FB47AF" w:rsidRDefault="00FB47AF" w:rsidP="00950116">
            <w:pPr>
              <w:pStyle w:val="Sansinterligne"/>
              <w:rPr>
                <w:rFonts w:ascii="Times New Roman" w:hAnsi="Times New Roman"/>
                <w:sz w:val="20"/>
              </w:rPr>
            </w:pPr>
            <w:r>
              <w:rPr>
                <w:rFonts w:ascii="Times New Roman" w:hAnsi="Times New Roman"/>
                <w:sz w:val="20"/>
              </w:rPr>
              <w:t>C0134</w:t>
            </w:r>
          </w:p>
        </w:tc>
        <w:tc>
          <w:tcPr>
            <w:tcW w:w="1991" w:type="dxa"/>
          </w:tcPr>
          <w:p w14:paraId="54EDEBF1" w14:textId="77777777" w:rsidR="00FB47AF" w:rsidRDefault="00FB47AF" w:rsidP="00950116">
            <w:pPr>
              <w:rPr>
                <w:rFonts w:ascii="Times New Roman" w:hAnsi="Times New Roman"/>
                <w:sz w:val="20"/>
              </w:rPr>
            </w:pPr>
            <w:r>
              <w:rPr>
                <w:rFonts w:ascii="Times New Roman" w:hAnsi="Times New Roman"/>
                <w:sz w:val="20"/>
              </w:rPr>
              <w:t>Surcote, décote (contrevaleur en euros le cas échéant)</w:t>
            </w:r>
          </w:p>
        </w:tc>
        <w:tc>
          <w:tcPr>
            <w:tcW w:w="5953" w:type="dxa"/>
          </w:tcPr>
          <w:p w14:paraId="4681642D" w14:textId="77777777" w:rsidR="00FB47AF" w:rsidRDefault="00FB47AF" w:rsidP="00950116">
            <w:pPr>
              <w:rPr>
                <w:rFonts w:ascii="Times New Roman" w:hAnsi="Times New Roman"/>
                <w:sz w:val="20"/>
              </w:rPr>
            </w:pPr>
            <w:r>
              <w:rPr>
                <w:rFonts w:ascii="Times New Roman" w:hAnsi="Times New Roman"/>
                <w:sz w:val="20"/>
              </w:rPr>
              <w:t>Indiquer le montant de décote ou surcote. Une valeur numérique est attendue.</w:t>
            </w:r>
          </w:p>
        </w:tc>
      </w:tr>
      <w:tr w:rsidR="00FB47AF" w:rsidRPr="008B3312" w14:paraId="30D024A3" w14:textId="77777777" w:rsidTr="0044578D">
        <w:trPr>
          <w:trHeight w:val="690"/>
        </w:trPr>
        <w:tc>
          <w:tcPr>
            <w:tcW w:w="1378" w:type="dxa"/>
          </w:tcPr>
          <w:p w14:paraId="59615145" w14:textId="77777777" w:rsidR="00FB47AF" w:rsidRDefault="00FB47AF" w:rsidP="00950116">
            <w:pPr>
              <w:pStyle w:val="Sansinterligne"/>
              <w:rPr>
                <w:rFonts w:ascii="Times New Roman" w:hAnsi="Times New Roman"/>
                <w:sz w:val="20"/>
              </w:rPr>
            </w:pPr>
            <w:r>
              <w:rPr>
                <w:rFonts w:ascii="Times New Roman" w:hAnsi="Times New Roman"/>
                <w:sz w:val="20"/>
              </w:rPr>
              <w:t>C0135</w:t>
            </w:r>
          </w:p>
        </w:tc>
        <w:tc>
          <w:tcPr>
            <w:tcW w:w="1991" w:type="dxa"/>
          </w:tcPr>
          <w:p w14:paraId="0577B0F1" w14:textId="77777777" w:rsidR="00FB47AF" w:rsidRDefault="00FB47AF" w:rsidP="00950116">
            <w:pPr>
              <w:rPr>
                <w:rFonts w:ascii="Times New Roman" w:hAnsi="Times New Roman"/>
                <w:sz w:val="20"/>
              </w:rPr>
            </w:pPr>
            <w:r>
              <w:rPr>
                <w:rFonts w:ascii="Times New Roman" w:hAnsi="Times New Roman"/>
                <w:sz w:val="20"/>
              </w:rPr>
              <w:t>Part non libérée du titre</w:t>
            </w:r>
          </w:p>
        </w:tc>
        <w:tc>
          <w:tcPr>
            <w:tcW w:w="5953" w:type="dxa"/>
          </w:tcPr>
          <w:p w14:paraId="5BCBBE1A" w14:textId="77777777" w:rsidR="00FB47AF" w:rsidRPr="00B14C14" w:rsidRDefault="00FB47AF" w:rsidP="00EA3F32">
            <w:pPr>
              <w:rPr>
                <w:rFonts w:ascii="Times New Roman" w:hAnsi="Times New Roman"/>
                <w:sz w:val="20"/>
              </w:rPr>
            </w:pPr>
            <w:r>
              <w:rPr>
                <w:rFonts w:ascii="Times New Roman" w:hAnsi="Times New Roman"/>
                <w:sz w:val="20"/>
              </w:rPr>
              <w:t xml:space="preserve">Indiquer </w:t>
            </w:r>
            <w:r w:rsidRPr="00B14C14">
              <w:rPr>
                <w:rFonts w:ascii="Times New Roman" w:hAnsi="Times New Roman"/>
                <w:sz w:val="20"/>
              </w:rPr>
              <w:t>l’éventuelle part non</w:t>
            </w:r>
            <w:r w:rsidRPr="005E724C">
              <w:rPr>
                <w:rFonts w:ascii="Times New Roman" w:hAnsi="Times New Roman"/>
                <w:sz w:val="20"/>
              </w:rPr>
              <w:t xml:space="preserve"> libéré des titres de la </w:t>
            </w:r>
            <w:proofErr w:type="gramStart"/>
            <w:r w:rsidRPr="005E724C">
              <w:rPr>
                <w:rFonts w:ascii="Times New Roman" w:hAnsi="Times New Roman"/>
                <w:sz w:val="20"/>
              </w:rPr>
              <w:t>ligne</w:t>
            </w:r>
            <w:r>
              <w:rPr>
                <w:rFonts w:ascii="Times New Roman" w:hAnsi="Times New Roman"/>
                <w:sz w:val="20"/>
              </w:rPr>
              <w:t>.</w:t>
            </w:r>
            <w:r w:rsidRPr="00B14C14">
              <w:rPr>
                <w:rFonts w:ascii="Times New Roman" w:hAnsi="Times New Roman"/>
                <w:sz w:val="20"/>
              </w:rPr>
              <w:t>.</w:t>
            </w:r>
            <w:proofErr w:type="gramEnd"/>
            <w:r w:rsidRPr="00B14C14">
              <w:rPr>
                <w:rFonts w:ascii="Times New Roman" w:hAnsi="Times New Roman"/>
                <w:sz w:val="20"/>
              </w:rPr>
              <w:t xml:space="preserve"> L’inclusion en colonne de la part non-libérée des titres diffère de la pratique de l’EDP, qui consiste à sommer les titres par sous-rubrique, avant de soustraire, le cas échéant, la part non libérée des titres au total de la sous-rubrique. </w:t>
            </w:r>
          </w:p>
          <w:p w14:paraId="3248E042" w14:textId="77777777" w:rsidR="00FB47AF" w:rsidRDefault="00FB47AF" w:rsidP="00950116">
            <w:pPr>
              <w:rPr>
                <w:rFonts w:ascii="Times New Roman" w:hAnsi="Times New Roman"/>
                <w:sz w:val="20"/>
              </w:rPr>
            </w:pPr>
            <w:r w:rsidRPr="00B14C14">
              <w:rPr>
                <w:rFonts w:ascii="Times New Roman" w:hAnsi="Times New Roman"/>
                <w:sz w:val="20"/>
              </w:rPr>
              <w:t>Une valeur numérique est attendue.</w:t>
            </w:r>
          </w:p>
        </w:tc>
      </w:tr>
      <w:tr w:rsidR="00FB47AF" w:rsidRPr="008B3312" w14:paraId="4C084BE8" w14:textId="77777777" w:rsidTr="0044578D">
        <w:trPr>
          <w:trHeight w:val="690"/>
        </w:trPr>
        <w:tc>
          <w:tcPr>
            <w:tcW w:w="1378" w:type="dxa"/>
          </w:tcPr>
          <w:p w14:paraId="3C1A40D4" w14:textId="77777777" w:rsidR="00FB47AF" w:rsidRDefault="00FB47AF" w:rsidP="00950116">
            <w:pPr>
              <w:pStyle w:val="Sansinterligne"/>
              <w:rPr>
                <w:rFonts w:ascii="Times New Roman" w:hAnsi="Times New Roman"/>
                <w:sz w:val="20"/>
              </w:rPr>
            </w:pPr>
            <w:r>
              <w:rPr>
                <w:rFonts w:ascii="Times New Roman" w:hAnsi="Times New Roman"/>
                <w:sz w:val="20"/>
              </w:rPr>
              <w:t>C0136</w:t>
            </w:r>
          </w:p>
        </w:tc>
        <w:tc>
          <w:tcPr>
            <w:tcW w:w="1991" w:type="dxa"/>
          </w:tcPr>
          <w:p w14:paraId="5635E705" w14:textId="77777777" w:rsidR="00FB47AF" w:rsidRDefault="00FB47AF" w:rsidP="00950116">
            <w:pPr>
              <w:rPr>
                <w:rFonts w:ascii="Times New Roman" w:hAnsi="Times New Roman"/>
                <w:sz w:val="20"/>
              </w:rPr>
            </w:pPr>
            <w:r>
              <w:rPr>
                <w:rFonts w:ascii="Times New Roman" w:hAnsi="Times New Roman"/>
                <w:sz w:val="20"/>
              </w:rPr>
              <w:t>Valeur nette (contrevaleur en euros le cas échéant)</w:t>
            </w:r>
          </w:p>
        </w:tc>
        <w:tc>
          <w:tcPr>
            <w:tcW w:w="5953" w:type="dxa"/>
          </w:tcPr>
          <w:p w14:paraId="6CEC9B22" w14:textId="77777777" w:rsidR="00FB47AF" w:rsidRDefault="00FB47AF" w:rsidP="00950116">
            <w:pPr>
              <w:rPr>
                <w:rFonts w:ascii="Times New Roman" w:hAnsi="Times New Roman"/>
                <w:sz w:val="20"/>
              </w:rPr>
            </w:pPr>
            <w:r>
              <w:rPr>
                <w:rFonts w:ascii="Times New Roman" w:hAnsi="Times New Roman"/>
                <w:sz w:val="20"/>
              </w:rPr>
              <w:t xml:space="preserve">Indiquer la valeur nette (c’est-à-dire nette des colonnes précédentes, y compris donc de la part non libérée des titres le cas échéant). </w:t>
            </w:r>
            <w:r w:rsidRPr="00B14C14">
              <w:rPr>
                <w:rFonts w:ascii="Times New Roman" w:hAnsi="Times New Roman"/>
                <w:sz w:val="20"/>
              </w:rPr>
              <w:t>Une valeur numérique est attendue.</w:t>
            </w:r>
          </w:p>
        </w:tc>
      </w:tr>
      <w:tr w:rsidR="00FB47AF" w:rsidRPr="008B3312" w14:paraId="1662EC9E" w14:textId="77777777" w:rsidTr="0044578D">
        <w:trPr>
          <w:trHeight w:val="690"/>
        </w:trPr>
        <w:tc>
          <w:tcPr>
            <w:tcW w:w="1378" w:type="dxa"/>
          </w:tcPr>
          <w:p w14:paraId="7554D420" w14:textId="77777777" w:rsidR="00FB47AF" w:rsidRDefault="00FB47AF" w:rsidP="00950116">
            <w:pPr>
              <w:pStyle w:val="Sansinterligne"/>
              <w:rPr>
                <w:rFonts w:ascii="Times New Roman" w:hAnsi="Times New Roman"/>
                <w:sz w:val="20"/>
              </w:rPr>
            </w:pPr>
            <w:r>
              <w:rPr>
                <w:rFonts w:ascii="Times New Roman" w:hAnsi="Times New Roman"/>
                <w:sz w:val="20"/>
              </w:rPr>
              <w:t>C0137</w:t>
            </w:r>
          </w:p>
        </w:tc>
        <w:tc>
          <w:tcPr>
            <w:tcW w:w="1991" w:type="dxa"/>
          </w:tcPr>
          <w:p w14:paraId="525ACF74" w14:textId="77777777" w:rsidR="00FB47AF" w:rsidRDefault="00FB47AF" w:rsidP="00950116">
            <w:pPr>
              <w:rPr>
                <w:rFonts w:ascii="Times New Roman" w:hAnsi="Times New Roman"/>
                <w:sz w:val="20"/>
              </w:rPr>
            </w:pPr>
            <w:r>
              <w:rPr>
                <w:rFonts w:ascii="Times New Roman" w:hAnsi="Times New Roman"/>
                <w:sz w:val="20"/>
              </w:rPr>
              <w:t>Valeur de réalisation (contrevaleur en euros le cas échéant).</w:t>
            </w:r>
          </w:p>
        </w:tc>
        <w:tc>
          <w:tcPr>
            <w:tcW w:w="5953" w:type="dxa"/>
          </w:tcPr>
          <w:p w14:paraId="00D56A7D" w14:textId="77777777" w:rsidR="00FB47AF" w:rsidRDefault="00FB47AF" w:rsidP="00950116">
            <w:pPr>
              <w:rPr>
                <w:rFonts w:ascii="Times New Roman" w:hAnsi="Times New Roman"/>
                <w:sz w:val="20"/>
              </w:rPr>
            </w:pPr>
            <w:r w:rsidRPr="00B14C14">
              <w:rPr>
                <w:rFonts w:ascii="Times New Roman" w:hAnsi="Times New Roman"/>
                <w:sz w:val="20"/>
              </w:rPr>
              <w:t>La valeur de réalisation s’entend, même pour les titres pour lesquels la cotation inclut les intérêts courus, nets d’ICNE</w:t>
            </w:r>
            <w:r>
              <w:rPr>
                <w:rFonts w:ascii="Times New Roman" w:hAnsi="Times New Roman"/>
                <w:sz w:val="20"/>
              </w:rPr>
              <w:t>. Une valeur numérique est attendue</w:t>
            </w:r>
          </w:p>
        </w:tc>
      </w:tr>
      <w:tr w:rsidR="00FB47AF" w:rsidRPr="008B3312" w14:paraId="31504725" w14:textId="77777777" w:rsidTr="0044578D">
        <w:trPr>
          <w:trHeight w:val="690"/>
        </w:trPr>
        <w:tc>
          <w:tcPr>
            <w:tcW w:w="1378" w:type="dxa"/>
          </w:tcPr>
          <w:p w14:paraId="6C1C2D82" w14:textId="77777777" w:rsidR="00FB47AF" w:rsidRDefault="00FB47AF" w:rsidP="00950116">
            <w:pPr>
              <w:pStyle w:val="Sansinterligne"/>
              <w:rPr>
                <w:rFonts w:ascii="Times New Roman" w:hAnsi="Times New Roman"/>
                <w:sz w:val="20"/>
              </w:rPr>
            </w:pPr>
            <w:r>
              <w:rPr>
                <w:rFonts w:ascii="Times New Roman" w:hAnsi="Times New Roman"/>
                <w:sz w:val="20"/>
              </w:rPr>
              <w:t>C0138</w:t>
            </w:r>
          </w:p>
        </w:tc>
        <w:tc>
          <w:tcPr>
            <w:tcW w:w="1991" w:type="dxa"/>
          </w:tcPr>
          <w:p w14:paraId="100ABDD7" w14:textId="77777777" w:rsidR="00FB47AF" w:rsidRDefault="00FB47AF" w:rsidP="00950116">
            <w:pPr>
              <w:rPr>
                <w:rFonts w:ascii="Times New Roman" w:hAnsi="Times New Roman"/>
                <w:sz w:val="20"/>
              </w:rPr>
            </w:pPr>
            <w:r w:rsidRPr="005E724C">
              <w:rPr>
                <w:rFonts w:ascii="Times New Roman" w:hAnsi="Times New Roman"/>
                <w:sz w:val="20"/>
              </w:rPr>
              <w:t xml:space="preserve">Valeur de remboursement pour les titres de </w:t>
            </w:r>
            <w:proofErr w:type="gramStart"/>
            <w:r w:rsidRPr="005E724C">
              <w:rPr>
                <w:rFonts w:ascii="Times New Roman" w:hAnsi="Times New Roman"/>
                <w:sz w:val="20"/>
              </w:rPr>
              <w:t xml:space="preserve">créances  </w:t>
            </w:r>
            <w:r w:rsidRPr="005E724C">
              <w:rPr>
                <w:rFonts w:ascii="Times New Roman" w:hAnsi="Times New Roman"/>
                <w:sz w:val="20"/>
              </w:rPr>
              <w:lastRenderedPageBreak/>
              <w:t>(</w:t>
            </w:r>
            <w:proofErr w:type="gramEnd"/>
            <w:r w:rsidRPr="005E724C">
              <w:rPr>
                <w:rFonts w:ascii="Times New Roman" w:hAnsi="Times New Roman"/>
                <w:sz w:val="20"/>
              </w:rPr>
              <w:t>contrevaleur en euros le cas échéant)</w:t>
            </w:r>
          </w:p>
        </w:tc>
        <w:tc>
          <w:tcPr>
            <w:tcW w:w="5953" w:type="dxa"/>
          </w:tcPr>
          <w:p w14:paraId="0721A8AA" w14:textId="77777777" w:rsidR="00FB47AF" w:rsidRDefault="00FB47AF" w:rsidP="00950116">
            <w:pPr>
              <w:rPr>
                <w:rFonts w:ascii="Times New Roman" w:hAnsi="Times New Roman"/>
                <w:sz w:val="20"/>
              </w:rPr>
            </w:pPr>
            <w:r w:rsidRPr="005E724C">
              <w:rPr>
                <w:rFonts w:ascii="Times New Roman" w:hAnsi="Times New Roman"/>
                <w:sz w:val="20"/>
              </w:rPr>
              <w:lastRenderedPageBreak/>
              <w:t xml:space="preserve">Cette valeur n’est à indiquer que pour les titres de </w:t>
            </w:r>
            <w:proofErr w:type="gramStart"/>
            <w:r w:rsidRPr="005E724C">
              <w:rPr>
                <w:rFonts w:ascii="Times New Roman" w:hAnsi="Times New Roman"/>
                <w:sz w:val="20"/>
              </w:rPr>
              <w:t>créances</w:t>
            </w:r>
            <w:r>
              <w:rPr>
                <w:rFonts w:ascii="Times New Roman" w:hAnsi="Times New Roman"/>
                <w:sz w:val="20"/>
              </w:rPr>
              <w:t xml:space="preserve"> </w:t>
            </w:r>
            <w:r w:rsidRPr="005E724C">
              <w:rPr>
                <w:rFonts w:ascii="Times New Roman" w:hAnsi="Times New Roman"/>
                <w:sz w:val="20"/>
              </w:rPr>
              <w:t>.Une</w:t>
            </w:r>
            <w:proofErr w:type="gramEnd"/>
            <w:r w:rsidRPr="005E724C">
              <w:rPr>
                <w:rFonts w:ascii="Times New Roman" w:hAnsi="Times New Roman"/>
                <w:sz w:val="20"/>
              </w:rPr>
              <w:t xml:space="preserve"> valeur numérique est attendue.</w:t>
            </w:r>
          </w:p>
        </w:tc>
      </w:tr>
      <w:tr w:rsidR="00FB47AF" w:rsidRPr="008B3312" w14:paraId="6EABD8BE" w14:textId="77777777" w:rsidTr="0044578D">
        <w:trPr>
          <w:trHeight w:val="690"/>
        </w:trPr>
        <w:tc>
          <w:tcPr>
            <w:tcW w:w="1378" w:type="dxa"/>
          </w:tcPr>
          <w:p w14:paraId="6FC6118F" w14:textId="77777777" w:rsidR="00FB47AF" w:rsidRDefault="00FB47AF" w:rsidP="00950116">
            <w:pPr>
              <w:pStyle w:val="Sansinterligne"/>
              <w:rPr>
                <w:rFonts w:ascii="Times New Roman" w:hAnsi="Times New Roman"/>
                <w:sz w:val="20"/>
              </w:rPr>
            </w:pPr>
            <w:r>
              <w:rPr>
                <w:rFonts w:ascii="Times New Roman" w:hAnsi="Times New Roman"/>
                <w:sz w:val="20"/>
              </w:rPr>
              <w:t>C0139</w:t>
            </w:r>
          </w:p>
        </w:tc>
        <w:tc>
          <w:tcPr>
            <w:tcW w:w="1991" w:type="dxa"/>
          </w:tcPr>
          <w:p w14:paraId="1C9C80DB" w14:textId="77777777" w:rsidR="00FB47AF" w:rsidRDefault="00FB47AF" w:rsidP="00950116">
            <w:pPr>
              <w:rPr>
                <w:rFonts w:ascii="Times New Roman" w:hAnsi="Times New Roman"/>
                <w:sz w:val="20"/>
              </w:rPr>
            </w:pPr>
            <w:r>
              <w:rPr>
                <w:rFonts w:ascii="Times New Roman" w:hAnsi="Times New Roman"/>
                <w:sz w:val="20"/>
              </w:rPr>
              <w:t>Méthode de valorisation</w:t>
            </w:r>
          </w:p>
        </w:tc>
        <w:tc>
          <w:tcPr>
            <w:tcW w:w="5953" w:type="dxa"/>
          </w:tcPr>
          <w:p w14:paraId="13256757" w14:textId="77777777" w:rsidR="00674FAB" w:rsidRDefault="00674FAB" w:rsidP="00674FAB">
            <w:pPr>
              <w:rPr>
                <w:rFonts w:ascii="Times New Roman" w:hAnsi="Times New Roman"/>
                <w:sz w:val="20"/>
              </w:rPr>
            </w:pPr>
            <w:r>
              <w:rPr>
                <w:rFonts w:ascii="Times New Roman" w:hAnsi="Times New Roman"/>
                <w:sz w:val="20"/>
              </w:rPr>
              <w:t>Indiquer la méthode utilisée pour déterminer la valeur de réalisation.</w:t>
            </w:r>
          </w:p>
          <w:p w14:paraId="2DFF96F9" w14:textId="1CFA3D5D" w:rsidR="00674FAB" w:rsidRDefault="00674FAB" w:rsidP="00674FAB">
            <w:pPr>
              <w:rPr>
                <w:rFonts w:ascii="Times New Roman" w:hAnsi="Times New Roman"/>
                <w:sz w:val="20"/>
              </w:rPr>
            </w:pPr>
            <w:r>
              <w:rPr>
                <w:rFonts w:ascii="Times New Roman" w:hAnsi="Times New Roman"/>
                <w:sz w:val="20"/>
              </w:rPr>
              <w:t xml:space="preserve"> </w:t>
            </w:r>
          </w:p>
          <w:p w14:paraId="414F9F88" w14:textId="77777777" w:rsidR="00674FAB" w:rsidRDefault="00674FAB" w:rsidP="00674FAB">
            <w:pPr>
              <w:rPr>
                <w:rFonts w:ascii="Times New Roman" w:hAnsi="Times New Roman"/>
                <w:sz w:val="20"/>
              </w:rPr>
            </w:pPr>
            <w:r>
              <w:rPr>
                <w:rFonts w:ascii="Times New Roman" w:hAnsi="Times New Roman"/>
                <w:sz w:val="20"/>
              </w:rPr>
              <w:t xml:space="preserve">Choisir impérativement l’une des options suivantes : </w:t>
            </w:r>
          </w:p>
          <w:p w14:paraId="3DE3F9DF" w14:textId="26A7EC6A" w:rsidR="00FB47AF" w:rsidRDefault="00674FAB" w:rsidP="00674FAB">
            <w:pPr>
              <w:pStyle w:val="Paragraphedeliste"/>
              <w:numPr>
                <w:ilvl w:val="0"/>
                <w:numId w:val="8"/>
              </w:numPr>
              <w:rPr>
                <w:sz w:val="20"/>
              </w:rPr>
            </w:pPr>
            <w:r w:rsidRPr="0044578D">
              <w:rPr>
                <w:sz w:val="20"/>
              </w:rPr>
              <w:t xml:space="preserve"> </w:t>
            </w:r>
            <w:proofErr w:type="gramStart"/>
            <w:r w:rsidR="00FB47AF" w:rsidRPr="0044578D">
              <w:rPr>
                <w:sz w:val="20"/>
              </w:rPr>
              <w:t>«Prix</w:t>
            </w:r>
            <w:proofErr w:type="gramEnd"/>
            <w:r w:rsidR="00FB47AF" w:rsidRPr="0044578D">
              <w:rPr>
                <w:sz w:val="20"/>
              </w:rPr>
              <w:t xml:space="preserve">  de marché  » (qui  comprend  les  cours  côtés  et  les  prix  indiqués par un broker/dealer, même sans engagement ferme)</w:t>
            </w:r>
          </w:p>
          <w:p w14:paraId="6DF5C430" w14:textId="77777777" w:rsidR="00FB47AF" w:rsidRDefault="00FB47AF" w:rsidP="0044578D">
            <w:pPr>
              <w:pStyle w:val="Paragraphedeliste"/>
              <w:numPr>
                <w:ilvl w:val="0"/>
                <w:numId w:val="8"/>
              </w:numPr>
              <w:rPr>
                <w:sz w:val="20"/>
              </w:rPr>
            </w:pPr>
            <w:r w:rsidRPr="0044578D">
              <w:rPr>
                <w:sz w:val="20"/>
              </w:rPr>
              <w:t>« Prix de modèle » (lorsque la valeur a été obtenue grâce à un modèle utilisé par l’organisme ou par appel à un prestataire externe)</w:t>
            </w:r>
          </w:p>
          <w:p w14:paraId="08746006" w14:textId="77777777" w:rsidR="00FB47AF" w:rsidRDefault="00FB47AF" w:rsidP="0044578D">
            <w:pPr>
              <w:pStyle w:val="Paragraphedeliste"/>
              <w:numPr>
                <w:ilvl w:val="0"/>
                <w:numId w:val="8"/>
              </w:numPr>
              <w:rPr>
                <w:sz w:val="20"/>
              </w:rPr>
            </w:pPr>
            <w:r w:rsidRPr="0044578D">
              <w:rPr>
                <w:sz w:val="20"/>
              </w:rPr>
              <w:t xml:space="preserve">« Expertise » (pour les immeubles et le </w:t>
            </w:r>
            <w:proofErr w:type="spellStart"/>
            <w:r w:rsidRPr="0044578D">
              <w:rPr>
                <w:sz w:val="20"/>
              </w:rPr>
              <w:t>non-côté</w:t>
            </w:r>
            <w:proofErr w:type="spellEnd"/>
            <w:r w:rsidRPr="0044578D">
              <w:rPr>
                <w:sz w:val="20"/>
              </w:rPr>
              <w:t>)</w:t>
            </w:r>
          </w:p>
          <w:p w14:paraId="73947FF2" w14:textId="77777777" w:rsidR="00FB47AF" w:rsidRDefault="00FB47AF" w:rsidP="0044578D">
            <w:pPr>
              <w:pStyle w:val="Paragraphedeliste"/>
              <w:numPr>
                <w:ilvl w:val="0"/>
                <w:numId w:val="8"/>
              </w:numPr>
              <w:rPr>
                <w:sz w:val="20"/>
              </w:rPr>
            </w:pPr>
            <w:r w:rsidRPr="0044578D">
              <w:rPr>
                <w:sz w:val="20"/>
              </w:rPr>
              <w:t xml:space="preserve">« </w:t>
            </w:r>
            <w:proofErr w:type="gramStart"/>
            <w:r w:rsidRPr="0044578D">
              <w:rPr>
                <w:sz w:val="20"/>
              </w:rPr>
              <w:t>Estimation»</w:t>
            </w:r>
            <w:proofErr w:type="gramEnd"/>
            <w:r w:rsidRPr="0044578D">
              <w:rPr>
                <w:sz w:val="20"/>
              </w:rPr>
              <w:t xml:space="preserve"> pour les actualisations de valeurs de biens immobiliers entre deux expertises</w:t>
            </w:r>
          </w:p>
          <w:p w14:paraId="22FD68D8" w14:textId="77777777" w:rsidR="00FB47AF" w:rsidRPr="0044578D" w:rsidRDefault="00FB47AF" w:rsidP="0044578D">
            <w:pPr>
              <w:pStyle w:val="Paragraphedeliste"/>
              <w:numPr>
                <w:ilvl w:val="0"/>
                <w:numId w:val="8"/>
              </w:numPr>
              <w:rPr>
                <w:sz w:val="20"/>
              </w:rPr>
            </w:pPr>
            <w:r w:rsidRPr="0044578D">
              <w:rPr>
                <w:sz w:val="20"/>
              </w:rPr>
              <w:t>Autre</w:t>
            </w:r>
            <w:r w:rsidRPr="0044578D">
              <w:rPr>
                <w:sz w:val="20"/>
              </w:rPr>
              <w:tab/>
            </w:r>
          </w:p>
        </w:tc>
      </w:tr>
      <w:tr w:rsidR="00FB47AF" w:rsidRPr="008B3312" w14:paraId="7910F924" w14:textId="77777777" w:rsidTr="0044578D">
        <w:trPr>
          <w:trHeight w:val="690"/>
        </w:trPr>
        <w:tc>
          <w:tcPr>
            <w:tcW w:w="1378" w:type="dxa"/>
          </w:tcPr>
          <w:p w14:paraId="51A6ECA8" w14:textId="5ED7A509" w:rsidR="00FB47AF" w:rsidRPr="008B3312" w:rsidRDefault="00FB47AF" w:rsidP="00950116">
            <w:pPr>
              <w:pStyle w:val="Sansinterligne"/>
              <w:rPr>
                <w:rFonts w:ascii="Times New Roman" w:hAnsi="Times New Roman" w:cs="Times New Roman"/>
                <w:sz w:val="20"/>
                <w:szCs w:val="20"/>
              </w:rPr>
            </w:pPr>
          </w:p>
        </w:tc>
        <w:tc>
          <w:tcPr>
            <w:tcW w:w="1991" w:type="dxa"/>
          </w:tcPr>
          <w:p w14:paraId="0BD1B7C9" w14:textId="11E324DC" w:rsidR="00FB47AF" w:rsidRPr="008B3312" w:rsidRDefault="00FB47AF" w:rsidP="00950116">
            <w:pPr>
              <w:spacing w:after="200" w:line="276" w:lineRule="auto"/>
              <w:rPr>
                <w:rFonts w:ascii="Times New Roman" w:hAnsi="Times New Roman" w:cs="Times New Roman"/>
                <w:sz w:val="20"/>
                <w:szCs w:val="20"/>
              </w:rPr>
            </w:pPr>
          </w:p>
        </w:tc>
        <w:tc>
          <w:tcPr>
            <w:tcW w:w="5953" w:type="dxa"/>
          </w:tcPr>
          <w:p w14:paraId="078449D4" w14:textId="5E78B5C3" w:rsidR="00FB47AF" w:rsidRPr="008B3312" w:rsidRDefault="00FB47AF" w:rsidP="00950116">
            <w:pPr>
              <w:spacing w:after="200" w:line="276" w:lineRule="auto"/>
              <w:rPr>
                <w:rFonts w:ascii="Times New Roman" w:hAnsi="Times New Roman" w:cs="Times New Roman"/>
                <w:sz w:val="20"/>
                <w:szCs w:val="20"/>
              </w:rPr>
            </w:pPr>
          </w:p>
        </w:tc>
      </w:tr>
      <w:tr w:rsidR="00FB47AF" w:rsidRPr="008B3312" w14:paraId="7E0883F0" w14:textId="77777777" w:rsidTr="0044578D">
        <w:trPr>
          <w:trHeight w:val="675"/>
        </w:trPr>
        <w:tc>
          <w:tcPr>
            <w:tcW w:w="1378" w:type="dxa"/>
            <w:hideMark/>
          </w:tcPr>
          <w:p w14:paraId="1B32E3F3" w14:textId="77777777" w:rsidR="00FB47AF" w:rsidRPr="008B3312" w:rsidRDefault="00FB47AF" w:rsidP="00950116">
            <w:pPr>
              <w:pStyle w:val="Sansinterligne"/>
              <w:rPr>
                <w:rFonts w:ascii="Times New Roman" w:hAnsi="Times New Roman" w:cs="Times New Roman"/>
                <w:sz w:val="20"/>
                <w:szCs w:val="20"/>
              </w:rPr>
            </w:pPr>
            <w:r>
              <w:rPr>
                <w:rFonts w:ascii="Times New Roman" w:hAnsi="Times New Roman"/>
                <w:sz w:val="20"/>
              </w:rPr>
              <w:t>C0140</w:t>
            </w:r>
          </w:p>
        </w:tc>
        <w:tc>
          <w:tcPr>
            <w:tcW w:w="1991" w:type="dxa"/>
            <w:hideMark/>
          </w:tcPr>
          <w:p w14:paraId="0A5F9D26" w14:textId="77777777" w:rsidR="00FB47AF" w:rsidRPr="008B3312" w:rsidRDefault="00FB47AF" w:rsidP="00950116">
            <w:pPr>
              <w:spacing w:after="200" w:line="276" w:lineRule="auto"/>
              <w:rPr>
                <w:rFonts w:ascii="Times New Roman" w:hAnsi="Times New Roman" w:cs="Times New Roman"/>
                <w:sz w:val="20"/>
                <w:szCs w:val="20"/>
              </w:rPr>
            </w:pPr>
            <w:r>
              <w:rPr>
                <w:rFonts w:ascii="Times New Roman" w:hAnsi="Times New Roman"/>
                <w:sz w:val="20"/>
              </w:rPr>
              <w:t>Type d’actif pour lequel la sûreté est détenue</w:t>
            </w:r>
          </w:p>
        </w:tc>
        <w:tc>
          <w:tcPr>
            <w:tcW w:w="5953" w:type="dxa"/>
            <w:hideMark/>
          </w:tcPr>
          <w:p w14:paraId="111C734E" w14:textId="77777777" w:rsidR="00FB47AF" w:rsidRPr="008B3312" w:rsidRDefault="00FB47AF" w:rsidP="00950116">
            <w:pPr>
              <w:spacing w:line="276" w:lineRule="auto"/>
              <w:rPr>
                <w:rFonts w:ascii="Times New Roman" w:hAnsi="Times New Roman" w:cs="Times New Roman"/>
                <w:sz w:val="20"/>
                <w:szCs w:val="20"/>
              </w:rPr>
            </w:pPr>
            <w:r>
              <w:rPr>
                <w:rFonts w:ascii="Times New Roman" w:hAnsi="Times New Roman"/>
                <w:sz w:val="20"/>
              </w:rPr>
              <w:t>Indiquer le type d’actif pour lequel la sûreté est détenue</w:t>
            </w:r>
            <w:r>
              <w:rPr>
                <w:rFonts w:ascii="Times New Roman" w:hAnsi="Times New Roman" w:cs="Times New Roman"/>
                <w:sz w:val="20"/>
                <w:szCs w:val="20"/>
              </w:rPr>
              <w:br/>
            </w:r>
            <w:r>
              <w:rPr>
                <w:rFonts w:ascii="Times New Roman" w:hAnsi="Times New Roman"/>
                <w:sz w:val="20"/>
              </w:rPr>
              <w:t xml:space="preserve">Choisir impérativement l’une des options </w:t>
            </w:r>
            <w:proofErr w:type="gramStart"/>
            <w:r>
              <w:rPr>
                <w:rFonts w:ascii="Times New Roman" w:hAnsi="Times New Roman"/>
                <w:sz w:val="20"/>
              </w:rPr>
              <w:t>suivantes:</w:t>
            </w:r>
            <w:proofErr w:type="gramEnd"/>
          </w:p>
          <w:p w14:paraId="0B80292B" w14:textId="77777777" w:rsidR="00FB47AF" w:rsidRPr="008B3312" w:rsidRDefault="00FB47AF" w:rsidP="00950116">
            <w:pPr>
              <w:pStyle w:val="Commentaire"/>
              <w:rPr>
                <w:rFonts w:ascii="Times New Roman" w:eastAsia="Times New Roman" w:hAnsi="Times New Roman" w:cs="Times New Roman"/>
                <w:color w:val="000000"/>
              </w:rPr>
            </w:pPr>
            <w:r>
              <w:rPr>
                <w:rFonts w:ascii="Times New Roman" w:hAnsi="Times New Roman"/>
                <w:color w:val="000000"/>
              </w:rPr>
              <w:t>1 – Obligations d’État</w:t>
            </w:r>
          </w:p>
          <w:p w14:paraId="4EB80214" w14:textId="77777777" w:rsidR="00FB47AF" w:rsidRPr="008B3312" w:rsidRDefault="00FB47AF" w:rsidP="00950116">
            <w:pPr>
              <w:rPr>
                <w:rFonts w:ascii="Times New Roman" w:eastAsia="Times New Roman" w:hAnsi="Times New Roman" w:cs="Times New Roman"/>
                <w:color w:val="000000"/>
                <w:sz w:val="20"/>
                <w:szCs w:val="20"/>
              </w:rPr>
            </w:pPr>
            <w:r>
              <w:rPr>
                <w:rFonts w:ascii="Times New Roman" w:hAnsi="Times New Roman"/>
                <w:color w:val="000000"/>
                <w:sz w:val="20"/>
              </w:rPr>
              <w:t>2 – Obligations d’entreprise</w:t>
            </w:r>
          </w:p>
          <w:p w14:paraId="0434A099" w14:textId="77777777" w:rsidR="00FB47AF" w:rsidRPr="008B3312" w:rsidRDefault="00FB47AF" w:rsidP="00950116">
            <w:pPr>
              <w:rPr>
                <w:rFonts w:ascii="Times New Roman" w:eastAsia="Times New Roman" w:hAnsi="Times New Roman" w:cs="Times New Roman"/>
                <w:color w:val="000000"/>
                <w:sz w:val="20"/>
                <w:szCs w:val="20"/>
              </w:rPr>
            </w:pPr>
            <w:r>
              <w:rPr>
                <w:rFonts w:ascii="Times New Roman" w:hAnsi="Times New Roman"/>
                <w:color w:val="000000"/>
                <w:sz w:val="20"/>
              </w:rPr>
              <w:t>3 – Actions</w:t>
            </w:r>
          </w:p>
          <w:p w14:paraId="7201AD33" w14:textId="77777777" w:rsidR="00FB47AF" w:rsidRPr="008B3312" w:rsidRDefault="00FB47AF" w:rsidP="00950116">
            <w:pPr>
              <w:rPr>
                <w:rFonts w:ascii="Times New Roman" w:eastAsia="Times New Roman" w:hAnsi="Times New Roman" w:cs="Times New Roman"/>
                <w:color w:val="000000"/>
                <w:sz w:val="20"/>
                <w:szCs w:val="20"/>
              </w:rPr>
            </w:pPr>
            <w:r>
              <w:rPr>
                <w:rFonts w:ascii="Times New Roman" w:hAnsi="Times New Roman"/>
                <w:color w:val="000000"/>
                <w:sz w:val="20"/>
              </w:rPr>
              <w:t>4 – Parts d’organismes de placement collectif</w:t>
            </w:r>
          </w:p>
          <w:p w14:paraId="455E7064" w14:textId="77777777" w:rsidR="00FB47AF" w:rsidRPr="008B3312" w:rsidRDefault="00FB47AF" w:rsidP="00950116">
            <w:pPr>
              <w:rPr>
                <w:rFonts w:ascii="Times New Roman" w:eastAsia="Times New Roman" w:hAnsi="Times New Roman" w:cs="Times New Roman"/>
                <w:color w:val="000000"/>
                <w:sz w:val="20"/>
                <w:szCs w:val="20"/>
              </w:rPr>
            </w:pPr>
            <w:r>
              <w:rPr>
                <w:rFonts w:ascii="Times New Roman" w:hAnsi="Times New Roman"/>
                <w:color w:val="000000"/>
                <w:sz w:val="20"/>
              </w:rPr>
              <w:t>5 – Titres structurés</w:t>
            </w:r>
          </w:p>
          <w:p w14:paraId="530A97B3" w14:textId="77777777" w:rsidR="00FB47AF" w:rsidRPr="008B3312" w:rsidRDefault="00FB47AF" w:rsidP="00950116">
            <w:pPr>
              <w:rPr>
                <w:rFonts w:ascii="Times New Roman" w:eastAsia="Times New Roman" w:hAnsi="Times New Roman" w:cs="Times New Roman"/>
                <w:color w:val="000000"/>
                <w:sz w:val="20"/>
                <w:szCs w:val="20"/>
              </w:rPr>
            </w:pPr>
            <w:r>
              <w:rPr>
                <w:rFonts w:ascii="Times New Roman" w:hAnsi="Times New Roman"/>
                <w:color w:val="000000"/>
                <w:sz w:val="20"/>
              </w:rPr>
              <w:t>6 – Titres garantis</w:t>
            </w:r>
          </w:p>
          <w:p w14:paraId="586A9308" w14:textId="77777777" w:rsidR="00FB47AF" w:rsidRPr="008B3312" w:rsidRDefault="00FB47AF" w:rsidP="00950116">
            <w:pPr>
              <w:rPr>
                <w:rFonts w:ascii="Times New Roman" w:eastAsia="Times New Roman" w:hAnsi="Times New Roman" w:cs="Times New Roman"/>
                <w:color w:val="000000"/>
                <w:sz w:val="20"/>
                <w:szCs w:val="20"/>
              </w:rPr>
            </w:pPr>
            <w:r>
              <w:rPr>
                <w:rFonts w:ascii="Times New Roman" w:hAnsi="Times New Roman"/>
                <w:color w:val="000000"/>
                <w:sz w:val="20"/>
              </w:rPr>
              <w:t>7 – Trésorerie et dépôts</w:t>
            </w:r>
          </w:p>
          <w:p w14:paraId="0B976E0E" w14:textId="77777777" w:rsidR="00FB47AF" w:rsidRPr="008B3312" w:rsidRDefault="00FB47AF" w:rsidP="00950116">
            <w:pPr>
              <w:rPr>
                <w:rFonts w:ascii="Times New Roman" w:eastAsia="Times New Roman" w:hAnsi="Times New Roman" w:cs="Times New Roman"/>
                <w:color w:val="000000"/>
                <w:sz w:val="20"/>
                <w:szCs w:val="20"/>
              </w:rPr>
            </w:pPr>
            <w:r>
              <w:rPr>
                <w:rFonts w:ascii="Times New Roman" w:hAnsi="Times New Roman"/>
                <w:color w:val="000000"/>
                <w:sz w:val="20"/>
              </w:rPr>
              <w:t>8 – Prêts et prêts hypothécaires</w:t>
            </w:r>
          </w:p>
          <w:p w14:paraId="4B65C1E3" w14:textId="77777777" w:rsidR="00FB47AF" w:rsidRPr="008B3312" w:rsidRDefault="00FB47AF" w:rsidP="00950116">
            <w:pPr>
              <w:rPr>
                <w:rFonts w:ascii="Times New Roman" w:eastAsia="Times New Roman" w:hAnsi="Times New Roman" w:cs="Times New Roman"/>
                <w:color w:val="000000"/>
                <w:sz w:val="20"/>
                <w:szCs w:val="20"/>
              </w:rPr>
            </w:pPr>
            <w:r>
              <w:rPr>
                <w:rFonts w:ascii="Times New Roman" w:hAnsi="Times New Roman"/>
                <w:color w:val="000000"/>
                <w:sz w:val="20"/>
              </w:rPr>
              <w:t>9 – Immobilisations corporelles</w:t>
            </w:r>
          </w:p>
          <w:p w14:paraId="19CC0127" w14:textId="77777777" w:rsidR="00FB47AF" w:rsidRPr="008B3312" w:rsidRDefault="00FB47AF" w:rsidP="00950116">
            <w:pPr>
              <w:rPr>
                <w:rFonts w:ascii="Times New Roman" w:eastAsia="Times New Roman" w:hAnsi="Times New Roman" w:cs="Times New Roman"/>
                <w:color w:val="000000"/>
                <w:sz w:val="20"/>
                <w:szCs w:val="20"/>
              </w:rPr>
            </w:pPr>
            <w:r>
              <w:rPr>
                <w:rFonts w:ascii="Times New Roman" w:hAnsi="Times New Roman"/>
                <w:color w:val="000000"/>
                <w:sz w:val="20"/>
              </w:rPr>
              <w:t>0 – Autres investissements (y compris éléments à recevoir)</w:t>
            </w:r>
          </w:p>
          <w:p w14:paraId="4254E6EC" w14:textId="77777777" w:rsidR="00FB47AF" w:rsidRPr="008B3312" w:rsidRDefault="00FB47AF" w:rsidP="00950116">
            <w:pPr>
              <w:rPr>
                <w:rFonts w:ascii="Times New Roman" w:eastAsia="Times New Roman" w:hAnsi="Times New Roman" w:cs="Times New Roman"/>
                <w:color w:val="000000"/>
                <w:sz w:val="20"/>
                <w:szCs w:val="20"/>
              </w:rPr>
            </w:pPr>
            <w:r>
              <w:rPr>
                <w:rFonts w:ascii="Times New Roman" w:hAnsi="Times New Roman"/>
                <w:color w:val="000000"/>
                <w:sz w:val="20"/>
              </w:rPr>
              <w:t>X – Dérivés</w:t>
            </w:r>
          </w:p>
          <w:p w14:paraId="4E2BB696" w14:textId="77777777" w:rsidR="00FB47AF" w:rsidRPr="008B3312" w:rsidRDefault="00FB47AF" w:rsidP="00950116">
            <w:pPr>
              <w:pStyle w:val="Commentaire"/>
              <w:rPr>
                <w:rFonts w:ascii="Times New Roman" w:hAnsi="Times New Roman" w:cs="Times New Roman"/>
              </w:rPr>
            </w:pPr>
          </w:p>
        </w:tc>
      </w:tr>
    </w:tbl>
    <w:p w14:paraId="27BA7A29" w14:textId="77777777" w:rsidR="0095672C" w:rsidRPr="008B3312" w:rsidRDefault="0095672C" w:rsidP="00950116">
      <w:pPr>
        <w:spacing w:before="120" w:after="120"/>
        <w:rPr>
          <w:rFonts w:ascii="Times New Roman" w:hAnsi="Times New Roman" w:cs="Times New Roman"/>
          <w:b/>
          <w:sz w:val="20"/>
          <w:szCs w:val="20"/>
        </w:rPr>
      </w:pPr>
      <w:r>
        <w:rPr>
          <w:rFonts w:ascii="Times New Roman" w:hAnsi="Times New Roman"/>
          <w:b/>
          <w:sz w:val="20"/>
        </w:rPr>
        <w:t>Informations sur les actifs</w:t>
      </w:r>
    </w:p>
    <w:tbl>
      <w:tblPr>
        <w:tblStyle w:val="Grilledutableau"/>
        <w:tblW w:w="9322" w:type="dxa"/>
        <w:tblLook w:val="04A0" w:firstRow="1" w:lastRow="0" w:firstColumn="1" w:lastColumn="0" w:noHBand="0" w:noVBand="1"/>
      </w:tblPr>
      <w:tblGrid>
        <w:gridCol w:w="1378"/>
        <w:gridCol w:w="1891"/>
        <w:gridCol w:w="6053"/>
      </w:tblGrid>
      <w:tr w:rsidR="0095672C" w:rsidRPr="008B3312" w14:paraId="0315F4EB" w14:textId="77777777" w:rsidTr="00950116">
        <w:trPr>
          <w:trHeight w:val="300"/>
        </w:trPr>
        <w:tc>
          <w:tcPr>
            <w:tcW w:w="1378" w:type="dxa"/>
            <w:noWrap/>
            <w:hideMark/>
          </w:tcPr>
          <w:p w14:paraId="37ED46FE" w14:textId="77777777" w:rsidR="0095672C" w:rsidRPr="008B3312" w:rsidRDefault="0095672C" w:rsidP="00950116">
            <w:pPr>
              <w:spacing w:after="200" w:line="276" w:lineRule="auto"/>
              <w:jc w:val="center"/>
              <w:rPr>
                <w:rFonts w:ascii="Times New Roman" w:hAnsi="Times New Roman" w:cs="Times New Roman"/>
                <w:sz w:val="20"/>
                <w:szCs w:val="20"/>
              </w:rPr>
            </w:pPr>
          </w:p>
        </w:tc>
        <w:tc>
          <w:tcPr>
            <w:tcW w:w="1891" w:type="dxa"/>
            <w:hideMark/>
          </w:tcPr>
          <w:p w14:paraId="24C95EC8" w14:textId="77777777" w:rsidR="0095672C" w:rsidRPr="008B3312" w:rsidRDefault="0095672C" w:rsidP="00950116">
            <w:pPr>
              <w:spacing w:after="200" w:line="276" w:lineRule="auto"/>
              <w:jc w:val="center"/>
              <w:rPr>
                <w:rFonts w:ascii="Times New Roman" w:hAnsi="Times New Roman" w:cs="Times New Roman"/>
                <w:b/>
                <w:bCs/>
                <w:sz w:val="20"/>
                <w:szCs w:val="20"/>
              </w:rPr>
            </w:pPr>
            <w:r>
              <w:rPr>
                <w:rFonts w:ascii="Times New Roman" w:hAnsi="Times New Roman"/>
                <w:b/>
                <w:sz w:val="20"/>
              </w:rPr>
              <w:t>ÉLÉMENT À DÉCLARER</w:t>
            </w:r>
          </w:p>
        </w:tc>
        <w:tc>
          <w:tcPr>
            <w:tcW w:w="6053" w:type="dxa"/>
            <w:hideMark/>
          </w:tcPr>
          <w:p w14:paraId="5C45F6B2" w14:textId="77777777" w:rsidR="0095672C" w:rsidRPr="008B3312" w:rsidRDefault="0095672C" w:rsidP="00950116">
            <w:pPr>
              <w:spacing w:after="200" w:line="276" w:lineRule="auto"/>
              <w:jc w:val="center"/>
              <w:rPr>
                <w:rFonts w:ascii="Times New Roman" w:hAnsi="Times New Roman" w:cs="Times New Roman"/>
                <w:b/>
                <w:bCs/>
                <w:sz w:val="20"/>
                <w:szCs w:val="20"/>
              </w:rPr>
            </w:pPr>
            <w:r>
              <w:rPr>
                <w:rFonts w:ascii="Times New Roman" w:hAnsi="Times New Roman"/>
                <w:b/>
                <w:sz w:val="20"/>
              </w:rPr>
              <w:t>INSTRUCTIONS</w:t>
            </w:r>
          </w:p>
        </w:tc>
      </w:tr>
      <w:tr w:rsidR="0095672C" w:rsidRPr="008B3312" w14:paraId="794FDF43" w14:textId="77777777" w:rsidTr="00950116">
        <w:trPr>
          <w:trHeight w:val="1530"/>
        </w:trPr>
        <w:tc>
          <w:tcPr>
            <w:tcW w:w="1378" w:type="dxa"/>
            <w:hideMark/>
          </w:tcPr>
          <w:p w14:paraId="7C617E36" w14:textId="77777777" w:rsidR="0095672C" w:rsidRPr="00166F34" w:rsidRDefault="0095672C" w:rsidP="00950116">
            <w:pPr>
              <w:pStyle w:val="Sansinterligne"/>
              <w:rPr>
                <w:rFonts w:ascii="Times New Roman" w:hAnsi="Times New Roman"/>
              </w:rPr>
            </w:pPr>
            <w:r>
              <w:rPr>
                <w:rFonts w:ascii="Times New Roman" w:hAnsi="Times New Roman"/>
                <w:sz w:val="20"/>
              </w:rPr>
              <w:t>C0040</w:t>
            </w:r>
          </w:p>
        </w:tc>
        <w:tc>
          <w:tcPr>
            <w:tcW w:w="1891" w:type="dxa"/>
            <w:hideMark/>
          </w:tcPr>
          <w:p w14:paraId="4333C937"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Code d’identification de l’actif</w:t>
            </w:r>
          </w:p>
        </w:tc>
        <w:tc>
          <w:tcPr>
            <w:tcW w:w="6053" w:type="dxa"/>
            <w:hideMark/>
          </w:tcPr>
          <w:p w14:paraId="34BB2D9B" w14:textId="339F2739"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 xml:space="preserve">Code d’identification de l’actif, par ordre de priorité </w:t>
            </w:r>
            <w:proofErr w:type="gramStart"/>
            <w:r>
              <w:rPr>
                <w:rFonts w:ascii="Times New Roman" w:hAnsi="Times New Roman"/>
                <w:sz w:val="20"/>
              </w:rPr>
              <w:t>suivant:</w:t>
            </w:r>
            <w:proofErr w:type="gramEnd"/>
            <w:r>
              <w:rPr>
                <w:rFonts w:ascii="Times New Roman" w:hAnsi="Times New Roman"/>
                <w:sz w:val="20"/>
              </w:rPr>
              <w:t xml:space="preserve"> </w:t>
            </w:r>
            <w:r w:rsidR="00FE79E2">
              <w:rPr>
                <w:rFonts w:ascii="Times New Roman" w:hAnsi="Times New Roman" w:cs="Times New Roman"/>
                <w:sz w:val="20"/>
                <w:szCs w:val="20"/>
              </w:rPr>
              <w:br/>
            </w:r>
            <w:r>
              <w:rPr>
                <w:rFonts w:ascii="Times New Roman" w:hAnsi="Times New Roman"/>
                <w:sz w:val="20"/>
              </w:rPr>
              <w:t xml:space="preserve">  – code ISIN de l’ISO 6166 si disponible</w:t>
            </w:r>
            <w:r w:rsidR="00FE79E2">
              <w:rPr>
                <w:rFonts w:ascii="Times New Roman" w:hAnsi="Times New Roman" w:cs="Times New Roman"/>
                <w:sz w:val="20"/>
                <w:szCs w:val="20"/>
              </w:rPr>
              <w:br/>
            </w:r>
            <w:r>
              <w:rPr>
                <w:rFonts w:ascii="Times New Roman" w:hAnsi="Times New Roman"/>
                <w:sz w:val="20"/>
              </w:rPr>
              <w:t xml:space="preserve">  – autres codes reconnus (tels que CUSIP, Bloomberg </w:t>
            </w:r>
            <w:proofErr w:type="spellStart"/>
            <w:r>
              <w:rPr>
                <w:rFonts w:ascii="Times New Roman" w:hAnsi="Times New Roman"/>
                <w:sz w:val="20"/>
              </w:rPr>
              <w:t>Ticker</w:t>
            </w:r>
            <w:proofErr w:type="spellEnd"/>
            <w:r>
              <w:rPr>
                <w:rFonts w:ascii="Times New Roman" w:hAnsi="Times New Roman"/>
                <w:sz w:val="20"/>
              </w:rPr>
              <w:t>, Reuters RIC)</w:t>
            </w:r>
            <w:r w:rsidR="00FE79E2">
              <w:rPr>
                <w:rFonts w:ascii="Times New Roman" w:hAnsi="Times New Roman" w:cs="Times New Roman"/>
                <w:sz w:val="20"/>
                <w:szCs w:val="20"/>
              </w:rPr>
              <w:br/>
            </w:r>
            <w:r>
              <w:rPr>
                <w:rFonts w:ascii="Times New Roman" w:hAnsi="Times New Roman"/>
                <w:sz w:val="20"/>
              </w:rPr>
              <w:t xml:space="preserve">  – code attribué par </w:t>
            </w:r>
            <w:r w:rsidR="008771DA">
              <w:rPr>
                <w:rFonts w:ascii="Times New Roman" w:hAnsi="Times New Roman"/>
                <w:sz w:val="20"/>
              </w:rPr>
              <w:t>l’O</w:t>
            </w:r>
            <w:r w:rsidR="00FB47AF">
              <w:rPr>
                <w:rFonts w:ascii="Times New Roman" w:hAnsi="Times New Roman"/>
                <w:sz w:val="20"/>
              </w:rPr>
              <w:t>RPS</w:t>
            </w:r>
            <w:r>
              <w:rPr>
                <w:rFonts w:ascii="Times New Roman" w:hAnsi="Times New Roman"/>
                <w:sz w:val="20"/>
              </w:rPr>
              <w:t>, lorsque les options ci-dessus ne sont pas disponibles, qui doit rester constant dans le temps</w:t>
            </w:r>
          </w:p>
          <w:p w14:paraId="0BD158FF"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 xml:space="preserve">Lorsque le même code d’identification d’actif doit être répété pour un actif émis dans 2 monnaies différentes, voire plus, ce code d’identification de l’actif doit être assorti du code alphabétique ISO 4217 de la monnaie d’émission, comme </w:t>
            </w:r>
            <w:proofErr w:type="gramStart"/>
            <w:r>
              <w:rPr>
                <w:rFonts w:ascii="Times New Roman" w:hAnsi="Times New Roman"/>
                <w:sz w:val="20"/>
              </w:rPr>
              <w:t>suit:</w:t>
            </w:r>
            <w:proofErr w:type="gramEnd"/>
            <w:r>
              <w:rPr>
                <w:rFonts w:ascii="Times New Roman" w:hAnsi="Times New Roman"/>
                <w:sz w:val="20"/>
              </w:rPr>
              <w:t xml:space="preserve"> «code + EUR»</w:t>
            </w:r>
          </w:p>
        </w:tc>
      </w:tr>
      <w:tr w:rsidR="0095672C" w:rsidRPr="008B3312" w14:paraId="580C0ED1" w14:textId="77777777" w:rsidTr="00950116">
        <w:trPr>
          <w:trHeight w:val="1500"/>
        </w:trPr>
        <w:tc>
          <w:tcPr>
            <w:tcW w:w="1378" w:type="dxa"/>
            <w:hideMark/>
          </w:tcPr>
          <w:p w14:paraId="08350920"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C0050</w:t>
            </w:r>
          </w:p>
        </w:tc>
        <w:tc>
          <w:tcPr>
            <w:tcW w:w="1891" w:type="dxa"/>
            <w:hideMark/>
          </w:tcPr>
          <w:p w14:paraId="75ABC6CC"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Type de code d’identification de l’actif</w:t>
            </w:r>
          </w:p>
        </w:tc>
        <w:tc>
          <w:tcPr>
            <w:tcW w:w="6053" w:type="dxa"/>
            <w:hideMark/>
          </w:tcPr>
          <w:p w14:paraId="59F66676"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Indiquer le type de code d’identification utilisé pour l’élément</w:t>
            </w:r>
            <w:proofErr w:type="gramStart"/>
            <w:r>
              <w:rPr>
                <w:rFonts w:ascii="Times New Roman" w:hAnsi="Times New Roman"/>
                <w:sz w:val="20"/>
              </w:rPr>
              <w:t xml:space="preserve"> «code</w:t>
            </w:r>
            <w:proofErr w:type="gramEnd"/>
            <w:r>
              <w:rPr>
                <w:rFonts w:ascii="Times New Roman" w:hAnsi="Times New Roman"/>
                <w:sz w:val="20"/>
              </w:rPr>
              <w:t xml:space="preserve"> d’identification de l’actif». Choisir impérativement l’une des options </w:t>
            </w:r>
            <w:proofErr w:type="gramStart"/>
            <w:r>
              <w:rPr>
                <w:rFonts w:ascii="Times New Roman" w:hAnsi="Times New Roman"/>
                <w:sz w:val="20"/>
              </w:rPr>
              <w:t>suivantes:</w:t>
            </w:r>
            <w:proofErr w:type="gramEnd"/>
          </w:p>
          <w:p w14:paraId="5CC59B80" w14:textId="77777777" w:rsidR="0095672C" w:rsidRPr="008B3312" w:rsidRDefault="006313E1" w:rsidP="00950116">
            <w:pPr>
              <w:rPr>
                <w:rFonts w:ascii="Times New Roman" w:hAnsi="Times New Roman" w:cs="Times New Roman"/>
                <w:sz w:val="20"/>
                <w:szCs w:val="20"/>
              </w:rPr>
            </w:pPr>
            <w:r>
              <w:rPr>
                <w:rFonts w:ascii="Times New Roman" w:hAnsi="Times New Roman"/>
                <w:sz w:val="20"/>
              </w:rPr>
              <w:t xml:space="preserve">1 </w:t>
            </w:r>
            <w:r w:rsidR="0095672C">
              <w:rPr>
                <w:rFonts w:ascii="Times New Roman" w:hAnsi="Times New Roman"/>
                <w:sz w:val="20"/>
              </w:rPr>
              <w:t>– code ISIN de l’ISO 6166</w:t>
            </w:r>
          </w:p>
          <w:p w14:paraId="23EB6727"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2 – code CUSIP (</w:t>
            </w:r>
            <w:proofErr w:type="spellStart"/>
            <w:r>
              <w:rPr>
                <w:rFonts w:ascii="Times New Roman" w:hAnsi="Times New Roman"/>
                <w:sz w:val="20"/>
              </w:rPr>
              <w:t>Committee</w:t>
            </w:r>
            <w:proofErr w:type="spellEnd"/>
            <w:r>
              <w:rPr>
                <w:rFonts w:ascii="Times New Roman" w:hAnsi="Times New Roman"/>
                <w:sz w:val="20"/>
              </w:rPr>
              <w:t xml:space="preserve"> on Uniform Securities Identification </w:t>
            </w:r>
            <w:proofErr w:type="spellStart"/>
            <w:r>
              <w:rPr>
                <w:rFonts w:ascii="Times New Roman" w:hAnsi="Times New Roman"/>
                <w:sz w:val="20"/>
              </w:rPr>
              <w:t>Procedures</w:t>
            </w:r>
            <w:proofErr w:type="spellEnd"/>
            <w:proofErr w:type="gramStart"/>
            <w:r>
              <w:rPr>
                <w:rFonts w:ascii="Times New Roman" w:hAnsi="Times New Roman"/>
                <w:sz w:val="20"/>
              </w:rPr>
              <w:t>):</w:t>
            </w:r>
            <w:proofErr w:type="gramEnd"/>
            <w:r>
              <w:rPr>
                <w:rFonts w:ascii="Times New Roman" w:hAnsi="Times New Roman"/>
                <w:sz w:val="20"/>
              </w:rPr>
              <w:t xml:space="preserve"> numéro attribué par le CUSIP Service Bureau pour les entreprises américaines et canadiennes</w:t>
            </w:r>
          </w:p>
          <w:p w14:paraId="18E0FAFE"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 xml:space="preserve">3 – SEDOL (Stock Exchange Daily Official List pour la bourse de </w:t>
            </w:r>
            <w:r>
              <w:rPr>
                <w:rFonts w:ascii="Times New Roman" w:hAnsi="Times New Roman"/>
                <w:sz w:val="20"/>
              </w:rPr>
              <w:lastRenderedPageBreak/>
              <w:t>Londres)</w:t>
            </w:r>
          </w:p>
          <w:p w14:paraId="0A09A21E"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4 – WKN (</w:t>
            </w:r>
            <w:proofErr w:type="spellStart"/>
            <w:r>
              <w:rPr>
                <w:rFonts w:ascii="Times New Roman" w:hAnsi="Times New Roman"/>
                <w:sz w:val="20"/>
              </w:rPr>
              <w:t>Wertpapier</w:t>
            </w:r>
            <w:proofErr w:type="spellEnd"/>
            <w:r>
              <w:rPr>
                <w:rFonts w:ascii="Times New Roman" w:hAnsi="Times New Roman"/>
                <w:sz w:val="20"/>
              </w:rPr>
              <w:t xml:space="preserve"> Kenn-</w:t>
            </w:r>
            <w:proofErr w:type="spellStart"/>
            <w:r>
              <w:rPr>
                <w:rFonts w:ascii="Times New Roman" w:hAnsi="Times New Roman"/>
                <w:sz w:val="20"/>
              </w:rPr>
              <w:t>Nummer</w:t>
            </w:r>
            <w:proofErr w:type="spellEnd"/>
            <w:r>
              <w:rPr>
                <w:rFonts w:ascii="Times New Roman" w:hAnsi="Times New Roman"/>
                <w:sz w:val="20"/>
              </w:rPr>
              <w:t>, le numéro d’identification alphanumérique allemand)</w:t>
            </w:r>
          </w:p>
          <w:p w14:paraId="2E9D0316"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 xml:space="preserve">5 – Bloomberg </w:t>
            </w:r>
            <w:proofErr w:type="spellStart"/>
            <w:r>
              <w:rPr>
                <w:rFonts w:ascii="Times New Roman" w:hAnsi="Times New Roman"/>
                <w:sz w:val="20"/>
              </w:rPr>
              <w:t>Ticker</w:t>
            </w:r>
            <w:proofErr w:type="spellEnd"/>
            <w:r>
              <w:rPr>
                <w:rFonts w:ascii="Times New Roman" w:hAnsi="Times New Roman"/>
                <w:sz w:val="20"/>
              </w:rPr>
              <w:t xml:space="preserve"> (code à lettres Bloomberg d’identification des titres d’une société)</w:t>
            </w:r>
          </w:p>
          <w:p w14:paraId="588C2095"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6 – BBGID (Bloomberg Global ID)</w:t>
            </w:r>
          </w:p>
          <w:p w14:paraId="12CAD9CF"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7 – Reuters RIC (Reuters Instrument Code)</w:t>
            </w:r>
          </w:p>
          <w:p w14:paraId="0B12A056"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8 – FIGI (Financial Instrument Global Identifier)</w:t>
            </w:r>
          </w:p>
          <w:p w14:paraId="649DB751"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9 – Autre code attribué par un membre de l’Association des agences nationales de codification</w:t>
            </w:r>
          </w:p>
          <w:p w14:paraId="118E817C"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99 – Code attribué par l’entreprise</w:t>
            </w:r>
          </w:p>
          <w:p w14:paraId="230A2A78"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Lorsque le même code d’identification d’actif doit être répété pour un actif émis dans 2 monnaies différentes, voire plus, et que, sous C0040, est déclaré le code d’identification de l’actif assorti du code alphabétique ISO 4217 de la monnaie d’émission, la réponse fournie pour le «type de code d’identification de l’actif» doit faire référence à la fois à l’option 9 et à l’option correspondant au code d’identification d’origine, comme dans l’exemple suivant, où le code d’origine déclaré était un code ISIN assorti du code monnaie: «9/1».</w:t>
            </w:r>
          </w:p>
        </w:tc>
      </w:tr>
      <w:tr w:rsidR="0095672C" w:rsidRPr="008B3312" w14:paraId="7D93FEED" w14:textId="77777777" w:rsidTr="00950116">
        <w:trPr>
          <w:trHeight w:val="2475"/>
        </w:trPr>
        <w:tc>
          <w:tcPr>
            <w:tcW w:w="1378" w:type="dxa"/>
            <w:hideMark/>
          </w:tcPr>
          <w:p w14:paraId="61A13DDE"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lastRenderedPageBreak/>
              <w:t>C0150</w:t>
            </w:r>
          </w:p>
        </w:tc>
        <w:tc>
          <w:tcPr>
            <w:tcW w:w="1891" w:type="dxa"/>
            <w:hideMark/>
          </w:tcPr>
          <w:p w14:paraId="01CF549B"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Intitulé de l’élément</w:t>
            </w:r>
          </w:p>
        </w:tc>
        <w:tc>
          <w:tcPr>
            <w:tcW w:w="6053" w:type="dxa"/>
            <w:hideMark/>
          </w:tcPr>
          <w:p w14:paraId="09ED6174" w14:textId="71EE5C3A" w:rsidR="0095672C" w:rsidRPr="008B3312" w:rsidRDefault="0095672C" w:rsidP="00950116">
            <w:pPr>
              <w:rPr>
                <w:rFonts w:ascii="Times New Roman" w:hAnsi="Times New Roman" w:cs="Times New Roman"/>
                <w:sz w:val="20"/>
                <w:szCs w:val="20"/>
              </w:rPr>
            </w:pPr>
            <w:r>
              <w:rPr>
                <w:rFonts w:ascii="Times New Roman" w:hAnsi="Times New Roman"/>
                <w:sz w:val="20"/>
              </w:rPr>
              <w:t xml:space="preserve">Identifier l’élément déclaré en indiquant le nom de l’actif (ou son adresse s’il s’agit d’un bien immobilier), avec les détails définis par </w:t>
            </w:r>
            <w:r w:rsidR="008771DA">
              <w:rPr>
                <w:rFonts w:ascii="Times New Roman" w:hAnsi="Times New Roman"/>
                <w:sz w:val="20"/>
              </w:rPr>
              <w:t>l’O</w:t>
            </w:r>
            <w:r w:rsidR="00FB47AF">
              <w:rPr>
                <w:rFonts w:ascii="Times New Roman" w:hAnsi="Times New Roman"/>
                <w:sz w:val="20"/>
              </w:rPr>
              <w:t>RPS</w:t>
            </w:r>
            <w:r>
              <w:rPr>
                <w:rFonts w:ascii="Times New Roman" w:hAnsi="Times New Roman"/>
                <w:sz w:val="20"/>
              </w:rPr>
              <w:t xml:space="preserve">. </w:t>
            </w:r>
          </w:p>
          <w:p w14:paraId="72C059E2" w14:textId="4E11E72C" w:rsidR="0095672C" w:rsidRPr="008B3312" w:rsidRDefault="008771DA" w:rsidP="00950116">
            <w:pPr>
              <w:rPr>
                <w:rFonts w:ascii="Times New Roman" w:hAnsi="Times New Roman" w:cs="Times New Roman"/>
                <w:sz w:val="20"/>
                <w:szCs w:val="20"/>
              </w:rPr>
            </w:pPr>
            <w:r>
              <w:rPr>
                <w:rFonts w:ascii="Times New Roman" w:hAnsi="Times New Roman"/>
                <w:sz w:val="20"/>
              </w:rPr>
              <w:t>L’O</w:t>
            </w:r>
            <w:r w:rsidR="00FB47AF">
              <w:rPr>
                <w:rFonts w:ascii="Times New Roman" w:hAnsi="Times New Roman"/>
                <w:sz w:val="20"/>
              </w:rPr>
              <w:t xml:space="preserve">RPS </w:t>
            </w:r>
            <w:r w:rsidR="0095672C">
              <w:rPr>
                <w:rFonts w:ascii="Times New Roman" w:hAnsi="Times New Roman"/>
                <w:sz w:val="20"/>
              </w:rPr>
              <w:t xml:space="preserve">doit tenir compte des éléments </w:t>
            </w:r>
            <w:proofErr w:type="gramStart"/>
            <w:r w:rsidR="0095672C">
              <w:rPr>
                <w:rFonts w:ascii="Times New Roman" w:hAnsi="Times New Roman"/>
                <w:sz w:val="20"/>
              </w:rPr>
              <w:t>suivants:</w:t>
            </w:r>
            <w:proofErr w:type="gramEnd"/>
          </w:p>
          <w:p w14:paraId="58453385" w14:textId="77777777" w:rsidR="0095672C" w:rsidRPr="008B3312" w:rsidRDefault="0095672C" w:rsidP="00803166">
            <w:pPr>
              <w:pStyle w:val="Paragraphedeliste"/>
              <w:numPr>
                <w:ilvl w:val="0"/>
                <w:numId w:val="10"/>
              </w:numPr>
              <w:spacing w:line="276" w:lineRule="auto"/>
              <w:ind w:left="714" w:hanging="357"/>
              <w:jc w:val="left"/>
              <w:rPr>
                <w:sz w:val="20"/>
              </w:rPr>
            </w:pPr>
            <w:r>
              <w:rPr>
                <w:sz w:val="20"/>
              </w:rPr>
              <w:t>En ce qui concerne la catégorie CIC 8</w:t>
            </w:r>
            <w:proofErr w:type="gramStart"/>
            <w:r>
              <w:rPr>
                <w:sz w:val="20"/>
              </w:rPr>
              <w:t xml:space="preserve"> «Prêts</w:t>
            </w:r>
            <w:proofErr w:type="gramEnd"/>
            <w:r>
              <w:rPr>
                <w:sz w:val="20"/>
              </w:rPr>
              <w:t xml:space="preserve"> et prêts hypothécaires», spécifier, selon la nature des prêts, s’il s’agit de «Prêts aux membres de l’organe d’administration, de gestion ou de contrôle» ou de «Prêts à d’autres personnes physiques», puisque ces actifs n’ont pas être individualisés. Les prêts à d’autres entités que les personnes physiques doivent être déclarés ligne par ligne. </w:t>
            </w:r>
          </w:p>
          <w:p w14:paraId="71D64CC1" w14:textId="77777777" w:rsidR="0095672C" w:rsidRPr="008B3312" w:rsidRDefault="0095672C" w:rsidP="00803166">
            <w:pPr>
              <w:pStyle w:val="Paragraphedeliste"/>
              <w:numPr>
                <w:ilvl w:val="0"/>
                <w:numId w:val="10"/>
              </w:numPr>
              <w:spacing w:line="276" w:lineRule="auto"/>
              <w:ind w:left="714" w:hanging="357"/>
              <w:jc w:val="left"/>
              <w:rPr>
                <w:sz w:val="20"/>
              </w:rPr>
            </w:pPr>
            <w:r>
              <w:rPr>
                <w:sz w:val="20"/>
              </w:rPr>
              <w:t>Ne s’applique pas à la catégorie CIC 95</w:t>
            </w:r>
            <w:proofErr w:type="gramStart"/>
            <w:r>
              <w:rPr>
                <w:sz w:val="20"/>
              </w:rPr>
              <w:t xml:space="preserve"> «Biens</w:t>
            </w:r>
            <w:proofErr w:type="gramEnd"/>
            <w:r>
              <w:rPr>
                <w:sz w:val="20"/>
              </w:rPr>
              <w:t xml:space="preserve"> d’équipement» (pour usage propre), puisque ces actifs n’ont pas à être individualisés, ni aux catégories CIC 71 et CIC 75.</w:t>
            </w:r>
          </w:p>
          <w:p w14:paraId="454B8757" w14:textId="77777777" w:rsidR="0095672C" w:rsidRPr="008B3312" w:rsidRDefault="0095672C" w:rsidP="00803166">
            <w:pPr>
              <w:pStyle w:val="Paragraphedeliste"/>
              <w:numPr>
                <w:ilvl w:val="0"/>
                <w:numId w:val="10"/>
              </w:numPr>
              <w:ind w:left="714" w:hanging="357"/>
              <w:jc w:val="left"/>
              <w:rPr>
                <w:sz w:val="20"/>
              </w:rPr>
            </w:pPr>
            <w:r>
              <w:rPr>
                <w:sz w:val="20"/>
              </w:rPr>
              <w:t>Lorsque la sûreté comprend des polices d’assurance (concernant des prêts garantis par des polices d’assurance), ces polices n’ont pas à être individualisées, et cet élément n’est pas applicable.</w:t>
            </w:r>
          </w:p>
        </w:tc>
      </w:tr>
      <w:tr w:rsidR="0095672C" w:rsidRPr="008B3312" w14:paraId="2F0C1A94" w14:textId="77777777" w:rsidTr="00950116">
        <w:trPr>
          <w:trHeight w:val="1620"/>
        </w:trPr>
        <w:tc>
          <w:tcPr>
            <w:tcW w:w="1378" w:type="dxa"/>
            <w:hideMark/>
          </w:tcPr>
          <w:p w14:paraId="31A7C0A3"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C0160</w:t>
            </w:r>
          </w:p>
        </w:tc>
        <w:tc>
          <w:tcPr>
            <w:tcW w:w="1891" w:type="dxa"/>
            <w:hideMark/>
          </w:tcPr>
          <w:p w14:paraId="0B95EE7B"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Nom de l’émetteur</w:t>
            </w:r>
          </w:p>
        </w:tc>
        <w:tc>
          <w:tcPr>
            <w:tcW w:w="6053" w:type="dxa"/>
            <w:hideMark/>
          </w:tcPr>
          <w:p w14:paraId="11EAA02E"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 xml:space="preserve">Nom de l’émetteur, défini comme étant l’entité qui émet à l’intention des investisseurs des actifs représentant une partie de son capital ou de sa dette, des dérivés, etc. </w:t>
            </w:r>
          </w:p>
          <w:p w14:paraId="710FC0BA"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Indiquer le nom de l’entité enregistré dans la base de données des identifiants d’entité juridique (LEI) s’il existe. À défaut, indiquer la dénomination légale.</w:t>
            </w:r>
          </w:p>
          <w:p w14:paraId="04618C5F" w14:textId="3334AA54" w:rsidR="0095672C" w:rsidRPr="008B3312" w:rsidRDefault="008771DA" w:rsidP="00950116">
            <w:pPr>
              <w:spacing w:line="276" w:lineRule="auto"/>
              <w:rPr>
                <w:rFonts w:ascii="Times New Roman" w:hAnsi="Times New Roman" w:cs="Times New Roman"/>
                <w:sz w:val="20"/>
                <w:szCs w:val="20"/>
              </w:rPr>
            </w:pPr>
            <w:r>
              <w:rPr>
                <w:rFonts w:ascii="Times New Roman" w:hAnsi="Times New Roman"/>
                <w:sz w:val="20"/>
              </w:rPr>
              <w:t>L’O</w:t>
            </w:r>
            <w:r w:rsidR="00FB47AF">
              <w:rPr>
                <w:rFonts w:ascii="Times New Roman" w:hAnsi="Times New Roman"/>
                <w:sz w:val="20"/>
              </w:rPr>
              <w:t xml:space="preserve">RPS </w:t>
            </w:r>
            <w:r w:rsidR="0095672C">
              <w:rPr>
                <w:rFonts w:ascii="Times New Roman" w:hAnsi="Times New Roman"/>
                <w:sz w:val="20"/>
              </w:rPr>
              <w:t xml:space="preserve">doit tenir compte des éléments </w:t>
            </w:r>
            <w:proofErr w:type="gramStart"/>
            <w:r w:rsidR="0095672C">
              <w:rPr>
                <w:rFonts w:ascii="Times New Roman" w:hAnsi="Times New Roman"/>
                <w:sz w:val="20"/>
              </w:rPr>
              <w:t>suivants:</w:t>
            </w:r>
            <w:proofErr w:type="gramEnd"/>
          </w:p>
          <w:p w14:paraId="2D52C219" w14:textId="77777777" w:rsidR="0095672C" w:rsidRPr="008B3312" w:rsidRDefault="0095672C" w:rsidP="00803166">
            <w:pPr>
              <w:pStyle w:val="Paragraphedeliste"/>
              <w:numPr>
                <w:ilvl w:val="0"/>
                <w:numId w:val="9"/>
              </w:numPr>
              <w:spacing w:after="200" w:line="276" w:lineRule="auto"/>
              <w:jc w:val="left"/>
              <w:rPr>
                <w:sz w:val="20"/>
              </w:rPr>
            </w:pPr>
            <w:proofErr w:type="gramStart"/>
            <w:r>
              <w:rPr>
                <w:sz w:val="20"/>
              </w:rPr>
              <w:t>pour</w:t>
            </w:r>
            <w:proofErr w:type="gramEnd"/>
            <w:r>
              <w:rPr>
                <w:sz w:val="20"/>
              </w:rPr>
              <w:t xml:space="preserve"> la catégorie CIC 4 «Organismes de placement collectif», le nom de l’émetteur est le nom du gestionnaire du fonds;</w:t>
            </w:r>
          </w:p>
          <w:p w14:paraId="5AED0BA7" w14:textId="77777777" w:rsidR="0095672C" w:rsidRPr="008B3312" w:rsidRDefault="0095672C" w:rsidP="00803166">
            <w:pPr>
              <w:pStyle w:val="Paragraphedeliste"/>
              <w:numPr>
                <w:ilvl w:val="0"/>
                <w:numId w:val="9"/>
              </w:numPr>
              <w:spacing w:after="200" w:line="276" w:lineRule="auto"/>
              <w:jc w:val="left"/>
              <w:rPr>
                <w:sz w:val="20"/>
              </w:rPr>
            </w:pPr>
            <w:proofErr w:type="gramStart"/>
            <w:r>
              <w:rPr>
                <w:sz w:val="20"/>
              </w:rPr>
              <w:t>pour</w:t>
            </w:r>
            <w:proofErr w:type="gramEnd"/>
            <w:r>
              <w:rPr>
                <w:sz w:val="20"/>
              </w:rPr>
              <w:t xml:space="preserve"> la catégorie CIC 7 «Trésorerie et dépôts» (hors CIC 71 et CIC 75), le nom de l’émetteur est le nom du dépositaire;</w:t>
            </w:r>
          </w:p>
          <w:p w14:paraId="52E4E5F3" w14:textId="77777777" w:rsidR="0095672C" w:rsidRPr="008B3312" w:rsidRDefault="0095672C" w:rsidP="00803166">
            <w:pPr>
              <w:pStyle w:val="Paragraphedeliste"/>
              <w:numPr>
                <w:ilvl w:val="0"/>
                <w:numId w:val="9"/>
              </w:numPr>
              <w:spacing w:after="200" w:line="276" w:lineRule="auto"/>
              <w:jc w:val="left"/>
              <w:rPr>
                <w:sz w:val="20"/>
              </w:rPr>
            </w:pPr>
            <w:proofErr w:type="gramStart"/>
            <w:r>
              <w:rPr>
                <w:sz w:val="20"/>
              </w:rPr>
              <w:t>pour</w:t>
            </w:r>
            <w:proofErr w:type="gramEnd"/>
            <w:r>
              <w:rPr>
                <w:sz w:val="20"/>
              </w:rPr>
              <w:t xml:space="preserve"> la catégorie CIC 8 «Prêts et prêts hypothécaires», spécifier, selon la nature des prêts, s’il s’agit de «Prêts aux membres de l’organe d’administration, de gestion ou de </w:t>
            </w:r>
            <w:r>
              <w:rPr>
                <w:sz w:val="20"/>
              </w:rPr>
              <w:lastRenderedPageBreak/>
              <w:t>contrôle» ou de «Prêts à d’autres personnes physiques», puisque ces actifs n’ont pas être individualisés.</w:t>
            </w:r>
          </w:p>
          <w:p w14:paraId="3C30968B" w14:textId="625388EF" w:rsidR="0095672C" w:rsidRPr="0044578D" w:rsidRDefault="0095672C" w:rsidP="0044578D">
            <w:pPr>
              <w:pStyle w:val="Paragraphedeliste"/>
              <w:numPr>
                <w:ilvl w:val="0"/>
                <w:numId w:val="9"/>
              </w:numPr>
              <w:spacing w:after="200" w:line="276" w:lineRule="auto"/>
              <w:jc w:val="left"/>
              <w:rPr>
                <w:sz w:val="20"/>
              </w:rPr>
            </w:pPr>
            <w:proofErr w:type="gramStart"/>
            <w:r>
              <w:rPr>
                <w:sz w:val="20"/>
              </w:rPr>
              <w:t>pour</w:t>
            </w:r>
            <w:proofErr w:type="gramEnd"/>
            <w:r>
              <w:rPr>
                <w:sz w:val="20"/>
              </w:rPr>
              <w:t xml:space="preserve"> la catégorie CIC 8 «Prêts et prêts hypothécaires», autres qu’à des personnes physiques, l’information à déclarer concerne l’emprunteur;</w:t>
            </w:r>
            <w:r w:rsidR="00E54DF8">
              <w:rPr>
                <w:sz w:val="20"/>
              </w:rPr>
              <w:t xml:space="preserve"> </w:t>
            </w:r>
            <w:r w:rsidRPr="0044578D">
              <w:rPr>
                <w:sz w:val="20"/>
              </w:rPr>
              <w:t>ne s’applique pas aux catégories CIC 71, CIC 75 et CIC 9 «Immobilisations corporelles».</w:t>
            </w:r>
          </w:p>
        </w:tc>
      </w:tr>
      <w:tr w:rsidR="0095672C" w:rsidRPr="008B3312" w14:paraId="457F00FA" w14:textId="77777777" w:rsidTr="00950116">
        <w:trPr>
          <w:trHeight w:val="1605"/>
        </w:trPr>
        <w:tc>
          <w:tcPr>
            <w:tcW w:w="1378" w:type="dxa"/>
            <w:hideMark/>
          </w:tcPr>
          <w:p w14:paraId="7E646F90" w14:textId="77777777" w:rsidR="0095672C" w:rsidRPr="008B3312" w:rsidRDefault="0095672C" w:rsidP="00950116">
            <w:pPr>
              <w:pStyle w:val="Sansinterligne"/>
              <w:rPr>
                <w:rFonts w:ascii="Times New Roman" w:hAnsi="Times New Roman" w:cs="Times New Roman"/>
                <w:sz w:val="20"/>
              </w:rPr>
            </w:pPr>
            <w:r>
              <w:rPr>
                <w:rFonts w:ascii="Times New Roman" w:hAnsi="Times New Roman"/>
                <w:sz w:val="20"/>
              </w:rPr>
              <w:lastRenderedPageBreak/>
              <w:t>C0170</w:t>
            </w:r>
          </w:p>
        </w:tc>
        <w:tc>
          <w:tcPr>
            <w:tcW w:w="1891" w:type="dxa"/>
            <w:hideMark/>
          </w:tcPr>
          <w:p w14:paraId="6E18D24F"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Code de l’émetteur</w:t>
            </w:r>
          </w:p>
        </w:tc>
        <w:tc>
          <w:tcPr>
            <w:tcW w:w="6053" w:type="dxa"/>
            <w:hideMark/>
          </w:tcPr>
          <w:p w14:paraId="49490939" w14:textId="210E85EC"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Indiquer le code d’identification de l’émetteur en utilisant l’identifiant d’entité juridique (LEI) s’il existe.</w:t>
            </w:r>
            <w:r w:rsidR="00FE79E2">
              <w:rPr>
                <w:rFonts w:ascii="Times New Roman" w:hAnsi="Times New Roman" w:cs="Times New Roman"/>
                <w:sz w:val="20"/>
                <w:szCs w:val="20"/>
              </w:rPr>
              <w:br/>
            </w:r>
            <w:r w:rsidR="00FE79E2">
              <w:rPr>
                <w:rFonts w:ascii="Times New Roman" w:hAnsi="Times New Roman" w:cs="Times New Roman"/>
                <w:sz w:val="20"/>
                <w:szCs w:val="20"/>
              </w:rPr>
              <w:br/>
            </w:r>
            <w:r w:rsidR="008771DA">
              <w:rPr>
                <w:rFonts w:ascii="Times New Roman" w:hAnsi="Times New Roman"/>
                <w:sz w:val="20"/>
              </w:rPr>
              <w:t>L’O</w:t>
            </w:r>
            <w:r w:rsidR="00FB47AF">
              <w:rPr>
                <w:rFonts w:ascii="Times New Roman" w:hAnsi="Times New Roman"/>
                <w:sz w:val="20"/>
              </w:rPr>
              <w:t xml:space="preserve">RPS </w:t>
            </w:r>
            <w:r>
              <w:rPr>
                <w:rFonts w:ascii="Times New Roman" w:hAnsi="Times New Roman"/>
                <w:sz w:val="20"/>
              </w:rPr>
              <w:t xml:space="preserve">doit tenir compte des éléments </w:t>
            </w:r>
            <w:proofErr w:type="gramStart"/>
            <w:r>
              <w:rPr>
                <w:rFonts w:ascii="Times New Roman" w:hAnsi="Times New Roman"/>
                <w:sz w:val="20"/>
              </w:rPr>
              <w:t>suivants:</w:t>
            </w:r>
            <w:proofErr w:type="gramEnd"/>
          </w:p>
          <w:p w14:paraId="11F3B889" w14:textId="77777777" w:rsidR="0095672C" w:rsidRPr="008B3312" w:rsidRDefault="0095672C" w:rsidP="00803166">
            <w:pPr>
              <w:pStyle w:val="Paragraphedeliste"/>
              <w:numPr>
                <w:ilvl w:val="0"/>
                <w:numId w:val="9"/>
              </w:numPr>
              <w:jc w:val="left"/>
              <w:rPr>
                <w:sz w:val="20"/>
              </w:rPr>
            </w:pPr>
            <w:proofErr w:type="gramStart"/>
            <w:r>
              <w:rPr>
                <w:sz w:val="20"/>
              </w:rPr>
              <w:t>pour</w:t>
            </w:r>
            <w:proofErr w:type="gramEnd"/>
            <w:r>
              <w:rPr>
                <w:sz w:val="20"/>
              </w:rPr>
              <w:t xml:space="preserve"> la catégorie CIC 4 «Organismes de placement collectif», le code de l’émetteur est le code du gestionnaire du fonds;</w:t>
            </w:r>
          </w:p>
          <w:p w14:paraId="4DFB17AA" w14:textId="77777777" w:rsidR="0095672C" w:rsidRPr="008B3312" w:rsidRDefault="0095672C" w:rsidP="00803166">
            <w:pPr>
              <w:pStyle w:val="Paragraphedeliste"/>
              <w:numPr>
                <w:ilvl w:val="0"/>
                <w:numId w:val="9"/>
              </w:numPr>
              <w:jc w:val="left"/>
              <w:rPr>
                <w:sz w:val="20"/>
              </w:rPr>
            </w:pPr>
            <w:proofErr w:type="gramStart"/>
            <w:r>
              <w:rPr>
                <w:sz w:val="20"/>
              </w:rPr>
              <w:t>pour</w:t>
            </w:r>
            <w:proofErr w:type="gramEnd"/>
            <w:r>
              <w:rPr>
                <w:sz w:val="20"/>
              </w:rPr>
              <w:t xml:space="preserve"> la catégorie CIC 7 «Trésorerie et dépôts» (hors CIC 71 et CIC 75), le code de l’émetteur est le code du dépositaire;</w:t>
            </w:r>
          </w:p>
          <w:p w14:paraId="34C7C1EE" w14:textId="77777777" w:rsidR="0095672C" w:rsidRPr="008B3312" w:rsidRDefault="0095672C" w:rsidP="00803166">
            <w:pPr>
              <w:pStyle w:val="Paragraphedeliste"/>
              <w:numPr>
                <w:ilvl w:val="0"/>
                <w:numId w:val="9"/>
              </w:numPr>
              <w:jc w:val="left"/>
              <w:rPr>
                <w:sz w:val="20"/>
              </w:rPr>
            </w:pPr>
            <w:proofErr w:type="gramStart"/>
            <w:r>
              <w:rPr>
                <w:sz w:val="20"/>
              </w:rPr>
              <w:t>pour</w:t>
            </w:r>
            <w:proofErr w:type="gramEnd"/>
            <w:r>
              <w:rPr>
                <w:sz w:val="20"/>
              </w:rPr>
              <w:t xml:space="preserve"> la catégorie CIC 8 «Prêts et prêts hypothécaires», autres qu’à des personnes physiques, l’information à déclarer concerne l’emprunteur;</w:t>
            </w:r>
          </w:p>
          <w:p w14:paraId="16A14FCC" w14:textId="0C41931B" w:rsidR="0095672C" w:rsidRPr="0044578D" w:rsidRDefault="0095672C" w:rsidP="0044578D">
            <w:pPr>
              <w:pStyle w:val="Paragraphedeliste"/>
              <w:numPr>
                <w:ilvl w:val="0"/>
                <w:numId w:val="9"/>
              </w:numPr>
              <w:jc w:val="left"/>
              <w:rPr>
                <w:sz w:val="20"/>
              </w:rPr>
            </w:pPr>
            <w:proofErr w:type="gramStart"/>
            <w:r>
              <w:rPr>
                <w:sz w:val="20"/>
              </w:rPr>
              <w:t>ne</w:t>
            </w:r>
            <w:proofErr w:type="gramEnd"/>
            <w:r>
              <w:rPr>
                <w:sz w:val="20"/>
              </w:rPr>
              <w:t xml:space="preserve"> s’applique pas aux catégories CIC 71, CIC 75 et CIC 9 «Immobilisations corporelles». </w:t>
            </w:r>
            <w:proofErr w:type="gramStart"/>
            <w:r w:rsidRPr="0044578D">
              <w:rPr>
                <w:sz w:val="20"/>
              </w:rPr>
              <w:t>ne</w:t>
            </w:r>
            <w:proofErr w:type="gramEnd"/>
            <w:r w:rsidRPr="0044578D">
              <w:rPr>
                <w:sz w:val="20"/>
              </w:rPr>
              <w:t xml:space="preserve"> s’applique pas à la catégorie CIC 8 «Prêts et prêts hypothécaires» lorsqu’il s’agit de prêts et prêts hypothécaires à des personnes physiques.</w:t>
            </w:r>
          </w:p>
        </w:tc>
      </w:tr>
      <w:tr w:rsidR="0095672C" w:rsidRPr="008B3312" w14:paraId="26354032" w14:textId="77777777" w:rsidTr="00950116">
        <w:trPr>
          <w:trHeight w:val="975"/>
        </w:trPr>
        <w:tc>
          <w:tcPr>
            <w:tcW w:w="1378" w:type="dxa"/>
            <w:hideMark/>
          </w:tcPr>
          <w:p w14:paraId="345555AE"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C0180</w:t>
            </w:r>
          </w:p>
        </w:tc>
        <w:tc>
          <w:tcPr>
            <w:tcW w:w="1891" w:type="dxa"/>
            <w:hideMark/>
          </w:tcPr>
          <w:p w14:paraId="48C4CC67"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Type de code d’identification de l’émetteur</w:t>
            </w:r>
          </w:p>
        </w:tc>
        <w:tc>
          <w:tcPr>
            <w:tcW w:w="6053" w:type="dxa"/>
            <w:hideMark/>
          </w:tcPr>
          <w:p w14:paraId="40E25D3D"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Indiquer le type de code d’identification utilisé pour l’élément</w:t>
            </w:r>
            <w:proofErr w:type="gramStart"/>
            <w:r>
              <w:rPr>
                <w:rFonts w:ascii="Times New Roman" w:hAnsi="Times New Roman"/>
                <w:sz w:val="20"/>
              </w:rPr>
              <w:t xml:space="preserve"> «code</w:t>
            </w:r>
            <w:proofErr w:type="gramEnd"/>
            <w:r>
              <w:rPr>
                <w:rFonts w:ascii="Times New Roman" w:hAnsi="Times New Roman"/>
                <w:sz w:val="20"/>
              </w:rPr>
              <w:t xml:space="preserve"> d’identification de l’émetteur». Choisir impérativement l’une des options </w:t>
            </w:r>
            <w:proofErr w:type="gramStart"/>
            <w:r>
              <w:rPr>
                <w:rFonts w:ascii="Times New Roman" w:hAnsi="Times New Roman"/>
                <w:sz w:val="20"/>
              </w:rPr>
              <w:t>suivantes:</w:t>
            </w:r>
            <w:proofErr w:type="gramEnd"/>
            <w:r w:rsidR="00FE79E2">
              <w:rPr>
                <w:rFonts w:ascii="Times New Roman" w:hAnsi="Times New Roman" w:cs="Times New Roman"/>
                <w:sz w:val="20"/>
                <w:szCs w:val="20"/>
              </w:rPr>
              <w:br/>
            </w:r>
            <w:r>
              <w:rPr>
                <w:rFonts w:ascii="Times New Roman" w:hAnsi="Times New Roman"/>
                <w:sz w:val="20"/>
              </w:rPr>
              <w:t xml:space="preserve">1 – LEI </w:t>
            </w:r>
            <w:r w:rsidR="00FE79E2">
              <w:rPr>
                <w:rFonts w:ascii="Times New Roman" w:hAnsi="Times New Roman" w:cs="Times New Roman"/>
                <w:sz w:val="20"/>
                <w:szCs w:val="20"/>
              </w:rPr>
              <w:br/>
            </w:r>
            <w:r>
              <w:rPr>
                <w:rFonts w:ascii="Times New Roman" w:hAnsi="Times New Roman"/>
                <w:sz w:val="20"/>
              </w:rPr>
              <w:t>9 – Aucun</w:t>
            </w:r>
          </w:p>
          <w:p w14:paraId="471FD47C"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Ne s’applique pas à la catégorie CIC 8</w:t>
            </w:r>
            <w:proofErr w:type="gramStart"/>
            <w:r>
              <w:rPr>
                <w:rFonts w:ascii="Times New Roman" w:hAnsi="Times New Roman"/>
                <w:sz w:val="20"/>
              </w:rPr>
              <w:t xml:space="preserve"> «Prêts</w:t>
            </w:r>
            <w:proofErr w:type="gramEnd"/>
            <w:r>
              <w:rPr>
                <w:rFonts w:ascii="Times New Roman" w:hAnsi="Times New Roman"/>
                <w:sz w:val="20"/>
              </w:rPr>
              <w:t xml:space="preserve"> et prêts hypothécaires» lorsqu’il s’agit de prêts et prêts hypothécaires à des personnes physiques.</w:t>
            </w:r>
          </w:p>
          <w:p w14:paraId="2B278565"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Ne s’applique pas aux catégories CIC 71, CIC 75 et CIC 9</w:t>
            </w:r>
            <w:proofErr w:type="gramStart"/>
            <w:r>
              <w:rPr>
                <w:rFonts w:ascii="Times New Roman" w:hAnsi="Times New Roman"/>
                <w:sz w:val="20"/>
              </w:rPr>
              <w:t xml:space="preserve"> «Immobilisations</w:t>
            </w:r>
            <w:proofErr w:type="gramEnd"/>
            <w:r>
              <w:rPr>
                <w:rFonts w:ascii="Times New Roman" w:hAnsi="Times New Roman"/>
                <w:sz w:val="20"/>
              </w:rPr>
              <w:t xml:space="preserve"> corporelles».</w:t>
            </w:r>
          </w:p>
        </w:tc>
      </w:tr>
      <w:tr w:rsidR="0095672C" w:rsidRPr="008B3312" w14:paraId="2B989589" w14:textId="77777777" w:rsidTr="00950116">
        <w:trPr>
          <w:trHeight w:val="3039"/>
        </w:trPr>
        <w:tc>
          <w:tcPr>
            <w:tcW w:w="1378" w:type="dxa"/>
            <w:hideMark/>
          </w:tcPr>
          <w:p w14:paraId="63EC8319"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C0190</w:t>
            </w:r>
          </w:p>
        </w:tc>
        <w:tc>
          <w:tcPr>
            <w:tcW w:w="1891" w:type="dxa"/>
            <w:hideMark/>
          </w:tcPr>
          <w:p w14:paraId="036E341F"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Secteur de l’émetteur</w:t>
            </w:r>
          </w:p>
        </w:tc>
        <w:tc>
          <w:tcPr>
            <w:tcW w:w="6053" w:type="dxa"/>
            <w:hideMark/>
          </w:tcPr>
          <w:p w14:paraId="35D23B2A"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Identifier le secteur économique de l’émetteur, sur la base de la dernière version du code NACE (tel que publié dans un règlement de l’UE). Utiliser au minimum la lettre de référence du code NACE identifiant la section (par exemple</w:t>
            </w:r>
            <w:proofErr w:type="gramStart"/>
            <w:r>
              <w:rPr>
                <w:rFonts w:ascii="Times New Roman" w:hAnsi="Times New Roman"/>
                <w:sz w:val="20"/>
              </w:rPr>
              <w:t xml:space="preserve"> «A</w:t>
            </w:r>
            <w:proofErr w:type="gramEnd"/>
            <w:r>
              <w:rPr>
                <w:rFonts w:ascii="Times New Roman" w:hAnsi="Times New Roman"/>
                <w:sz w:val="20"/>
              </w:rPr>
              <w:t>» ou «A111» seraient acceptables), sauf pour la partie de la NACE qui concerne les activités financières et d’assurance, pour lesquelles il faut employer la lettre identifiant la section suivie du code à quatre chiffres de la classe (par exemple «K6411»).</w:t>
            </w:r>
          </w:p>
          <w:p w14:paraId="5D34930C" w14:textId="77777777" w:rsidR="0095672C" w:rsidRPr="008B3312" w:rsidRDefault="0095672C" w:rsidP="00950116">
            <w:pPr>
              <w:rPr>
                <w:rFonts w:ascii="Times New Roman" w:hAnsi="Times New Roman" w:cs="Times New Roman"/>
                <w:sz w:val="20"/>
                <w:szCs w:val="20"/>
              </w:rPr>
            </w:pPr>
          </w:p>
          <w:p w14:paraId="44FA1691" w14:textId="25114C35" w:rsidR="0095672C" w:rsidRPr="008B3312" w:rsidRDefault="008771DA" w:rsidP="00950116">
            <w:pPr>
              <w:rPr>
                <w:rFonts w:ascii="Times New Roman" w:hAnsi="Times New Roman" w:cs="Times New Roman"/>
                <w:sz w:val="20"/>
                <w:szCs w:val="20"/>
              </w:rPr>
            </w:pPr>
            <w:r>
              <w:rPr>
                <w:rFonts w:ascii="Times New Roman" w:hAnsi="Times New Roman"/>
                <w:sz w:val="20"/>
              </w:rPr>
              <w:t>L’O</w:t>
            </w:r>
            <w:r w:rsidR="00FB47AF">
              <w:rPr>
                <w:rFonts w:ascii="Times New Roman" w:hAnsi="Times New Roman"/>
                <w:sz w:val="20"/>
              </w:rPr>
              <w:t xml:space="preserve">RPS </w:t>
            </w:r>
            <w:r w:rsidR="0095672C">
              <w:rPr>
                <w:rFonts w:ascii="Times New Roman" w:hAnsi="Times New Roman"/>
                <w:sz w:val="20"/>
              </w:rPr>
              <w:t xml:space="preserve">doit tenir compte des éléments </w:t>
            </w:r>
            <w:proofErr w:type="gramStart"/>
            <w:r w:rsidR="0095672C">
              <w:rPr>
                <w:rFonts w:ascii="Times New Roman" w:hAnsi="Times New Roman"/>
                <w:sz w:val="20"/>
              </w:rPr>
              <w:t>suivants:</w:t>
            </w:r>
            <w:proofErr w:type="gramEnd"/>
          </w:p>
          <w:p w14:paraId="49407F09" w14:textId="77777777" w:rsidR="0095672C" w:rsidRPr="008B3312" w:rsidRDefault="0095672C" w:rsidP="00803166">
            <w:pPr>
              <w:pStyle w:val="Paragraphedeliste"/>
              <w:numPr>
                <w:ilvl w:val="0"/>
                <w:numId w:val="9"/>
              </w:numPr>
              <w:jc w:val="left"/>
              <w:rPr>
                <w:sz w:val="20"/>
              </w:rPr>
            </w:pPr>
            <w:proofErr w:type="gramStart"/>
            <w:r>
              <w:rPr>
                <w:sz w:val="20"/>
              </w:rPr>
              <w:t>pour</w:t>
            </w:r>
            <w:proofErr w:type="gramEnd"/>
            <w:r>
              <w:rPr>
                <w:sz w:val="20"/>
              </w:rPr>
              <w:t xml:space="preserve"> la catégorie CIC 4 «Organismes de placement collectif», le secteur de l’émetteur est le secteur du gestionnaire du fonds;</w:t>
            </w:r>
          </w:p>
          <w:p w14:paraId="4A564540" w14:textId="77777777" w:rsidR="0095672C" w:rsidRPr="008B3312" w:rsidRDefault="0095672C" w:rsidP="00803166">
            <w:pPr>
              <w:pStyle w:val="Paragraphedeliste"/>
              <w:numPr>
                <w:ilvl w:val="0"/>
                <w:numId w:val="9"/>
              </w:numPr>
              <w:jc w:val="left"/>
              <w:rPr>
                <w:sz w:val="20"/>
              </w:rPr>
            </w:pPr>
            <w:proofErr w:type="gramStart"/>
            <w:r>
              <w:rPr>
                <w:sz w:val="20"/>
              </w:rPr>
              <w:t>pour</w:t>
            </w:r>
            <w:proofErr w:type="gramEnd"/>
            <w:r>
              <w:rPr>
                <w:sz w:val="20"/>
              </w:rPr>
              <w:t xml:space="preserve"> la catégorie CIC 7 «Trésorerie et dépôts» (hors CIC 71 et CIC 75), le secteur de l’émetteur est le secteur du dépositaire;</w:t>
            </w:r>
          </w:p>
          <w:p w14:paraId="6AAB7EF1" w14:textId="77777777" w:rsidR="0095672C" w:rsidRPr="008B3312" w:rsidRDefault="0095672C" w:rsidP="00803166">
            <w:pPr>
              <w:pStyle w:val="Paragraphedeliste"/>
              <w:numPr>
                <w:ilvl w:val="0"/>
                <w:numId w:val="9"/>
              </w:numPr>
              <w:jc w:val="left"/>
              <w:rPr>
                <w:sz w:val="20"/>
              </w:rPr>
            </w:pPr>
            <w:proofErr w:type="gramStart"/>
            <w:r>
              <w:rPr>
                <w:sz w:val="20"/>
              </w:rPr>
              <w:t>pour</w:t>
            </w:r>
            <w:proofErr w:type="gramEnd"/>
            <w:r>
              <w:rPr>
                <w:sz w:val="20"/>
              </w:rPr>
              <w:t xml:space="preserve"> la catégorie CIC 8 «Prêts et prêts hypothécaires», autres qu’à des personnes physiques, l’information à déclarer concerne l’emprunteur;</w:t>
            </w:r>
          </w:p>
          <w:p w14:paraId="5031C375" w14:textId="77777777" w:rsidR="0095672C" w:rsidRPr="008B3312" w:rsidRDefault="0095672C" w:rsidP="00803166">
            <w:pPr>
              <w:pStyle w:val="Paragraphedeliste"/>
              <w:numPr>
                <w:ilvl w:val="0"/>
                <w:numId w:val="9"/>
              </w:numPr>
              <w:jc w:val="left"/>
              <w:rPr>
                <w:sz w:val="20"/>
              </w:rPr>
            </w:pPr>
            <w:proofErr w:type="gramStart"/>
            <w:r>
              <w:rPr>
                <w:sz w:val="20"/>
              </w:rPr>
              <w:t>ne</w:t>
            </w:r>
            <w:proofErr w:type="gramEnd"/>
            <w:r>
              <w:rPr>
                <w:sz w:val="20"/>
              </w:rPr>
              <w:t xml:space="preserve"> s’applique pas aux catégories CIC 71, CIC 75 et CIC 9 «Immobilisations corporelles». </w:t>
            </w:r>
          </w:p>
          <w:p w14:paraId="20244C87" w14:textId="77777777" w:rsidR="0095672C" w:rsidRPr="00166F34" w:rsidRDefault="0095672C" w:rsidP="00803166">
            <w:pPr>
              <w:pStyle w:val="Paragraphedeliste"/>
              <w:numPr>
                <w:ilvl w:val="0"/>
                <w:numId w:val="9"/>
              </w:numPr>
              <w:jc w:val="left"/>
            </w:pPr>
            <w:proofErr w:type="gramStart"/>
            <w:r>
              <w:rPr>
                <w:sz w:val="20"/>
              </w:rPr>
              <w:t>ne</w:t>
            </w:r>
            <w:proofErr w:type="gramEnd"/>
            <w:r>
              <w:rPr>
                <w:sz w:val="20"/>
              </w:rPr>
              <w:t xml:space="preserve"> s’applique pas à la catégorie CIC 8 «Prêts et prêts hypothécaires» lorsqu’il s’agit de prêts et prêts hypothécaires à des personnes physiques.</w:t>
            </w:r>
          </w:p>
        </w:tc>
      </w:tr>
      <w:tr w:rsidR="0095672C" w:rsidRPr="008B3312" w14:paraId="1A4FAC5B" w14:textId="77777777" w:rsidTr="00950116">
        <w:trPr>
          <w:trHeight w:val="1560"/>
        </w:trPr>
        <w:tc>
          <w:tcPr>
            <w:tcW w:w="1378" w:type="dxa"/>
            <w:hideMark/>
          </w:tcPr>
          <w:p w14:paraId="17AD6EFB"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lastRenderedPageBreak/>
              <w:t>C0200</w:t>
            </w:r>
          </w:p>
        </w:tc>
        <w:tc>
          <w:tcPr>
            <w:tcW w:w="1891" w:type="dxa"/>
            <w:hideMark/>
          </w:tcPr>
          <w:p w14:paraId="73874E39"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Nom du groupe de l’émetteur</w:t>
            </w:r>
          </w:p>
        </w:tc>
        <w:tc>
          <w:tcPr>
            <w:tcW w:w="6053" w:type="dxa"/>
            <w:hideMark/>
          </w:tcPr>
          <w:p w14:paraId="28D0E602"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Nom de l’entité mère ultime de l’émetteur.</w:t>
            </w:r>
          </w:p>
          <w:p w14:paraId="71149398"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Indiquer le nom de l’entité enregistré dans la base de données des identifiants d’entité juridique (LEI) s’il existe. À défaut, indiquer la dénomination légale.</w:t>
            </w:r>
          </w:p>
          <w:p w14:paraId="3D6F2940" w14:textId="18F63CF4" w:rsidR="0095672C" w:rsidRPr="008B3312" w:rsidRDefault="008771DA" w:rsidP="00950116">
            <w:pPr>
              <w:spacing w:line="276" w:lineRule="auto"/>
              <w:rPr>
                <w:rFonts w:ascii="Times New Roman" w:hAnsi="Times New Roman" w:cs="Times New Roman"/>
                <w:sz w:val="20"/>
                <w:szCs w:val="20"/>
              </w:rPr>
            </w:pPr>
            <w:r>
              <w:rPr>
                <w:rFonts w:ascii="Times New Roman" w:hAnsi="Times New Roman"/>
                <w:sz w:val="20"/>
              </w:rPr>
              <w:t>L’O</w:t>
            </w:r>
            <w:r w:rsidR="00FB47AF">
              <w:rPr>
                <w:rFonts w:ascii="Times New Roman" w:hAnsi="Times New Roman"/>
                <w:sz w:val="20"/>
              </w:rPr>
              <w:t xml:space="preserve">RPS </w:t>
            </w:r>
            <w:r w:rsidR="0095672C">
              <w:rPr>
                <w:rFonts w:ascii="Times New Roman" w:hAnsi="Times New Roman"/>
                <w:sz w:val="20"/>
              </w:rPr>
              <w:t xml:space="preserve">doit tenir compte des éléments </w:t>
            </w:r>
            <w:proofErr w:type="gramStart"/>
            <w:r w:rsidR="0095672C">
              <w:rPr>
                <w:rFonts w:ascii="Times New Roman" w:hAnsi="Times New Roman"/>
                <w:sz w:val="20"/>
              </w:rPr>
              <w:t>suivants:</w:t>
            </w:r>
            <w:proofErr w:type="gramEnd"/>
          </w:p>
          <w:p w14:paraId="6C8E5FFA" w14:textId="77777777" w:rsidR="0095672C" w:rsidRPr="008B3312" w:rsidRDefault="0095672C" w:rsidP="00803166">
            <w:pPr>
              <w:pStyle w:val="Paragraphedeliste"/>
              <w:numPr>
                <w:ilvl w:val="0"/>
                <w:numId w:val="9"/>
              </w:numPr>
              <w:jc w:val="left"/>
              <w:rPr>
                <w:sz w:val="20"/>
              </w:rPr>
            </w:pPr>
            <w:proofErr w:type="gramStart"/>
            <w:r>
              <w:rPr>
                <w:sz w:val="20"/>
              </w:rPr>
              <w:t>pour</w:t>
            </w:r>
            <w:proofErr w:type="gramEnd"/>
            <w:r>
              <w:rPr>
                <w:sz w:val="20"/>
              </w:rPr>
              <w:t xml:space="preserve"> la catégorie CIC 4 «Organismes de placement collectif», la relation de groupe concerne le gestionnaire du fonds;</w:t>
            </w:r>
          </w:p>
          <w:p w14:paraId="2D04F0F5" w14:textId="77777777" w:rsidR="0095672C" w:rsidRPr="008B3312" w:rsidRDefault="0095672C" w:rsidP="00803166">
            <w:pPr>
              <w:pStyle w:val="Paragraphedeliste"/>
              <w:numPr>
                <w:ilvl w:val="0"/>
                <w:numId w:val="9"/>
              </w:numPr>
              <w:jc w:val="left"/>
              <w:rPr>
                <w:sz w:val="20"/>
              </w:rPr>
            </w:pPr>
            <w:proofErr w:type="gramStart"/>
            <w:r>
              <w:rPr>
                <w:sz w:val="20"/>
              </w:rPr>
              <w:t>pour</w:t>
            </w:r>
            <w:proofErr w:type="gramEnd"/>
            <w:r>
              <w:rPr>
                <w:sz w:val="20"/>
              </w:rPr>
              <w:t xml:space="preserve"> la catégorie CIC 7 «Trésorerie et dépôts» (hors CIC 71 et CIC 75), la relation de groupe concerne le dépositaire;</w:t>
            </w:r>
          </w:p>
          <w:p w14:paraId="319CB9A7" w14:textId="77777777" w:rsidR="0095672C" w:rsidRPr="008B3312" w:rsidRDefault="0095672C" w:rsidP="00803166">
            <w:pPr>
              <w:pStyle w:val="Paragraphedeliste"/>
              <w:numPr>
                <w:ilvl w:val="0"/>
                <w:numId w:val="9"/>
              </w:numPr>
              <w:jc w:val="left"/>
              <w:rPr>
                <w:sz w:val="20"/>
              </w:rPr>
            </w:pPr>
            <w:proofErr w:type="gramStart"/>
            <w:r>
              <w:rPr>
                <w:sz w:val="20"/>
              </w:rPr>
              <w:t>pour</w:t>
            </w:r>
            <w:proofErr w:type="gramEnd"/>
            <w:r>
              <w:rPr>
                <w:sz w:val="20"/>
              </w:rPr>
              <w:t xml:space="preserve"> la catégorie CIC 8 «Prêts et prêts hypothécaires», autres qu’à des personnes physiques, la relation de groupe concerne l’emprunteur;</w:t>
            </w:r>
          </w:p>
          <w:p w14:paraId="648AFC8E" w14:textId="77777777" w:rsidR="0095672C" w:rsidRPr="008B3312" w:rsidRDefault="0095672C" w:rsidP="00803166">
            <w:pPr>
              <w:pStyle w:val="Paragraphedeliste"/>
              <w:numPr>
                <w:ilvl w:val="0"/>
                <w:numId w:val="9"/>
              </w:numPr>
              <w:jc w:val="left"/>
              <w:rPr>
                <w:sz w:val="20"/>
              </w:rPr>
            </w:pPr>
            <w:proofErr w:type="gramStart"/>
            <w:r>
              <w:rPr>
                <w:sz w:val="20"/>
              </w:rPr>
              <w:t>ne</w:t>
            </w:r>
            <w:proofErr w:type="gramEnd"/>
            <w:r>
              <w:rPr>
                <w:sz w:val="20"/>
              </w:rPr>
              <w:t xml:space="preserve"> s’applique pas à la catégorie CIC 8 «Prêts et prêts hypothécaires» (lorsqu’il s’agit de prêts et prêts hypothécaires à des personnes physiques);</w:t>
            </w:r>
          </w:p>
          <w:p w14:paraId="4307B8F7" w14:textId="77777777" w:rsidR="0095672C" w:rsidRPr="008B3312" w:rsidRDefault="0095672C" w:rsidP="00803166">
            <w:pPr>
              <w:pStyle w:val="Paragraphedeliste"/>
              <w:numPr>
                <w:ilvl w:val="0"/>
                <w:numId w:val="9"/>
              </w:numPr>
              <w:jc w:val="left"/>
              <w:rPr>
                <w:sz w:val="20"/>
              </w:rPr>
            </w:pPr>
            <w:proofErr w:type="gramStart"/>
            <w:r>
              <w:rPr>
                <w:sz w:val="20"/>
              </w:rPr>
              <w:t>ne</w:t>
            </w:r>
            <w:proofErr w:type="gramEnd"/>
            <w:r>
              <w:rPr>
                <w:sz w:val="20"/>
              </w:rPr>
              <w:t xml:space="preserve"> s’applique pas aux catégories  71, CIC 75 et CIC 9 «Immobilisations corporelles». </w:t>
            </w:r>
          </w:p>
        </w:tc>
      </w:tr>
      <w:tr w:rsidR="0095672C" w:rsidRPr="008B3312" w14:paraId="54B22E59" w14:textId="77777777" w:rsidTr="00950116">
        <w:trPr>
          <w:trHeight w:val="488"/>
        </w:trPr>
        <w:tc>
          <w:tcPr>
            <w:tcW w:w="1378" w:type="dxa"/>
            <w:hideMark/>
          </w:tcPr>
          <w:p w14:paraId="7D93E39D"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C0210</w:t>
            </w:r>
          </w:p>
        </w:tc>
        <w:tc>
          <w:tcPr>
            <w:tcW w:w="1891" w:type="dxa"/>
            <w:hideMark/>
          </w:tcPr>
          <w:p w14:paraId="2D9005F5"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Code d’identification du groupe de l’émetteur</w:t>
            </w:r>
          </w:p>
        </w:tc>
        <w:tc>
          <w:tcPr>
            <w:tcW w:w="6053" w:type="dxa"/>
            <w:hideMark/>
          </w:tcPr>
          <w:p w14:paraId="09414EAA"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 xml:space="preserve">Indiquer le code d’identification du groupe de l’émetteur en utilisant l’identifiant d’entité juridique (LEI) s’il existe. </w:t>
            </w:r>
            <w:r w:rsidR="00FE79E2">
              <w:rPr>
                <w:rFonts w:ascii="Times New Roman" w:hAnsi="Times New Roman" w:cs="Times New Roman"/>
                <w:sz w:val="20"/>
                <w:szCs w:val="20"/>
              </w:rPr>
              <w:br/>
            </w:r>
            <w:r w:rsidR="00FE79E2">
              <w:rPr>
                <w:rFonts w:ascii="Times New Roman" w:hAnsi="Times New Roman" w:cs="Times New Roman"/>
                <w:sz w:val="20"/>
                <w:szCs w:val="20"/>
              </w:rPr>
              <w:br/>
            </w:r>
            <w:r>
              <w:rPr>
                <w:rFonts w:ascii="Times New Roman" w:hAnsi="Times New Roman"/>
                <w:sz w:val="20"/>
              </w:rPr>
              <w:t>S’il n’existe pas, ne rien déclarer pour cet élément.</w:t>
            </w:r>
          </w:p>
          <w:p w14:paraId="29738E40" w14:textId="55EE6AE8" w:rsidR="0095672C" w:rsidRPr="008B3312" w:rsidRDefault="008771DA" w:rsidP="00950116">
            <w:pPr>
              <w:spacing w:line="276" w:lineRule="auto"/>
              <w:rPr>
                <w:rFonts w:ascii="Times New Roman" w:hAnsi="Times New Roman" w:cs="Times New Roman"/>
                <w:sz w:val="20"/>
                <w:szCs w:val="20"/>
              </w:rPr>
            </w:pPr>
            <w:r>
              <w:rPr>
                <w:rFonts w:ascii="Times New Roman" w:hAnsi="Times New Roman"/>
                <w:sz w:val="20"/>
              </w:rPr>
              <w:t>L’O</w:t>
            </w:r>
            <w:r w:rsidR="00FB47AF">
              <w:rPr>
                <w:rFonts w:ascii="Times New Roman" w:hAnsi="Times New Roman"/>
                <w:sz w:val="20"/>
              </w:rPr>
              <w:t xml:space="preserve">RPS </w:t>
            </w:r>
            <w:r w:rsidR="0095672C">
              <w:rPr>
                <w:rFonts w:ascii="Times New Roman" w:hAnsi="Times New Roman"/>
                <w:sz w:val="20"/>
              </w:rPr>
              <w:t xml:space="preserve">doit tenir compte des éléments </w:t>
            </w:r>
            <w:proofErr w:type="gramStart"/>
            <w:r w:rsidR="0095672C">
              <w:rPr>
                <w:rFonts w:ascii="Times New Roman" w:hAnsi="Times New Roman"/>
                <w:sz w:val="20"/>
              </w:rPr>
              <w:t>suivants:</w:t>
            </w:r>
            <w:proofErr w:type="gramEnd"/>
          </w:p>
          <w:p w14:paraId="5124F375" w14:textId="77777777" w:rsidR="0095672C" w:rsidRPr="008B3312" w:rsidRDefault="0095672C" w:rsidP="00803166">
            <w:pPr>
              <w:pStyle w:val="Paragraphedeliste"/>
              <w:numPr>
                <w:ilvl w:val="0"/>
                <w:numId w:val="9"/>
              </w:numPr>
              <w:jc w:val="left"/>
              <w:rPr>
                <w:sz w:val="20"/>
              </w:rPr>
            </w:pPr>
            <w:proofErr w:type="gramStart"/>
            <w:r>
              <w:rPr>
                <w:sz w:val="20"/>
              </w:rPr>
              <w:t>pour</w:t>
            </w:r>
            <w:proofErr w:type="gramEnd"/>
            <w:r>
              <w:rPr>
                <w:sz w:val="20"/>
              </w:rPr>
              <w:t xml:space="preserve"> la catégorie CIC 4 «Organismes de placement collectif», la relation de groupe concerne le gestionnaire du fonds;</w:t>
            </w:r>
          </w:p>
          <w:p w14:paraId="433BB994" w14:textId="2823C8B5" w:rsidR="006313E1" w:rsidRPr="008B3312" w:rsidRDefault="0095672C" w:rsidP="00803166">
            <w:pPr>
              <w:pStyle w:val="Paragraphedeliste"/>
              <w:numPr>
                <w:ilvl w:val="0"/>
                <w:numId w:val="9"/>
              </w:numPr>
              <w:jc w:val="left"/>
              <w:rPr>
                <w:sz w:val="20"/>
              </w:rPr>
            </w:pPr>
            <w:proofErr w:type="gramStart"/>
            <w:r>
              <w:rPr>
                <w:sz w:val="20"/>
              </w:rPr>
              <w:t>pour</w:t>
            </w:r>
            <w:proofErr w:type="gramEnd"/>
            <w:r>
              <w:rPr>
                <w:sz w:val="20"/>
              </w:rPr>
              <w:t xml:space="preserve"> la catégorie CIC 7 «Trésorerie et dépôts» (hors CIC 71 et CIC 75), la relation de groupe concerne le dépositaire;</w:t>
            </w:r>
          </w:p>
          <w:p w14:paraId="132CEECD" w14:textId="7FD77DA0" w:rsidR="006313E1" w:rsidRDefault="0095672C" w:rsidP="0044578D">
            <w:pPr>
              <w:pStyle w:val="Paragraphedeliste"/>
              <w:rPr>
                <w:sz w:val="20"/>
              </w:rPr>
            </w:pPr>
            <w:proofErr w:type="gramStart"/>
            <w:r w:rsidRPr="006313E1">
              <w:rPr>
                <w:sz w:val="20"/>
              </w:rPr>
              <w:t>pour</w:t>
            </w:r>
            <w:proofErr w:type="gramEnd"/>
            <w:r w:rsidRPr="006313E1">
              <w:rPr>
                <w:sz w:val="20"/>
              </w:rPr>
              <w:t xml:space="preserve"> la catégorie CIC 8 «Prêts et prêts hypothécaires», autres qu’à des personnes physiques, la relation de groupe concerne l’emprunteur;</w:t>
            </w:r>
          </w:p>
          <w:p w14:paraId="579EE170" w14:textId="2CD119DA" w:rsidR="006313E1" w:rsidRPr="0044578D" w:rsidRDefault="0095672C" w:rsidP="0044578D">
            <w:pPr>
              <w:pStyle w:val="Paragraphedeliste"/>
              <w:numPr>
                <w:ilvl w:val="0"/>
                <w:numId w:val="9"/>
              </w:numPr>
              <w:jc w:val="left"/>
              <w:rPr>
                <w:sz w:val="20"/>
              </w:rPr>
            </w:pPr>
            <w:proofErr w:type="gramStart"/>
            <w:r w:rsidRPr="006313E1">
              <w:rPr>
                <w:sz w:val="20"/>
              </w:rPr>
              <w:t>ne</w:t>
            </w:r>
            <w:proofErr w:type="gramEnd"/>
            <w:r w:rsidRPr="006313E1">
              <w:rPr>
                <w:sz w:val="20"/>
              </w:rPr>
              <w:t xml:space="preserve"> s’applique pas à la catégorie CIC 8 «Prêts et prêts hypothécaires» (lorsqu’il s’agit de prêts et prêts hypothécaires à des personnes p</w:t>
            </w:r>
            <w:r w:rsidRPr="00EA3F32">
              <w:rPr>
                <w:sz w:val="20"/>
              </w:rPr>
              <w:t>hysiques);</w:t>
            </w:r>
          </w:p>
          <w:p w14:paraId="053B72DD" w14:textId="77777777" w:rsidR="0095672C" w:rsidRPr="008B3312" w:rsidRDefault="0095672C" w:rsidP="0044578D">
            <w:pPr>
              <w:pStyle w:val="Paragraphedeliste"/>
              <w:numPr>
                <w:ilvl w:val="0"/>
                <w:numId w:val="9"/>
              </w:numPr>
              <w:jc w:val="left"/>
            </w:pPr>
            <w:proofErr w:type="gramStart"/>
            <w:r w:rsidRPr="0044578D">
              <w:rPr>
                <w:sz w:val="20"/>
              </w:rPr>
              <w:t>ne</w:t>
            </w:r>
            <w:proofErr w:type="gramEnd"/>
            <w:r w:rsidRPr="0044578D">
              <w:rPr>
                <w:sz w:val="20"/>
              </w:rPr>
              <w:t xml:space="preserve"> s’applique pas aux catégories  71, CIC 75 et CIC 9 «Immobilisations corporelles».</w:t>
            </w:r>
          </w:p>
        </w:tc>
      </w:tr>
      <w:tr w:rsidR="0095672C" w:rsidRPr="008B3312" w14:paraId="2295F2B8" w14:textId="77777777" w:rsidTr="00950116">
        <w:trPr>
          <w:trHeight w:val="1080"/>
        </w:trPr>
        <w:tc>
          <w:tcPr>
            <w:tcW w:w="1378" w:type="dxa"/>
            <w:hideMark/>
          </w:tcPr>
          <w:p w14:paraId="52A8F0A9" w14:textId="77777777" w:rsidR="0095672C" w:rsidRPr="008B3312" w:rsidRDefault="0095672C" w:rsidP="00950116">
            <w:pPr>
              <w:pStyle w:val="Sansinterligne"/>
              <w:rPr>
                <w:rFonts w:ascii="Times New Roman" w:hAnsi="Times New Roman" w:cs="Times New Roman"/>
                <w:sz w:val="20"/>
              </w:rPr>
            </w:pPr>
            <w:r>
              <w:rPr>
                <w:rFonts w:ascii="Times New Roman" w:hAnsi="Times New Roman"/>
                <w:sz w:val="20"/>
              </w:rPr>
              <w:t>C0220</w:t>
            </w:r>
          </w:p>
        </w:tc>
        <w:tc>
          <w:tcPr>
            <w:tcW w:w="1891" w:type="dxa"/>
            <w:hideMark/>
          </w:tcPr>
          <w:p w14:paraId="3625658D"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Type de code d’identification du groupe de l’émetteur</w:t>
            </w:r>
          </w:p>
        </w:tc>
        <w:tc>
          <w:tcPr>
            <w:tcW w:w="6053" w:type="dxa"/>
            <w:hideMark/>
          </w:tcPr>
          <w:p w14:paraId="53B5AA1D"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Indiquer le type de code d’identification utilisé pour l’élément</w:t>
            </w:r>
            <w:proofErr w:type="gramStart"/>
            <w:r>
              <w:rPr>
                <w:rFonts w:ascii="Times New Roman" w:hAnsi="Times New Roman"/>
                <w:sz w:val="20"/>
              </w:rPr>
              <w:t xml:space="preserve"> «code</w:t>
            </w:r>
            <w:proofErr w:type="gramEnd"/>
            <w:r>
              <w:rPr>
                <w:rFonts w:ascii="Times New Roman" w:hAnsi="Times New Roman"/>
                <w:sz w:val="20"/>
              </w:rPr>
              <w:t xml:space="preserve"> d’identification du groupe de l’émetteur». Choisir impérativement l’une des options </w:t>
            </w:r>
            <w:proofErr w:type="gramStart"/>
            <w:r>
              <w:rPr>
                <w:rFonts w:ascii="Times New Roman" w:hAnsi="Times New Roman"/>
                <w:sz w:val="20"/>
              </w:rPr>
              <w:t>suivantes:</w:t>
            </w:r>
            <w:proofErr w:type="gramEnd"/>
            <w:r w:rsidR="00FE79E2">
              <w:rPr>
                <w:rFonts w:ascii="Times New Roman" w:hAnsi="Times New Roman" w:cs="Times New Roman"/>
                <w:sz w:val="20"/>
                <w:szCs w:val="20"/>
              </w:rPr>
              <w:br/>
            </w:r>
            <w:r>
              <w:rPr>
                <w:rFonts w:ascii="Times New Roman" w:hAnsi="Times New Roman"/>
                <w:sz w:val="20"/>
              </w:rPr>
              <w:t xml:space="preserve">1 – LEI </w:t>
            </w:r>
            <w:r w:rsidR="00FE79E2">
              <w:rPr>
                <w:rFonts w:ascii="Times New Roman" w:hAnsi="Times New Roman" w:cs="Times New Roman"/>
                <w:sz w:val="20"/>
                <w:szCs w:val="20"/>
              </w:rPr>
              <w:br/>
            </w:r>
            <w:r>
              <w:rPr>
                <w:rFonts w:ascii="Times New Roman" w:hAnsi="Times New Roman"/>
                <w:sz w:val="20"/>
              </w:rPr>
              <w:t>9 – Aucun</w:t>
            </w:r>
          </w:p>
          <w:p w14:paraId="7B4BF6D8" w14:textId="77777777" w:rsidR="0095672C" w:rsidRPr="008B3312" w:rsidRDefault="0095672C" w:rsidP="00950116">
            <w:pPr>
              <w:spacing w:after="200" w:line="276" w:lineRule="auto"/>
              <w:rPr>
                <w:rFonts w:ascii="Times New Roman" w:hAnsi="Times New Roman" w:cs="Times New Roman"/>
                <w:sz w:val="20"/>
                <w:szCs w:val="20"/>
              </w:rPr>
            </w:pPr>
            <w:proofErr w:type="gramStart"/>
            <w:r>
              <w:rPr>
                <w:rFonts w:ascii="Times New Roman" w:hAnsi="Times New Roman"/>
                <w:sz w:val="20"/>
              </w:rPr>
              <w:t>ne</w:t>
            </w:r>
            <w:proofErr w:type="gramEnd"/>
            <w:r>
              <w:rPr>
                <w:rFonts w:ascii="Times New Roman" w:hAnsi="Times New Roman"/>
                <w:sz w:val="20"/>
              </w:rPr>
              <w:t xml:space="preserve"> s’applique pas à la catégorie CIC 8 «Prêts et prêts hypothécaires» lorsqu’il s’agit de prêts et prêts hypothécaires à des personnes physiques;</w:t>
            </w:r>
          </w:p>
          <w:p w14:paraId="2C49B448" w14:textId="77777777" w:rsidR="0095672C" w:rsidRPr="008B3312" w:rsidRDefault="0095672C" w:rsidP="00950116">
            <w:pPr>
              <w:spacing w:after="200" w:line="276" w:lineRule="auto"/>
              <w:rPr>
                <w:rFonts w:ascii="Times New Roman" w:hAnsi="Times New Roman" w:cs="Times New Roman"/>
                <w:sz w:val="20"/>
                <w:szCs w:val="20"/>
              </w:rPr>
            </w:pPr>
            <w:proofErr w:type="gramStart"/>
            <w:r>
              <w:rPr>
                <w:rFonts w:ascii="Times New Roman" w:hAnsi="Times New Roman"/>
                <w:sz w:val="20"/>
              </w:rPr>
              <w:t>ne</w:t>
            </w:r>
            <w:proofErr w:type="gramEnd"/>
            <w:r>
              <w:rPr>
                <w:rFonts w:ascii="Times New Roman" w:hAnsi="Times New Roman"/>
                <w:sz w:val="20"/>
              </w:rPr>
              <w:t xml:space="preserve"> s’applique pas aux catégories CIC 71, CIC 75 et CIC 9 «Immobilisations corporelles».</w:t>
            </w:r>
          </w:p>
        </w:tc>
      </w:tr>
      <w:tr w:rsidR="0095672C" w:rsidRPr="008B3312" w14:paraId="2DB83868" w14:textId="77777777" w:rsidTr="0044578D">
        <w:trPr>
          <w:trHeight w:val="1125"/>
        </w:trPr>
        <w:tc>
          <w:tcPr>
            <w:tcW w:w="1378" w:type="dxa"/>
            <w:hideMark/>
          </w:tcPr>
          <w:p w14:paraId="6D8D3809" w14:textId="77777777" w:rsidR="0095672C" w:rsidRPr="008B3312" w:rsidRDefault="0095672C" w:rsidP="00950116">
            <w:pPr>
              <w:pStyle w:val="Sansinterligne"/>
              <w:rPr>
                <w:rFonts w:ascii="Times New Roman" w:hAnsi="Times New Roman" w:cs="Times New Roman"/>
                <w:sz w:val="20"/>
              </w:rPr>
            </w:pPr>
            <w:r>
              <w:rPr>
                <w:rFonts w:ascii="Times New Roman" w:hAnsi="Times New Roman"/>
                <w:sz w:val="20"/>
              </w:rPr>
              <w:t>C0230</w:t>
            </w:r>
          </w:p>
        </w:tc>
        <w:tc>
          <w:tcPr>
            <w:tcW w:w="1891" w:type="dxa"/>
            <w:hideMark/>
          </w:tcPr>
          <w:p w14:paraId="5DAB9E24"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Pays de l’émetteur</w:t>
            </w:r>
          </w:p>
        </w:tc>
        <w:tc>
          <w:tcPr>
            <w:tcW w:w="6053" w:type="dxa"/>
            <w:hideMark/>
          </w:tcPr>
          <w:p w14:paraId="1BDEA213"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 xml:space="preserve">Indiquer le code ISO 3166-1 alpha-2 du pays de localisation de l’émetteur. </w:t>
            </w:r>
          </w:p>
          <w:p w14:paraId="46FC61F5"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La localisation de l’émetteur est déterminée par l’adresse de l’entité qui émet l’actif.</w:t>
            </w:r>
          </w:p>
          <w:p w14:paraId="5B46D08A" w14:textId="5C64223D" w:rsidR="0095672C" w:rsidRPr="008B3312" w:rsidRDefault="008771DA" w:rsidP="00950116">
            <w:pPr>
              <w:spacing w:line="276" w:lineRule="auto"/>
              <w:rPr>
                <w:rFonts w:ascii="Times New Roman" w:hAnsi="Times New Roman" w:cs="Times New Roman"/>
                <w:sz w:val="20"/>
                <w:szCs w:val="20"/>
              </w:rPr>
            </w:pPr>
            <w:r>
              <w:rPr>
                <w:rFonts w:ascii="Times New Roman" w:hAnsi="Times New Roman"/>
                <w:sz w:val="20"/>
              </w:rPr>
              <w:t>L’O</w:t>
            </w:r>
            <w:r w:rsidR="00FB47AF">
              <w:rPr>
                <w:rFonts w:ascii="Times New Roman" w:hAnsi="Times New Roman"/>
                <w:sz w:val="20"/>
              </w:rPr>
              <w:t xml:space="preserve">RPS </w:t>
            </w:r>
            <w:r w:rsidR="0095672C">
              <w:rPr>
                <w:rFonts w:ascii="Times New Roman" w:hAnsi="Times New Roman"/>
                <w:sz w:val="20"/>
              </w:rPr>
              <w:t xml:space="preserve">doit tenir compte des éléments </w:t>
            </w:r>
            <w:proofErr w:type="gramStart"/>
            <w:r w:rsidR="0095672C">
              <w:rPr>
                <w:rFonts w:ascii="Times New Roman" w:hAnsi="Times New Roman"/>
                <w:sz w:val="20"/>
              </w:rPr>
              <w:t>suivants:</w:t>
            </w:r>
            <w:proofErr w:type="gramEnd"/>
          </w:p>
          <w:p w14:paraId="46BB247C" w14:textId="77777777" w:rsidR="0095672C" w:rsidRPr="008B3312" w:rsidRDefault="0095672C" w:rsidP="00803166">
            <w:pPr>
              <w:pStyle w:val="Paragraphedeliste"/>
              <w:numPr>
                <w:ilvl w:val="0"/>
                <w:numId w:val="9"/>
              </w:numPr>
              <w:jc w:val="left"/>
              <w:rPr>
                <w:sz w:val="20"/>
              </w:rPr>
            </w:pPr>
            <w:proofErr w:type="gramStart"/>
            <w:r>
              <w:rPr>
                <w:sz w:val="20"/>
              </w:rPr>
              <w:lastRenderedPageBreak/>
              <w:t>pour</w:t>
            </w:r>
            <w:proofErr w:type="gramEnd"/>
            <w:r>
              <w:rPr>
                <w:sz w:val="20"/>
              </w:rPr>
              <w:t xml:space="preserve"> la catégorie CIC 4 «Organismes de placement collectif», le pays de l’émetteur est le pays du gestionnaire du fonds;</w:t>
            </w:r>
          </w:p>
          <w:p w14:paraId="14738789" w14:textId="77777777" w:rsidR="0095672C" w:rsidRPr="008B3312" w:rsidRDefault="0095672C" w:rsidP="00803166">
            <w:pPr>
              <w:pStyle w:val="Paragraphedeliste"/>
              <w:numPr>
                <w:ilvl w:val="0"/>
                <w:numId w:val="9"/>
              </w:numPr>
              <w:jc w:val="left"/>
              <w:rPr>
                <w:sz w:val="20"/>
              </w:rPr>
            </w:pPr>
            <w:proofErr w:type="gramStart"/>
            <w:r>
              <w:rPr>
                <w:sz w:val="20"/>
              </w:rPr>
              <w:t>pour</w:t>
            </w:r>
            <w:proofErr w:type="gramEnd"/>
            <w:r>
              <w:rPr>
                <w:sz w:val="20"/>
              </w:rPr>
              <w:t xml:space="preserve"> la catégorie CIC 7 «Trésorerie et dépôts» (hors CIC 71 et CIC 75), le pays de l’émetteur est le pays du dépositaire;</w:t>
            </w:r>
          </w:p>
          <w:p w14:paraId="2F23481F" w14:textId="77777777" w:rsidR="0095672C" w:rsidRPr="008B3312" w:rsidRDefault="0095672C" w:rsidP="00803166">
            <w:pPr>
              <w:pStyle w:val="Paragraphedeliste"/>
              <w:numPr>
                <w:ilvl w:val="0"/>
                <w:numId w:val="9"/>
              </w:numPr>
              <w:jc w:val="left"/>
              <w:rPr>
                <w:sz w:val="20"/>
              </w:rPr>
            </w:pPr>
            <w:proofErr w:type="gramStart"/>
            <w:r>
              <w:rPr>
                <w:sz w:val="20"/>
              </w:rPr>
              <w:t>pour</w:t>
            </w:r>
            <w:proofErr w:type="gramEnd"/>
            <w:r>
              <w:rPr>
                <w:sz w:val="20"/>
              </w:rPr>
              <w:t xml:space="preserve"> la catégorie CIC 8 «Prêts et prêts hypothécaires», autres qu’à des personnes physiques, l’information à déclarer concerne l’emprunteur;</w:t>
            </w:r>
          </w:p>
          <w:p w14:paraId="4C448E9B" w14:textId="6F5C6674" w:rsidR="006313E1" w:rsidRPr="008B3312" w:rsidRDefault="0095672C" w:rsidP="00803166">
            <w:pPr>
              <w:pStyle w:val="Paragraphedeliste"/>
              <w:numPr>
                <w:ilvl w:val="0"/>
                <w:numId w:val="9"/>
              </w:numPr>
              <w:jc w:val="left"/>
              <w:rPr>
                <w:sz w:val="20"/>
              </w:rPr>
            </w:pPr>
            <w:proofErr w:type="gramStart"/>
            <w:r>
              <w:rPr>
                <w:sz w:val="20"/>
              </w:rPr>
              <w:t>ne</w:t>
            </w:r>
            <w:proofErr w:type="gramEnd"/>
            <w:r>
              <w:rPr>
                <w:sz w:val="20"/>
              </w:rPr>
              <w:t xml:space="preserve"> s’applique pas aux catégories CIC 71, CIC 75 et CIC 9 «Immobilisations corporelles». </w:t>
            </w:r>
          </w:p>
          <w:p w14:paraId="7D1FA80C" w14:textId="77777777" w:rsidR="0095672C" w:rsidRPr="0044578D" w:rsidRDefault="0095672C" w:rsidP="0044578D">
            <w:pPr>
              <w:pStyle w:val="Paragraphedeliste"/>
              <w:numPr>
                <w:ilvl w:val="0"/>
                <w:numId w:val="9"/>
              </w:numPr>
              <w:jc w:val="left"/>
              <w:rPr>
                <w:sz w:val="20"/>
              </w:rPr>
            </w:pPr>
            <w:proofErr w:type="gramStart"/>
            <w:r w:rsidRPr="0044578D">
              <w:rPr>
                <w:sz w:val="20"/>
              </w:rPr>
              <w:t>ne</w:t>
            </w:r>
            <w:proofErr w:type="gramEnd"/>
            <w:r w:rsidRPr="0044578D">
              <w:rPr>
                <w:sz w:val="20"/>
              </w:rPr>
              <w:t xml:space="preserve"> s’applique pas à la catégorie CIC 8 «Prêts et prêts hypothécaires» lorsqu’il s’agit de prêts et prêts hypothécaires à des personnes physiques.</w:t>
            </w:r>
          </w:p>
          <w:p w14:paraId="427EC919" w14:textId="77777777" w:rsidR="0095672C" w:rsidRPr="008B3312" w:rsidRDefault="0095672C" w:rsidP="00950116">
            <w:pPr>
              <w:rPr>
                <w:rFonts w:ascii="Times New Roman" w:hAnsi="Times New Roman" w:cs="Times New Roman"/>
                <w:sz w:val="20"/>
                <w:szCs w:val="20"/>
              </w:rPr>
            </w:pPr>
          </w:p>
          <w:p w14:paraId="14F59DED"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 xml:space="preserve">Choisir l’une des options </w:t>
            </w:r>
            <w:proofErr w:type="gramStart"/>
            <w:r>
              <w:rPr>
                <w:rFonts w:ascii="Times New Roman" w:hAnsi="Times New Roman"/>
                <w:sz w:val="20"/>
              </w:rPr>
              <w:t>suivantes:</w:t>
            </w:r>
            <w:proofErr w:type="gramEnd"/>
            <w:r>
              <w:rPr>
                <w:rFonts w:ascii="Times New Roman" w:hAnsi="Times New Roman"/>
                <w:sz w:val="20"/>
              </w:rPr>
              <w:t xml:space="preserve"> </w:t>
            </w:r>
            <w:r w:rsidR="00FE79E2">
              <w:rPr>
                <w:rFonts w:ascii="Times New Roman" w:hAnsi="Times New Roman" w:cs="Times New Roman"/>
                <w:sz w:val="20"/>
                <w:szCs w:val="20"/>
              </w:rPr>
              <w:br/>
            </w:r>
            <w:r>
              <w:rPr>
                <w:rFonts w:ascii="Times New Roman" w:hAnsi="Times New Roman"/>
                <w:sz w:val="20"/>
              </w:rPr>
              <w:t xml:space="preserve">  – code ISO 3166-1 alpha-2</w:t>
            </w:r>
            <w:r w:rsidR="00FE79E2">
              <w:rPr>
                <w:rFonts w:ascii="Times New Roman" w:hAnsi="Times New Roman" w:cs="Times New Roman"/>
                <w:sz w:val="20"/>
                <w:szCs w:val="20"/>
              </w:rPr>
              <w:br/>
            </w:r>
            <w:r>
              <w:rPr>
                <w:rFonts w:ascii="Times New Roman" w:hAnsi="Times New Roman"/>
                <w:sz w:val="20"/>
              </w:rPr>
              <w:t xml:space="preserve">  – XA: émetteurs supranationaux</w:t>
            </w:r>
            <w:r w:rsidR="00FE79E2">
              <w:rPr>
                <w:rFonts w:ascii="Times New Roman" w:hAnsi="Times New Roman" w:cs="Times New Roman"/>
                <w:sz w:val="20"/>
                <w:szCs w:val="20"/>
              </w:rPr>
              <w:br/>
            </w:r>
            <w:r>
              <w:rPr>
                <w:rFonts w:ascii="Times New Roman" w:hAnsi="Times New Roman"/>
                <w:sz w:val="20"/>
              </w:rPr>
              <w:t xml:space="preserve">  – UE: institutions de l’Union européenne</w:t>
            </w:r>
          </w:p>
        </w:tc>
      </w:tr>
      <w:tr w:rsidR="0095672C" w:rsidRPr="008B3312" w14:paraId="54CE35D8" w14:textId="77777777" w:rsidTr="00950116">
        <w:trPr>
          <w:trHeight w:val="435"/>
        </w:trPr>
        <w:tc>
          <w:tcPr>
            <w:tcW w:w="1378" w:type="dxa"/>
            <w:hideMark/>
          </w:tcPr>
          <w:p w14:paraId="0F58C72D"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lastRenderedPageBreak/>
              <w:t>C0240</w:t>
            </w:r>
          </w:p>
        </w:tc>
        <w:tc>
          <w:tcPr>
            <w:tcW w:w="1891" w:type="dxa"/>
            <w:hideMark/>
          </w:tcPr>
          <w:p w14:paraId="5BDDB135"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Monnaie</w:t>
            </w:r>
          </w:p>
        </w:tc>
        <w:tc>
          <w:tcPr>
            <w:tcW w:w="6053" w:type="dxa"/>
            <w:hideMark/>
          </w:tcPr>
          <w:p w14:paraId="62E4305E"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 xml:space="preserve">Indiquer le code alphabétique ISO 4217 de la monnaie de l’émission. </w:t>
            </w:r>
          </w:p>
          <w:p w14:paraId="6720787D" w14:textId="0AAC1001" w:rsidR="0095672C" w:rsidRPr="008B3312" w:rsidRDefault="008771DA" w:rsidP="00950116">
            <w:pPr>
              <w:rPr>
                <w:rFonts w:ascii="Times New Roman" w:hAnsi="Times New Roman" w:cs="Times New Roman"/>
                <w:sz w:val="20"/>
                <w:szCs w:val="20"/>
              </w:rPr>
            </w:pPr>
            <w:r>
              <w:rPr>
                <w:rFonts w:ascii="Times New Roman" w:hAnsi="Times New Roman"/>
                <w:sz w:val="20"/>
              </w:rPr>
              <w:t>L‘O</w:t>
            </w:r>
            <w:r w:rsidR="00FB47AF">
              <w:rPr>
                <w:rFonts w:ascii="Times New Roman" w:hAnsi="Times New Roman"/>
                <w:sz w:val="20"/>
              </w:rPr>
              <w:t xml:space="preserve">RPS </w:t>
            </w:r>
            <w:r w:rsidR="0095672C">
              <w:rPr>
                <w:rFonts w:ascii="Times New Roman" w:hAnsi="Times New Roman"/>
                <w:sz w:val="20"/>
              </w:rPr>
              <w:t xml:space="preserve">doit tenir compte des éléments </w:t>
            </w:r>
            <w:proofErr w:type="gramStart"/>
            <w:r w:rsidR="0095672C">
              <w:rPr>
                <w:rFonts w:ascii="Times New Roman" w:hAnsi="Times New Roman"/>
                <w:sz w:val="20"/>
              </w:rPr>
              <w:t>suivants:</w:t>
            </w:r>
            <w:proofErr w:type="gramEnd"/>
          </w:p>
          <w:p w14:paraId="63BB344A" w14:textId="77777777" w:rsidR="0095672C" w:rsidRPr="008B3312" w:rsidRDefault="0095672C" w:rsidP="00803166">
            <w:pPr>
              <w:pStyle w:val="Paragraphedeliste"/>
              <w:numPr>
                <w:ilvl w:val="0"/>
                <w:numId w:val="9"/>
              </w:numPr>
              <w:contextualSpacing w:val="0"/>
              <w:jc w:val="left"/>
              <w:rPr>
                <w:sz w:val="20"/>
              </w:rPr>
            </w:pPr>
            <w:proofErr w:type="gramStart"/>
            <w:r>
              <w:rPr>
                <w:sz w:val="20"/>
              </w:rPr>
              <w:t>ne</w:t>
            </w:r>
            <w:proofErr w:type="gramEnd"/>
            <w:r>
              <w:rPr>
                <w:sz w:val="20"/>
              </w:rPr>
              <w:t xml:space="preserve"> s’applique pas à la catégorie CIC 8 «Prêts et prêts hypothécaires» (aux personnes physiques, puisque ces actifs n’ont pas à être individualisés), ni aux catégories CIC 75 et CIC 95 «Biens d’équipement (pour usage propre)» pour la même raison;</w:t>
            </w:r>
          </w:p>
          <w:p w14:paraId="1FD1F5C4" w14:textId="77777777" w:rsidR="0095672C" w:rsidRPr="008B3312" w:rsidRDefault="0095672C" w:rsidP="00803166">
            <w:pPr>
              <w:pStyle w:val="Paragraphedeliste"/>
              <w:numPr>
                <w:ilvl w:val="0"/>
                <w:numId w:val="9"/>
              </w:numPr>
              <w:jc w:val="left"/>
              <w:rPr>
                <w:sz w:val="20"/>
              </w:rPr>
            </w:pPr>
            <w:proofErr w:type="gramStart"/>
            <w:r>
              <w:rPr>
                <w:sz w:val="20"/>
              </w:rPr>
              <w:t>pour</w:t>
            </w:r>
            <w:proofErr w:type="gramEnd"/>
            <w:r>
              <w:rPr>
                <w:sz w:val="20"/>
              </w:rPr>
              <w:t xml:space="preserve"> la catégorie CIC 9, hors CIC 95 «Biens d’équipement (pour usage propre)», la monnaie est celle dans laquelle l’investissement a été réalisé.</w:t>
            </w:r>
          </w:p>
        </w:tc>
      </w:tr>
      <w:tr w:rsidR="0095672C" w:rsidRPr="008B3312" w14:paraId="31BD0204" w14:textId="77777777" w:rsidTr="00950116">
        <w:trPr>
          <w:trHeight w:val="1125"/>
        </w:trPr>
        <w:tc>
          <w:tcPr>
            <w:tcW w:w="1378" w:type="dxa"/>
            <w:hideMark/>
          </w:tcPr>
          <w:p w14:paraId="05F490EA"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 0250</w:t>
            </w:r>
          </w:p>
        </w:tc>
        <w:tc>
          <w:tcPr>
            <w:tcW w:w="1891" w:type="dxa"/>
            <w:hideMark/>
          </w:tcPr>
          <w:p w14:paraId="126814A3"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CIC</w:t>
            </w:r>
          </w:p>
        </w:tc>
        <w:tc>
          <w:tcPr>
            <w:tcW w:w="6053" w:type="dxa"/>
            <w:hideMark/>
          </w:tcPr>
          <w:p w14:paraId="3DEC6A76" w14:textId="559DE43A" w:rsidR="0095672C" w:rsidRPr="008B3312" w:rsidRDefault="0095672C" w:rsidP="00FB47AF">
            <w:pPr>
              <w:spacing w:after="200" w:line="276" w:lineRule="auto"/>
              <w:rPr>
                <w:rFonts w:ascii="Times New Roman" w:hAnsi="Times New Roman" w:cs="Times New Roman"/>
                <w:sz w:val="20"/>
                <w:szCs w:val="20"/>
              </w:rPr>
            </w:pPr>
            <w:r>
              <w:rPr>
                <w:rFonts w:ascii="Times New Roman" w:hAnsi="Times New Roman"/>
                <w:sz w:val="20"/>
              </w:rPr>
              <w:t xml:space="preserve">Code d’identification complémentaire utilisé pour classer les actifs, tel que présenté </w:t>
            </w:r>
            <w:r w:rsidRPr="00B43B89">
              <w:rPr>
                <w:rFonts w:ascii="Times New Roman" w:hAnsi="Times New Roman"/>
                <w:sz w:val="20"/>
              </w:rPr>
              <w:t>à l’annexe V</w:t>
            </w:r>
            <w:proofErr w:type="gramStart"/>
            <w:r w:rsidRPr="00B43B89">
              <w:rPr>
                <w:rFonts w:ascii="Times New Roman" w:hAnsi="Times New Roman"/>
                <w:sz w:val="20"/>
              </w:rPr>
              <w:t xml:space="preserve"> «Tableau</w:t>
            </w:r>
            <w:proofErr w:type="gramEnd"/>
            <w:r w:rsidRPr="00B43B89">
              <w:rPr>
                <w:rFonts w:ascii="Times New Roman" w:hAnsi="Times New Roman"/>
                <w:sz w:val="20"/>
              </w:rPr>
              <w:t xml:space="preserve"> des codes CIC» du</w:t>
            </w:r>
            <w:r>
              <w:rPr>
                <w:rFonts w:ascii="Times New Roman" w:hAnsi="Times New Roman"/>
                <w:sz w:val="20"/>
              </w:rPr>
              <w:t xml:space="preserve"> </w:t>
            </w:r>
            <w:r w:rsidR="00035FBF">
              <w:rPr>
                <w:rFonts w:ascii="Times New Roman" w:hAnsi="Times New Roman"/>
                <w:sz w:val="20"/>
              </w:rPr>
              <w:t xml:space="preserve">Règlement d’exécution (UE) 2015/2450. </w:t>
            </w:r>
            <w:r>
              <w:rPr>
                <w:rFonts w:ascii="Times New Roman" w:hAnsi="Times New Roman"/>
                <w:sz w:val="20"/>
              </w:rPr>
              <w:t xml:space="preserve">Lorsqu’elle classe un actif selon le tableau des codes CIC, </w:t>
            </w:r>
            <w:r w:rsidR="00035FBF">
              <w:rPr>
                <w:rFonts w:ascii="Times New Roman" w:hAnsi="Times New Roman"/>
                <w:sz w:val="20"/>
              </w:rPr>
              <w:t>l</w:t>
            </w:r>
            <w:r w:rsidR="008771DA">
              <w:rPr>
                <w:rFonts w:ascii="Times New Roman" w:hAnsi="Times New Roman"/>
                <w:sz w:val="20"/>
              </w:rPr>
              <w:t>’O</w:t>
            </w:r>
            <w:r w:rsidR="00FB47AF">
              <w:rPr>
                <w:rFonts w:ascii="Times New Roman" w:hAnsi="Times New Roman"/>
                <w:sz w:val="20"/>
              </w:rPr>
              <w:t xml:space="preserve">RPS </w:t>
            </w:r>
            <w:r>
              <w:rPr>
                <w:rFonts w:ascii="Times New Roman" w:hAnsi="Times New Roman"/>
                <w:sz w:val="20"/>
              </w:rPr>
              <w:t>doit tenir compte du risque le plus représentatif auquel l’actif est exposé.</w:t>
            </w:r>
          </w:p>
        </w:tc>
      </w:tr>
      <w:tr w:rsidR="0095672C" w:rsidRPr="008B3312" w14:paraId="2AEB906E" w14:textId="77777777" w:rsidTr="00950116">
        <w:trPr>
          <w:trHeight w:val="1005"/>
        </w:trPr>
        <w:tc>
          <w:tcPr>
            <w:tcW w:w="1378" w:type="dxa"/>
            <w:hideMark/>
          </w:tcPr>
          <w:p w14:paraId="3B03226E" w14:textId="77777777" w:rsidR="0095672C" w:rsidRPr="008B3312" w:rsidRDefault="0095672C" w:rsidP="00950116">
            <w:pPr>
              <w:pStyle w:val="Sansinterligne"/>
              <w:rPr>
                <w:rFonts w:ascii="Times New Roman" w:hAnsi="Times New Roman" w:cs="Times New Roman"/>
                <w:sz w:val="20"/>
              </w:rPr>
            </w:pPr>
            <w:r>
              <w:rPr>
                <w:rFonts w:ascii="Times New Roman" w:hAnsi="Times New Roman"/>
                <w:sz w:val="20"/>
              </w:rPr>
              <w:t>C0260</w:t>
            </w:r>
          </w:p>
        </w:tc>
        <w:tc>
          <w:tcPr>
            <w:tcW w:w="1891" w:type="dxa"/>
            <w:hideMark/>
          </w:tcPr>
          <w:p w14:paraId="024C9AAD"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Prix unitaire</w:t>
            </w:r>
          </w:p>
        </w:tc>
        <w:tc>
          <w:tcPr>
            <w:tcW w:w="6053" w:type="dxa"/>
            <w:hideMark/>
          </w:tcPr>
          <w:p w14:paraId="4FD6819D" w14:textId="77777777" w:rsidR="0095672C" w:rsidRPr="008B3312" w:rsidRDefault="00306742" w:rsidP="00950116">
            <w:pPr>
              <w:spacing w:after="200" w:line="276" w:lineRule="auto"/>
              <w:rPr>
                <w:rFonts w:ascii="Times New Roman" w:hAnsi="Times New Roman" w:cs="Times New Roman"/>
                <w:sz w:val="20"/>
                <w:szCs w:val="20"/>
              </w:rPr>
            </w:pPr>
            <w:r>
              <w:rPr>
                <w:rFonts w:ascii="Times New Roman" w:hAnsi="Times New Roman"/>
                <w:sz w:val="20"/>
              </w:rPr>
              <w:t>Prix unitaire de l’actif, s’il y a lieu.</w:t>
            </w:r>
          </w:p>
          <w:p w14:paraId="733748AA"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Ne rien déclarer pour cet élément, si une déclaration sous C0380</w:t>
            </w:r>
            <w:proofErr w:type="gramStart"/>
            <w:r>
              <w:rPr>
                <w:rFonts w:ascii="Times New Roman" w:hAnsi="Times New Roman"/>
                <w:sz w:val="20"/>
              </w:rPr>
              <w:t xml:space="preserve"> «Pourcentage</w:t>
            </w:r>
            <w:proofErr w:type="gramEnd"/>
            <w:r>
              <w:rPr>
                <w:rFonts w:ascii="Times New Roman" w:hAnsi="Times New Roman"/>
                <w:sz w:val="20"/>
              </w:rPr>
              <w:t xml:space="preserve"> unitaire du prix nominal Solvabilité II» est effectuée.</w:t>
            </w:r>
          </w:p>
        </w:tc>
      </w:tr>
      <w:tr w:rsidR="0095672C" w:rsidRPr="008B3312" w14:paraId="2DE4A77C" w14:textId="77777777" w:rsidTr="00950116">
        <w:trPr>
          <w:trHeight w:val="1530"/>
        </w:trPr>
        <w:tc>
          <w:tcPr>
            <w:tcW w:w="1378" w:type="dxa"/>
            <w:hideMark/>
          </w:tcPr>
          <w:p w14:paraId="44AA5808"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C0280</w:t>
            </w:r>
          </w:p>
        </w:tc>
        <w:tc>
          <w:tcPr>
            <w:tcW w:w="1891" w:type="dxa"/>
            <w:hideMark/>
          </w:tcPr>
          <w:p w14:paraId="560010BC"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Date d’échéance</w:t>
            </w:r>
          </w:p>
        </w:tc>
        <w:tc>
          <w:tcPr>
            <w:tcW w:w="6053" w:type="dxa"/>
            <w:hideMark/>
          </w:tcPr>
          <w:p w14:paraId="5B8ED05D"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Ne s’applique qu’aux catégories CIC 1, 2, 5, 6 et 8, CIC 74 et CIC 79.</w:t>
            </w:r>
          </w:p>
          <w:p w14:paraId="10DC7859"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Indiquer le code ISO 8601 (</w:t>
            </w:r>
            <w:proofErr w:type="spellStart"/>
            <w:r>
              <w:rPr>
                <w:rFonts w:ascii="Times New Roman" w:hAnsi="Times New Roman"/>
                <w:sz w:val="20"/>
              </w:rPr>
              <w:t>aaaa</w:t>
            </w:r>
            <w:proofErr w:type="spellEnd"/>
            <w:r>
              <w:rPr>
                <w:rFonts w:ascii="Times New Roman" w:hAnsi="Times New Roman"/>
                <w:sz w:val="20"/>
              </w:rPr>
              <w:t xml:space="preserve">-mm-jj) de la date d’échéance. </w:t>
            </w:r>
          </w:p>
          <w:p w14:paraId="7501ABC5" w14:textId="706C8DF9" w:rsidR="0095672C" w:rsidRPr="008B3312" w:rsidRDefault="0095672C" w:rsidP="00950116">
            <w:pPr>
              <w:rPr>
                <w:rFonts w:ascii="Times New Roman" w:hAnsi="Times New Roman" w:cs="Times New Roman"/>
                <w:sz w:val="20"/>
                <w:szCs w:val="20"/>
              </w:rPr>
            </w:pPr>
            <w:r>
              <w:rPr>
                <w:rFonts w:ascii="Times New Roman" w:hAnsi="Times New Roman"/>
                <w:sz w:val="20"/>
              </w:rPr>
              <w:t xml:space="preserve">Doit toujours correspondre à la date d’échéance, même pour des titres appelables. </w:t>
            </w:r>
            <w:r w:rsidR="008771DA">
              <w:rPr>
                <w:rFonts w:ascii="Times New Roman" w:hAnsi="Times New Roman"/>
                <w:sz w:val="20"/>
              </w:rPr>
              <w:t>L’O</w:t>
            </w:r>
            <w:r w:rsidR="00FB47AF">
              <w:rPr>
                <w:rFonts w:ascii="Times New Roman" w:hAnsi="Times New Roman"/>
                <w:sz w:val="20"/>
              </w:rPr>
              <w:t xml:space="preserve">RPS </w:t>
            </w:r>
            <w:r>
              <w:rPr>
                <w:rFonts w:ascii="Times New Roman" w:hAnsi="Times New Roman"/>
                <w:sz w:val="20"/>
              </w:rPr>
              <w:t xml:space="preserve">doit tenir compte des éléments </w:t>
            </w:r>
            <w:proofErr w:type="gramStart"/>
            <w:r>
              <w:rPr>
                <w:rFonts w:ascii="Times New Roman" w:hAnsi="Times New Roman"/>
                <w:sz w:val="20"/>
              </w:rPr>
              <w:t>suivants:</w:t>
            </w:r>
            <w:proofErr w:type="gramEnd"/>
          </w:p>
          <w:p w14:paraId="5C27A2AB" w14:textId="77777777" w:rsidR="0095672C" w:rsidRPr="008B3312" w:rsidRDefault="0095672C" w:rsidP="00803166">
            <w:pPr>
              <w:pStyle w:val="Paragraphedeliste"/>
              <w:numPr>
                <w:ilvl w:val="0"/>
                <w:numId w:val="8"/>
              </w:numPr>
              <w:jc w:val="left"/>
              <w:rPr>
                <w:sz w:val="20"/>
              </w:rPr>
            </w:pPr>
            <w:proofErr w:type="gramStart"/>
            <w:r>
              <w:rPr>
                <w:sz w:val="20"/>
              </w:rPr>
              <w:t>pour</w:t>
            </w:r>
            <w:proofErr w:type="gramEnd"/>
            <w:r>
              <w:rPr>
                <w:sz w:val="20"/>
              </w:rPr>
              <w:t xml:space="preserve"> les titres à durée indéterminée, utiliser «9999-12-31»;</w:t>
            </w:r>
          </w:p>
          <w:p w14:paraId="77986EEE" w14:textId="77777777" w:rsidR="0095672C" w:rsidRPr="008B3312" w:rsidRDefault="0095672C" w:rsidP="00803166">
            <w:pPr>
              <w:pStyle w:val="Paragraphedeliste"/>
              <w:numPr>
                <w:ilvl w:val="0"/>
                <w:numId w:val="8"/>
              </w:numPr>
              <w:spacing w:after="120"/>
              <w:ind w:left="357" w:hanging="357"/>
              <w:jc w:val="left"/>
              <w:rPr>
                <w:sz w:val="20"/>
              </w:rPr>
            </w:pPr>
            <w:proofErr w:type="gramStart"/>
            <w:r>
              <w:rPr>
                <w:sz w:val="20"/>
              </w:rPr>
              <w:t>pour</w:t>
            </w:r>
            <w:proofErr w:type="gramEnd"/>
            <w:r>
              <w:rPr>
                <w:sz w:val="20"/>
              </w:rPr>
              <w:t xml:space="preserve"> la catégorie CIC 8, en ce qui concerne les prêts et prêts hypothécaires aux particuliers, déclarer l’échéance restante pondérée (sur la base du montant du prêt).</w:t>
            </w:r>
          </w:p>
        </w:tc>
      </w:tr>
    </w:tbl>
    <w:p w14:paraId="0722F069" w14:textId="77777777" w:rsidR="00144777" w:rsidRPr="008B3312" w:rsidRDefault="00144777" w:rsidP="00950116">
      <w:pPr>
        <w:rPr>
          <w:rFonts w:ascii="Times New Roman" w:hAnsi="Times New Roman" w:cs="Times New Roman"/>
          <w:b/>
          <w:sz w:val="20"/>
        </w:rPr>
      </w:pPr>
    </w:p>
    <w:p w14:paraId="76C88871" w14:textId="6C09F7C8" w:rsidR="00637AB7" w:rsidRDefault="008771DA" w:rsidP="008771DA">
      <w:pPr>
        <w:spacing w:before="120" w:after="120"/>
        <w:rPr>
          <w:rFonts w:ascii="Times New Roman" w:hAnsi="Times New Roman"/>
          <w:b/>
          <w:sz w:val="20"/>
        </w:rPr>
      </w:pPr>
      <w:r w:rsidRPr="008771DA">
        <w:rPr>
          <w:rFonts w:ascii="Times New Roman" w:hAnsi="Times New Roman"/>
          <w:b/>
          <w:sz w:val="20"/>
        </w:rPr>
        <w:t>Tableau de l’état</w:t>
      </w:r>
    </w:p>
    <w:p w14:paraId="187756FD" w14:textId="5AB94021" w:rsidR="008771DA" w:rsidRPr="008771DA" w:rsidRDefault="008771DA" w:rsidP="008771DA">
      <w:pPr>
        <w:spacing w:before="120" w:after="120"/>
        <w:ind w:hanging="993"/>
        <w:rPr>
          <w:rFonts w:ascii="Times New Roman" w:hAnsi="Times New Roman"/>
          <w:b/>
          <w:sz w:val="20"/>
        </w:rPr>
      </w:pPr>
      <w:r w:rsidRPr="008771DA">
        <w:rPr>
          <w:noProof/>
          <w:lang w:bidi="ar-SA"/>
        </w:rPr>
        <w:lastRenderedPageBreak/>
        <w:drawing>
          <wp:inline distT="0" distB="0" distL="0" distR="0" wp14:anchorId="23DE6718" wp14:editId="73353C80">
            <wp:extent cx="7277275" cy="29241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274051" cy="2922880"/>
                    </a:xfrm>
                    <a:prstGeom prst="rect">
                      <a:avLst/>
                    </a:prstGeom>
                    <a:noFill/>
                    <a:ln>
                      <a:noFill/>
                    </a:ln>
                  </pic:spPr>
                </pic:pic>
              </a:graphicData>
            </a:graphic>
          </wp:inline>
        </w:drawing>
      </w:r>
    </w:p>
    <w:sectPr w:rsidR="008771DA" w:rsidRPr="008771DA" w:rsidSect="00637AB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FBF37" w14:textId="77777777" w:rsidR="006C35D8" w:rsidRDefault="006C35D8" w:rsidP="0051516F">
      <w:pPr>
        <w:spacing w:after="0" w:line="240" w:lineRule="auto"/>
      </w:pPr>
      <w:r>
        <w:separator/>
      </w:r>
    </w:p>
  </w:endnote>
  <w:endnote w:type="continuationSeparator" w:id="0">
    <w:p w14:paraId="2B5C03B9" w14:textId="77777777" w:rsidR="006C35D8" w:rsidRDefault="006C35D8" w:rsidP="00515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E337EA" w14:textId="77777777" w:rsidR="006C35D8" w:rsidRDefault="006C35D8" w:rsidP="0051516F">
      <w:pPr>
        <w:spacing w:after="0" w:line="240" w:lineRule="auto"/>
      </w:pPr>
      <w:r>
        <w:separator/>
      </w:r>
    </w:p>
  </w:footnote>
  <w:footnote w:type="continuationSeparator" w:id="0">
    <w:p w14:paraId="1A3B888B" w14:textId="77777777" w:rsidR="006C35D8" w:rsidRDefault="006C35D8" w:rsidP="005151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15:restartNumberingAfterBreak="0">
    <w:nsid w:val="0226280E"/>
    <w:multiLevelType w:val="hybridMultilevel"/>
    <w:tmpl w:val="B4FE1E6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3F00BE"/>
    <w:multiLevelType w:val="hybridMultilevel"/>
    <w:tmpl w:val="F072EF48"/>
    <w:lvl w:ilvl="0" w:tplc="FA50571A">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013ABE"/>
    <w:multiLevelType w:val="hybridMultilevel"/>
    <w:tmpl w:val="94108E50"/>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 w15:restartNumberingAfterBreak="0">
    <w:nsid w:val="0B847731"/>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C95190"/>
    <w:multiLevelType w:val="hybridMultilevel"/>
    <w:tmpl w:val="044AC680"/>
    <w:lvl w:ilvl="0" w:tplc="2384043E">
      <w:start w:val="1"/>
      <w:numFmt w:val="lowerLetter"/>
      <w:lvlText w:val="%1)"/>
      <w:lvlJc w:val="left"/>
      <w:pPr>
        <w:ind w:left="720" w:hanging="360"/>
      </w:pPr>
      <w:rPr>
        <w:rFonts w:ascii="Times New Roman" w:eastAsiaTheme="minorHAnsi" w:hAnsi="Times New Roman" w:cs="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2F90FD52">
      <w:start w:val="1"/>
      <w:numFmt w:val="lowerLetter"/>
      <w:lvlText w:val="%4)"/>
      <w:lvlJc w:val="left"/>
      <w:pPr>
        <w:ind w:left="2880"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CB7227"/>
    <w:multiLevelType w:val="hybridMultilevel"/>
    <w:tmpl w:val="0D4A51A8"/>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DC74C5"/>
    <w:multiLevelType w:val="hybridMultilevel"/>
    <w:tmpl w:val="1304D39A"/>
    <w:lvl w:ilvl="0" w:tplc="8B781D2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158D7D5A"/>
    <w:multiLevelType w:val="hybridMultilevel"/>
    <w:tmpl w:val="F8488BD6"/>
    <w:lvl w:ilvl="0" w:tplc="154EB1E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5F34966"/>
    <w:multiLevelType w:val="hybridMultilevel"/>
    <w:tmpl w:val="395E5498"/>
    <w:lvl w:ilvl="0" w:tplc="7CDCA0BE">
      <w:numFmt w:val="bullet"/>
      <w:lvlText w:val="-"/>
      <w:lvlJc w:val="left"/>
      <w:pPr>
        <w:ind w:left="720" w:hanging="360"/>
      </w:pPr>
      <w:rPr>
        <w:rFonts w:ascii="Calibri" w:eastAsiaTheme="minorHAnsi" w:hAnsi="Calibri" w:cstheme="minorBid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7B51E67"/>
    <w:multiLevelType w:val="hybridMultilevel"/>
    <w:tmpl w:val="2C4835F6"/>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12" w15:restartNumberingAfterBreak="0">
    <w:nsid w:val="182D28F2"/>
    <w:multiLevelType w:val="hybridMultilevel"/>
    <w:tmpl w:val="DED04BCC"/>
    <w:lvl w:ilvl="0" w:tplc="94002CD8">
      <w:start w:val="5"/>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8D4FBD"/>
    <w:multiLevelType w:val="hybridMultilevel"/>
    <w:tmpl w:val="8E52483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1F763793"/>
    <w:multiLevelType w:val="hybridMultilevel"/>
    <w:tmpl w:val="D0DAEA94"/>
    <w:lvl w:ilvl="0" w:tplc="E7703E2E">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5" w15:restartNumberingAfterBreak="0">
    <w:nsid w:val="1FEF3929"/>
    <w:multiLevelType w:val="hybridMultilevel"/>
    <w:tmpl w:val="52B0B340"/>
    <w:lvl w:ilvl="0" w:tplc="51B4D58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416541"/>
    <w:multiLevelType w:val="hybridMultilevel"/>
    <w:tmpl w:val="71542912"/>
    <w:lvl w:ilvl="0" w:tplc="8B781D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2A426F39"/>
    <w:multiLevelType w:val="hybridMultilevel"/>
    <w:tmpl w:val="F9721AB6"/>
    <w:lvl w:ilvl="0" w:tplc="2FEE4574">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B510705"/>
    <w:multiLevelType w:val="hybridMultilevel"/>
    <w:tmpl w:val="EC484F9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8721E0"/>
    <w:multiLevelType w:val="hybridMultilevel"/>
    <w:tmpl w:val="88500F06"/>
    <w:lvl w:ilvl="0" w:tplc="936C053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0E155E0"/>
    <w:multiLevelType w:val="hybridMultilevel"/>
    <w:tmpl w:val="13FC23FE"/>
    <w:lvl w:ilvl="0" w:tplc="815403D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38A008E"/>
    <w:multiLevelType w:val="hybridMultilevel"/>
    <w:tmpl w:val="FD6A71B6"/>
    <w:lvl w:ilvl="0" w:tplc="B7B4128C">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43501CC"/>
    <w:multiLevelType w:val="hybridMultilevel"/>
    <w:tmpl w:val="36247A00"/>
    <w:lvl w:ilvl="0" w:tplc="8B781D22">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tentative="1">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24" w15:restartNumberingAfterBreak="0">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26" w15:restartNumberingAfterBreak="0">
    <w:nsid w:val="3A614FA9"/>
    <w:multiLevelType w:val="hybridMultilevel"/>
    <w:tmpl w:val="8BEC5FF6"/>
    <w:lvl w:ilvl="0" w:tplc="0CF462B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A686331"/>
    <w:multiLevelType w:val="hybridMultilevel"/>
    <w:tmpl w:val="4F18C9FA"/>
    <w:lvl w:ilvl="0" w:tplc="5F06F68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B3A5DF7"/>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CE965E4"/>
    <w:multiLevelType w:val="hybridMultilevel"/>
    <w:tmpl w:val="2B7C96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3D483106"/>
    <w:multiLevelType w:val="hybridMultilevel"/>
    <w:tmpl w:val="ECF874CE"/>
    <w:lvl w:ilvl="0" w:tplc="0DC248BE">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E3702BA"/>
    <w:multiLevelType w:val="hybridMultilevel"/>
    <w:tmpl w:val="AF0A9998"/>
    <w:lvl w:ilvl="0" w:tplc="4E9C3DAE">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F0B44C4"/>
    <w:multiLevelType w:val="hybridMultilevel"/>
    <w:tmpl w:val="D082B2D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3621"/>
        </w:tabs>
        <w:ind w:left="3621" w:hanging="360"/>
      </w:pPr>
      <w:rPr>
        <w:i w:val="0"/>
      </w:rPr>
    </w:lvl>
    <w:lvl w:ilvl="2" w:tplc="81E81FC4">
      <w:start w:val="1"/>
      <w:numFmt w:val="lowerRoman"/>
      <w:lvlText w:val="%3."/>
      <w:lvlJc w:val="right"/>
      <w:pPr>
        <w:tabs>
          <w:tab w:val="num" w:pos="3920"/>
        </w:tabs>
        <w:ind w:left="3920" w:hanging="180"/>
      </w:pPr>
      <w:rPr>
        <w:color w:val="auto"/>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33" w15:restartNumberingAfterBreak="0">
    <w:nsid w:val="3F223A16"/>
    <w:multiLevelType w:val="hybridMultilevel"/>
    <w:tmpl w:val="28025BF6"/>
    <w:lvl w:ilvl="0" w:tplc="4000AF46">
      <w:start w:val="1"/>
      <w:numFmt w:val="lowerLetter"/>
      <w:lvlText w:val="%1)"/>
      <w:lvlJc w:val="left"/>
      <w:pPr>
        <w:ind w:left="822" w:hanging="360"/>
      </w:pPr>
      <w:rPr>
        <w:rFonts w:ascii="Times Roman" w:hAnsi="Times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542" w:hanging="360"/>
      </w:pPr>
    </w:lvl>
    <w:lvl w:ilvl="2" w:tplc="0809001B" w:tentative="1">
      <w:start w:val="1"/>
      <w:numFmt w:val="lowerRoman"/>
      <w:lvlText w:val="%3."/>
      <w:lvlJc w:val="right"/>
      <w:pPr>
        <w:ind w:left="2262" w:hanging="180"/>
      </w:pPr>
    </w:lvl>
    <w:lvl w:ilvl="3" w:tplc="0809000F" w:tentative="1">
      <w:start w:val="1"/>
      <w:numFmt w:val="decimal"/>
      <w:lvlText w:val="%4."/>
      <w:lvlJc w:val="left"/>
      <w:pPr>
        <w:ind w:left="2982" w:hanging="360"/>
      </w:pPr>
    </w:lvl>
    <w:lvl w:ilvl="4" w:tplc="08090019" w:tentative="1">
      <w:start w:val="1"/>
      <w:numFmt w:val="lowerLetter"/>
      <w:lvlText w:val="%5."/>
      <w:lvlJc w:val="left"/>
      <w:pPr>
        <w:ind w:left="3702" w:hanging="360"/>
      </w:pPr>
    </w:lvl>
    <w:lvl w:ilvl="5" w:tplc="0809001B" w:tentative="1">
      <w:start w:val="1"/>
      <w:numFmt w:val="lowerRoman"/>
      <w:lvlText w:val="%6."/>
      <w:lvlJc w:val="right"/>
      <w:pPr>
        <w:ind w:left="4422" w:hanging="180"/>
      </w:pPr>
    </w:lvl>
    <w:lvl w:ilvl="6" w:tplc="0809000F" w:tentative="1">
      <w:start w:val="1"/>
      <w:numFmt w:val="decimal"/>
      <w:lvlText w:val="%7."/>
      <w:lvlJc w:val="left"/>
      <w:pPr>
        <w:ind w:left="5142" w:hanging="360"/>
      </w:pPr>
    </w:lvl>
    <w:lvl w:ilvl="7" w:tplc="08090019" w:tentative="1">
      <w:start w:val="1"/>
      <w:numFmt w:val="lowerLetter"/>
      <w:lvlText w:val="%8."/>
      <w:lvlJc w:val="left"/>
      <w:pPr>
        <w:ind w:left="5862" w:hanging="360"/>
      </w:pPr>
    </w:lvl>
    <w:lvl w:ilvl="8" w:tplc="0809001B" w:tentative="1">
      <w:start w:val="1"/>
      <w:numFmt w:val="lowerRoman"/>
      <w:lvlText w:val="%9."/>
      <w:lvlJc w:val="right"/>
      <w:pPr>
        <w:ind w:left="6582" w:hanging="180"/>
      </w:pPr>
    </w:lvl>
  </w:abstractNum>
  <w:abstractNum w:abstractNumId="34" w15:restartNumberingAfterBreak="0">
    <w:nsid w:val="42BC675F"/>
    <w:multiLevelType w:val="hybridMultilevel"/>
    <w:tmpl w:val="ED5CABB4"/>
    <w:lvl w:ilvl="0" w:tplc="872AC02C">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36"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4E666DD0"/>
    <w:multiLevelType w:val="hybridMultilevel"/>
    <w:tmpl w:val="3D1CE05C"/>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FE0096A"/>
    <w:multiLevelType w:val="hybridMultilevel"/>
    <w:tmpl w:val="607A7D48"/>
    <w:lvl w:ilvl="0" w:tplc="1D1E8900">
      <w:start w:val="99"/>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FFC39FC"/>
    <w:multiLevelType w:val="hybridMultilevel"/>
    <w:tmpl w:val="8D22E7A8"/>
    <w:lvl w:ilvl="0" w:tplc="5F06F680">
      <w:numFmt w:val="bullet"/>
      <w:lvlText w:val="-"/>
      <w:lvlJc w:val="left"/>
      <w:pPr>
        <w:ind w:left="720" w:hanging="360"/>
      </w:pPr>
      <w:rPr>
        <w:rFonts w:ascii="Times New Roman" w:eastAsia="Times New Roman" w:hAnsi="Times New Roman" w:cs="Times New Roman" w:hint="default"/>
      </w:rPr>
    </w:lvl>
    <w:lvl w:ilvl="1" w:tplc="8B781D2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099368D"/>
    <w:multiLevelType w:val="hybridMultilevel"/>
    <w:tmpl w:val="0A2A3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0DA7FCC"/>
    <w:multiLevelType w:val="hybridMultilevel"/>
    <w:tmpl w:val="F508F3B4"/>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43" w15:restartNumberingAfterBreak="0">
    <w:nsid w:val="53940FD0"/>
    <w:multiLevelType w:val="hybridMultilevel"/>
    <w:tmpl w:val="BD4E07C8"/>
    <w:lvl w:ilvl="0" w:tplc="3098A378">
      <w:start w:val="1"/>
      <w:numFmt w:val="decimal"/>
      <w:lvlText w:val="(%1)"/>
      <w:lvlJc w:val="left"/>
      <w:pPr>
        <w:ind w:left="720" w:hanging="360"/>
      </w:pPr>
      <w:rPr>
        <w:rFonts w:ascii="Times New Roman" w:hAnsi="Times New Roman" w:cs="Times New Roman" w:hint="default"/>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4" w15:restartNumberingAfterBreak="0">
    <w:nsid w:val="558929EA"/>
    <w:multiLevelType w:val="hybridMultilevel"/>
    <w:tmpl w:val="7876D4DC"/>
    <w:lvl w:ilvl="0" w:tplc="EC5E5B56">
      <w:start w:val="1"/>
      <w:numFmt w:val="decimal"/>
      <w:lvlText w:val="%1 - "/>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9044446"/>
    <w:multiLevelType w:val="hybridMultilevel"/>
    <w:tmpl w:val="DBE8E03E"/>
    <w:lvl w:ilvl="0" w:tplc="0809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592102E3"/>
    <w:multiLevelType w:val="hybridMultilevel"/>
    <w:tmpl w:val="CF349A98"/>
    <w:lvl w:ilvl="0" w:tplc="CE7AD6B8">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9B36C03"/>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8" w15:restartNumberingAfterBreak="0">
    <w:nsid w:val="5AE00CDA"/>
    <w:multiLevelType w:val="hybridMultilevel"/>
    <w:tmpl w:val="72D86A66"/>
    <w:lvl w:ilvl="0" w:tplc="FCD8704C">
      <w:start w:val="19"/>
      <w:numFmt w:val="bullet"/>
      <w:lvlText w:val="-"/>
      <w:lvlJc w:val="left"/>
      <w:pPr>
        <w:ind w:left="720" w:hanging="360"/>
      </w:pPr>
      <w:rPr>
        <w:rFonts w:ascii="Calibri" w:eastAsiaTheme="minorHAnsi" w:hAnsi="Calibri" w:cs="Calibri"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C463F33"/>
    <w:multiLevelType w:val="hybridMultilevel"/>
    <w:tmpl w:val="A8821CF2"/>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81E81FC4">
      <w:start w:val="1"/>
      <w:numFmt w:val="lowerRoman"/>
      <w:lvlText w:val="%3."/>
      <w:lvlJc w:val="right"/>
      <w:pPr>
        <w:tabs>
          <w:tab w:val="num" w:pos="3920"/>
        </w:tabs>
        <w:ind w:left="3920" w:hanging="180"/>
      </w:pPr>
      <w:rPr>
        <w:color w:val="auto"/>
      </w:rPr>
    </w:lvl>
    <w:lvl w:ilvl="3" w:tplc="52B6A67E">
      <w:start w:val="1"/>
      <w:numFmt w:val="lowerLetter"/>
      <w:lvlText w:val="%4)"/>
      <w:lvlJc w:val="left"/>
      <w:pPr>
        <w:tabs>
          <w:tab w:val="num" w:pos="4658"/>
        </w:tabs>
        <w:ind w:left="4658"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50" w15:restartNumberingAfterBreak="0">
    <w:nsid w:val="5D775D56"/>
    <w:multiLevelType w:val="hybridMultilevel"/>
    <w:tmpl w:val="F89E8C6C"/>
    <w:lvl w:ilvl="0" w:tplc="3DAC4D26">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5EC215D7"/>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2" w15:restartNumberingAfterBreak="0">
    <w:nsid w:val="5EC32D05"/>
    <w:multiLevelType w:val="hybridMultilevel"/>
    <w:tmpl w:val="408CC3C8"/>
    <w:lvl w:ilvl="0" w:tplc="936C053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06A173A"/>
    <w:multiLevelType w:val="hybridMultilevel"/>
    <w:tmpl w:val="2502448A"/>
    <w:lvl w:ilvl="0" w:tplc="ED067CB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0CD5F2A"/>
    <w:multiLevelType w:val="hybridMultilevel"/>
    <w:tmpl w:val="38603E00"/>
    <w:lvl w:ilvl="0" w:tplc="6456A508">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2022EF4"/>
    <w:multiLevelType w:val="hybridMultilevel"/>
    <w:tmpl w:val="3E6E6EA0"/>
    <w:lvl w:ilvl="0" w:tplc="325409FC">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2593046"/>
    <w:multiLevelType w:val="hybridMultilevel"/>
    <w:tmpl w:val="61DA3DBE"/>
    <w:lvl w:ilvl="0" w:tplc="D0AE5DAE">
      <w:start w:val="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7142F11"/>
    <w:multiLevelType w:val="hybridMultilevel"/>
    <w:tmpl w:val="B4A6F596"/>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8B781D22">
      <w:start w:val="1"/>
      <w:numFmt w:val="bullet"/>
      <w:lvlText w:val=""/>
      <w:lvlJc w:val="left"/>
      <w:pPr>
        <w:ind w:left="2880" w:hanging="360"/>
      </w:pPr>
      <w:rPr>
        <w:rFonts w:ascii="Symbol" w:hAnsi="Symbol"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681B20DB"/>
    <w:multiLevelType w:val="hybridMultilevel"/>
    <w:tmpl w:val="38569986"/>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8B781D22">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84F65CE"/>
    <w:multiLevelType w:val="hybridMultilevel"/>
    <w:tmpl w:val="E3D87F42"/>
    <w:lvl w:ilvl="0" w:tplc="85661E2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8D329E9"/>
    <w:multiLevelType w:val="multilevel"/>
    <w:tmpl w:val="CF3CDE3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none"/>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61" w15:restartNumberingAfterBreak="0">
    <w:nsid w:val="6C2A563C"/>
    <w:multiLevelType w:val="hybridMultilevel"/>
    <w:tmpl w:val="F5CC4C6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70C217FE"/>
    <w:multiLevelType w:val="hybridMultilevel"/>
    <w:tmpl w:val="2A068CBE"/>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63" w15:restartNumberingAfterBreak="0">
    <w:nsid w:val="71BD2970"/>
    <w:multiLevelType w:val="hybridMultilevel"/>
    <w:tmpl w:val="BEEE288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722720F2"/>
    <w:multiLevelType w:val="hybridMultilevel"/>
    <w:tmpl w:val="229885DE"/>
    <w:lvl w:ilvl="0" w:tplc="2F90FD52">
      <w:start w:val="1"/>
      <w:numFmt w:val="lowerLetter"/>
      <w:lvlText w:val="%1)"/>
      <w:lvlJc w:val="left"/>
      <w:pPr>
        <w:ind w:left="360" w:hanging="360"/>
      </w:pPr>
      <w:rPr>
        <w:rFonts w:ascii="Times New Roman" w:hAnsi="Times New Roman" w:hint="default"/>
        <w:b w:val="0"/>
        <w:i w:val="0"/>
        <w:caps w:val="0"/>
        <w:strike w:val="0"/>
        <w:dstrike w:val="0"/>
        <w:vanish w:val="0"/>
        <w:color w:val="auto"/>
        <w:sz w:val="20"/>
        <w:szCs w:val="24"/>
        <w:vertAlign w:val="baseline"/>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5"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6" w15:restartNumberingAfterBreak="0">
    <w:nsid w:val="733A3F0F"/>
    <w:multiLevelType w:val="hybridMultilevel"/>
    <w:tmpl w:val="F29CFF50"/>
    <w:lvl w:ilvl="0" w:tplc="C43CBF9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4861C68"/>
    <w:multiLevelType w:val="hybridMultilevel"/>
    <w:tmpl w:val="3C645A54"/>
    <w:lvl w:ilvl="0" w:tplc="95FC6D5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48F5CF8"/>
    <w:multiLevelType w:val="hybridMultilevel"/>
    <w:tmpl w:val="579EA548"/>
    <w:lvl w:ilvl="0" w:tplc="95E2676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AB07E15"/>
    <w:multiLevelType w:val="hybridMultilevel"/>
    <w:tmpl w:val="66ECE7FC"/>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70" w15:restartNumberingAfterBreak="0">
    <w:nsid w:val="7E9A262F"/>
    <w:multiLevelType w:val="hybridMultilevel"/>
    <w:tmpl w:val="B6926F5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4000AF46">
      <w:start w:val="1"/>
      <w:numFmt w:val="lowerLetter"/>
      <w:lvlText w:val="%3)"/>
      <w:lvlJc w:val="left"/>
      <w:pPr>
        <w:tabs>
          <w:tab w:val="num" w:pos="3920"/>
        </w:tabs>
        <w:ind w:left="3920" w:hanging="180"/>
      </w:pPr>
      <w:rPr>
        <w:rFonts w:ascii="Times Roman" w:hAnsi="Times Roman" w:hint="default"/>
        <w:b w:val="0"/>
        <w:i w:val="0"/>
        <w:caps w:val="0"/>
        <w:strike w:val="0"/>
        <w:dstrike w:val="0"/>
        <w:vanish w:val="0"/>
        <w:color w:val="auto"/>
        <w:sz w:val="20"/>
        <w:szCs w:val="24"/>
        <w:vertAlign w:val="baseline"/>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num w:numId="1">
    <w:abstractNumId w:val="20"/>
  </w:num>
  <w:num w:numId="2">
    <w:abstractNumId w:val="46"/>
  </w:num>
  <w:num w:numId="3">
    <w:abstractNumId w:val="68"/>
  </w:num>
  <w:num w:numId="4">
    <w:abstractNumId w:val="9"/>
  </w:num>
  <w:num w:numId="5">
    <w:abstractNumId w:val="30"/>
  </w:num>
  <w:num w:numId="6">
    <w:abstractNumId w:val="43"/>
  </w:num>
  <w:num w:numId="7">
    <w:abstractNumId w:val="50"/>
  </w:num>
  <w:num w:numId="8">
    <w:abstractNumId w:val="0"/>
  </w:num>
  <w:num w:numId="9">
    <w:abstractNumId w:val="7"/>
  </w:num>
  <w:num w:numId="10">
    <w:abstractNumId w:val="67"/>
  </w:num>
  <w:num w:numId="11">
    <w:abstractNumId w:val="5"/>
  </w:num>
  <w:num w:numId="12">
    <w:abstractNumId w:val="28"/>
  </w:num>
  <w:num w:numId="13">
    <w:abstractNumId w:val="47"/>
  </w:num>
  <w:num w:numId="14">
    <w:abstractNumId w:val="56"/>
  </w:num>
  <w:num w:numId="15">
    <w:abstractNumId w:val="61"/>
  </w:num>
  <w:num w:numId="16">
    <w:abstractNumId w:val="14"/>
  </w:num>
  <w:num w:numId="17">
    <w:abstractNumId w:val="53"/>
  </w:num>
  <w:num w:numId="18">
    <w:abstractNumId w:val="31"/>
  </w:num>
  <w:num w:numId="19">
    <w:abstractNumId w:val="59"/>
  </w:num>
  <w:num w:numId="20">
    <w:abstractNumId w:val="54"/>
  </w:num>
  <w:num w:numId="21">
    <w:abstractNumId w:val="26"/>
  </w:num>
  <w:num w:numId="22">
    <w:abstractNumId w:val="55"/>
  </w:num>
  <w:num w:numId="23">
    <w:abstractNumId w:val="15"/>
  </w:num>
  <w:num w:numId="24">
    <w:abstractNumId w:val="32"/>
  </w:num>
  <w:num w:numId="25">
    <w:abstractNumId w:val="49"/>
  </w:num>
  <w:num w:numId="26">
    <w:abstractNumId w:val="70"/>
  </w:num>
  <w:num w:numId="27">
    <w:abstractNumId w:val="16"/>
  </w:num>
  <w:num w:numId="28">
    <w:abstractNumId w:val="3"/>
  </w:num>
  <w:num w:numId="29">
    <w:abstractNumId w:val="17"/>
  </w:num>
  <w:num w:numId="30">
    <w:abstractNumId w:val="13"/>
  </w:num>
  <w:num w:numId="31">
    <w:abstractNumId w:val="29"/>
  </w:num>
  <w:num w:numId="32">
    <w:abstractNumId w:val="65"/>
  </w:num>
  <w:num w:numId="33">
    <w:abstractNumId w:val="45"/>
  </w:num>
  <w:num w:numId="34">
    <w:abstractNumId w:val="57"/>
  </w:num>
  <w:num w:numId="35">
    <w:abstractNumId w:val="63"/>
  </w:num>
  <w:num w:numId="36">
    <w:abstractNumId w:val="1"/>
  </w:num>
  <w:num w:numId="37">
    <w:abstractNumId w:val="22"/>
  </w:num>
  <w:num w:numId="38">
    <w:abstractNumId w:val="62"/>
  </w:num>
  <w:num w:numId="39">
    <w:abstractNumId w:val="18"/>
  </w:num>
  <w:num w:numId="40">
    <w:abstractNumId w:val="42"/>
  </w:num>
  <w:num w:numId="41">
    <w:abstractNumId w:val="58"/>
  </w:num>
  <w:num w:numId="42">
    <w:abstractNumId w:val="11"/>
  </w:num>
  <w:num w:numId="43">
    <w:abstractNumId w:val="69"/>
  </w:num>
  <w:num w:numId="44">
    <w:abstractNumId w:val="6"/>
  </w:num>
  <w:num w:numId="45">
    <w:abstractNumId w:val="33"/>
  </w:num>
  <w:num w:numId="46">
    <w:abstractNumId w:val="27"/>
  </w:num>
  <w:num w:numId="47">
    <w:abstractNumId w:val="40"/>
  </w:num>
  <w:num w:numId="48">
    <w:abstractNumId w:val="37"/>
  </w:num>
  <w:num w:numId="49">
    <w:abstractNumId w:val="48"/>
  </w:num>
  <w:num w:numId="50">
    <w:abstractNumId w:val="21"/>
  </w:num>
  <w:num w:numId="51">
    <w:abstractNumId w:val="64"/>
  </w:num>
  <w:num w:numId="52">
    <w:abstractNumId w:val="8"/>
  </w:num>
  <w:num w:numId="53">
    <w:abstractNumId w:val="2"/>
  </w:num>
  <w:num w:numId="54">
    <w:abstractNumId w:val="23"/>
  </w:num>
  <w:num w:numId="55">
    <w:abstractNumId w:val="24"/>
  </w:num>
  <w:num w:numId="56">
    <w:abstractNumId w:val="25"/>
  </w:num>
  <w:num w:numId="57">
    <w:abstractNumId w:val="38"/>
  </w:num>
  <w:num w:numId="58">
    <w:abstractNumId w:val="44"/>
  </w:num>
  <w:num w:numId="59">
    <w:abstractNumId w:val="35"/>
  </w:num>
  <w:num w:numId="60">
    <w:abstractNumId w:val="60"/>
  </w:num>
  <w:num w:numId="61">
    <w:abstractNumId w:val="4"/>
  </w:num>
  <w:num w:numId="62">
    <w:abstractNumId w:val="51"/>
  </w:num>
  <w:num w:numId="63">
    <w:abstractNumId w:val="52"/>
  </w:num>
  <w:num w:numId="64">
    <w:abstractNumId w:val="19"/>
  </w:num>
  <w:num w:numId="65">
    <w:abstractNumId w:val="41"/>
  </w:num>
  <w:num w:numId="66">
    <w:abstractNumId w:val="39"/>
  </w:num>
  <w:num w:numId="67">
    <w:abstractNumId w:val="36"/>
  </w:num>
  <w:num w:numId="68">
    <w:abstractNumId w:val="66"/>
  </w:num>
  <w:num w:numId="69">
    <w:abstractNumId w:val="12"/>
  </w:num>
  <w:num w:numId="70">
    <w:abstractNumId w:val="34"/>
  </w:num>
  <w:num w:numId="71">
    <w:abstractNumId w:val="1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A2880"/>
    <w:rsid w:val="000065DD"/>
    <w:rsid w:val="0001032B"/>
    <w:rsid w:val="0001107D"/>
    <w:rsid w:val="000113C0"/>
    <w:rsid w:val="00011FC3"/>
    <w:rsid w:val="00013D49"/>
    <w:rsid w:val="0001770E"/>
    <w:rsid w:val="00020961"/>
    <w:rsid w:val="000228E3"/>
    <w:rsid w:val="00026F3F"/>
    <w:rsid w:val="00035FBF"/>
    <w:rsid w:val="00036E79"/>
    <w:rsid w:val="00044E7C"/>
    <w:rsid w:val="00045F07"/>
    <w:rsid w:val="00053333"/>
    <w:rsid w:val="00053D9E"/>
    <w:rsid w:val="00056F3B"/>
    <w:rsid w:val="000570D1"/>
    <w:rsid w:val="00074077"/>
    <w:rsid w:val="00076C40"/>
    <w:rsid w:val="00080895"/>
    <w:rsid w:val="00082D34"/>
    <w:rsid w:val="00085D2D"/>
    <w:rsid w:val="00095251"/>
    <w:rsid w:val="00097A27"/>
    <w:rsid w:val="000A05C6"/>
    <w:rsid w:val="000A20C4"/>
    <w:rsid w:val="000A21AE"/>
    <w:rsid w:val="000A55AA"/>
    <w:rsid w:val="000A66DC"/>
    <w:rsid w:val="000B1310"/>
    <w:rsid w:val="000C45A0"/>
    <w:rsid w:val="000C4A9C"/>
    <w:rsid w:val="000C6BAE"/>
    <w:rsid w:val="000D2E4C"/>
    <w:rsid w:val="000D3256"/>
    <w:rsid w:val="000D7BD0"/>
    <w:rsid w:val="000F1290"/>
    <w:rsid w:val="000F4484"/>
    <w:rsid w:val="000F4F41"/>
    <w:rsid w:val="0010016B"/>
    <w:rsid w:val="001062B8"/>
    <w:rsid w:val="0010649D"/>
    <w:rsid w:val="0010788F"/>
    <w:rsid w:val="0011455D"/>
    <w:rsid w:val="00124DC1"/>
    <w:rsid w:val="0012637F"/>
    <w:rsid w:val="00126B85"/>
    <w:rsid w:val="00132A41"/>
    <w:rsid w:val="001441D4"/>
    <w:rsid w:val="00144777"/>
    <w:rsid w:val="00157CC7"/>
    <w:rsid w:val="001635A8"/>
    <w:rsid w:val="00166F34"/>
    <w:rsid w:val="001716A8"/>
    <w:rsid w:val="0017378A"/>
    <w:rsid w:val="00175AA7"/>
    <w:rsid w:val="00180169"/>
    <w:rsid w:val="00182441"/>
    <w:rsid w:val="00182F92"/>
    <w:rsid w:val="00187BC4"/>
    <w:rsid w:val="0019116F"/>
    <w:rsid w:val="0019271B"/>
    <w:rsid w:val="0019645C"/>
    <w:rsid w:val="001A6891"/>
    <w:rsid w:val="001B2D41"/>
    <w:rsid w:val="001B32BC"/>
    <w:rsid w:val="001B67DD"/>
    <w:rsid w:val="001D06F5"/>
    <w:rsid w:val="001D0DE2"/>
    <w:rsid w:val="001D212F"/>
    <w:rsid w:val="001D2292"/>
    <w:rsid w:val="001D3D3D"/>
    <w:rsid w:val="001D4914"/>
    <w:rsid w:val="001E2E9D"/>
    <w:rsid w:val="001E7E5D"/>
    <w:rsid w:val="001F33AD"/>
    <w:rsid w:val="002037B9"/>
    <w:rsid w:val="0020511C"/>
    <w:rsid w:val="0020548A"/>
    <w:rsid w:val="0020581A"/>
    <w:rsid w:val="00213DFA"/>
    <w:rsid w:val="00214026"/>
    <w:rsid w:val="0022080E"/>
    <w:rsid w:val="00223ABA"/>
    <w:rsid w:val="002247D6"/>
    <w:rsid w:val="00226AF2"/>
    <w:rsid w:val="00235E62"/>
    <w:rsid w:val="00240D74"/>
    <w:rsid w:val="00241EF2"/>
    <w:rsid w:val="002447AA"/>
    <w:rsid w:val="0025281F"/>
    <w:rsid w:val="00262318"/>
    <w:rsid w:val="00262375"/>
    <w:rsid w:val="00266BEC"/>
    <w:rsid w:val="00270A08"/>
    <w:rsid w:val="00276645"/>
    <w:rsid w:val="00276C4C"/>
    <w:rsid w:val="00284994"/>
    <w:rsid w:val="0028500E"/>
    <w:rsid w:val="00286AA4"/>
    <w:rsid w:val="0029352E"/>
    <w:rsid w:val="002A01AC"/>
    <w:rsid w:val="002A0ACD"/>
    <w:rsid w:val="002A2F57"/>
    <w:rsid w:val="002B48D4"/>
    <w:rsid w:val="002C06A5"/>
    <w:rsid w:val="002C203E"/>
    <w:rsid w:val="002C253B"/>
    <w:rsid w:val="002C5083"/>
    <w:rsid w:val="002D07BB"/>
    <w:rsid w:val="002D7C8F"/>
    <w:rsid w:val="002E120A"/>
    <w:rsid w:val="002E2940"/>
    <w:rsid w:val="002E4D76"/>
    <w:rsid w:val="002E5263"/>
    <w:rsid w:val="002E5306"/>
    <w:rsid w:val="002E770C"/>
    <w:rsid w:val="002F0892"/>
    <w:rsid w:val="003026E0"/>
    <w:rsid w:val="00302DC9"/>
    <w:rsid w:val="00306742"/>
    <w:rsid w:val="00312902"/>
    <w:rsid w:val="0031378D"/>
    <w:rsid w:val="003175FF"/>
    <w:rsid w:val="00317AA6"/>
    <w:rsid w:val="00325F40"/>
    <w:rsid w:val="00330A0E"/>
    <w:rsid w:val="003316D5"/>
    <w:rsid w:val="003327D2"/>
    <w:rsid w:val="00334E4B"/>
    <w:rsid w:val="00344A73"/>
    <w:rsid w:val="0034585D"/>
    <w:rsid w:val="00345A4E"/>
    <w:rsid w:val="003466C0"/>
    <w:rsid w:val="003506B2"/>
    <w:rsid w:val="00352D31"/>
    <w:rsid w:val="0036363B"/>
    <w:rsid w:val="00380326"/>
    <w:rsid w:val="00380382"/>
    <w:rsid w:val="003854FB"/>
    <w:rsid w:val="00390330"/>
    <w:rsid w:val="0039140E"/>
    <w:rsid w:val="0039387E"/>
    <w:rsid w:val="003A149C"/>
    <w:rsid w:val="003A1841"/>
    <w:rsid w:val="003A207D"/>
    <w:rsid w:val="003B2B5D"/>
    <w:rsid w:val="003B315C"/>
    <w:rsid w:val="003B3EC6"/>
    <w:rsid w:val="003B5C85"/>
    <w:rsid w:val="003C09CC"/>
    <w:rsid w:val="003C27DA"/>
    <w:rsid w:val="003C60E6"/>
    <w:rsid w:val="003D2920"/>
    <w:rsid w:val="003D361D"/>
    <w:rsid w:val="003D56C4"/>
    <w:rsid w:val="003D5D09"/>
    <w:rsid w:val="003E0378"/>
    <w:rsid w:val="003E7263"/>
    <w:rsid w:val="003E7BC7"/>
    <w:rsid w:val="003E7C29"/>
    <w:rsid w:val="003F24FC"/>
    <w:rsid w:val="003F7860"/>
    <w:rsid w:val="00411393"/>
    <w:rsid w:val="00415ED5"/>
    <w:rsid w:val="00425D6F"/>
    <w:rsid w:val="00434485"/>
    <w:rsid w:val="00440C4F"/>
    <w:rsid w:val="00440FC8"/>
    <w:rsid w:val="004415A6"/>
    <w:rsid w:val="004416A8"/>
    <w:rsid w:val="0044177B"/>
    <w:rsid w:val="00444C82"/>
    <w:rsid w:val="0044578D"/>
    <w:rsid w:val="00445E5A"/>
    <w:rsid w:val="00452293"/>
    <w:rsid w:val="00457489"/>
    <w:rsid w:val="00460B44"/>
    <w:rsid w:val="0046361A"/>
    <w:rsid w:val="00463B3E"/>
    <w:rsid w:val="00463F41"/>
    <w:rsid w:val="00464B85"/>
    <w:rsid w:val="00482CC5"/>
    <w:rsid w:val="00486118"/>
    <w:rsid w:val="00486501"/>
    <w:rsid w:val="0049344B"/>
    <w:rsid w:val="00496908"/>
    <w:rsid w:val="00496E20"/>
    <w:rsid w:val="004A4F35"/>
    <w:rsid w:val="004A7A8F"/>
    <w:rsid w:val="004B05E3"/>
    <w:rsid w:val="004B0C75"/>
    <w:rsid w:val="004B2500"/>
    <w:rsid w:val="004B41E6"/>
    <w:rsid w:val="004B61AF"/>
    <w:rsid w:val="004C0920"/>
    <w:rsid w:val="004C5083"/>
    <w:rsid w:val="004D51A9"/>
    <w:rsid w:val="004D683A"/>
    <w:rsid w:val="004E2CD5"/>
    <w:rsid w:val="004E7A49"/>
    <w:rsid w:val="004F1DD8"/>
    <w:rsid w:val="004F2256"/>
    <w:rsid w:val="004F7035"/>
    <w:rsid w:val="004F7860"/>
    <w:rsid w:val="00503D92"/>
    <w:rsid w:val="0051516F"/>
    <w:rsid w:val="00525199"/>
    <w:rsid w:val="005255A2"/>
    <w:rsid w:val="00525F28"/>
    <w:rsid w:val="00536932"/>
    <w:rsid w:val="0053713B"/>
    <w:rsid w:val="005446B2"/>
    <w:rsid w:val="00552B99"/>
    <w:rsid w:val="0055345F"/>
    <w:rsid w:val="005570BE"/>
    <w:rsid w:val="0056144F"/>
    <w:rsid w:val="00561AAF"/>
    <w:rsid w:val="0056505D"/>
    <w:rsid w:val="00565267"/>
    <w:rsid w:val="00573E2C"/>
    <w:rsid w:val="00583E5E"/>
    <w:rsid w:val="00585B98"/>
    <w:rsid w:val="00591058"/>
    <w:rsid w:val="00595775"/>
    <w:rsid w:val="005A2F45"/>
    <w:rsid w:val="005B0A66"/>
    <w:rsid w:val="005B60CA"/>
    <w:rsid w:val="005C0297"/>
    <w:rsid w:val="005C54BC"/>
    <w:rsid w:val="005D0351"/>
    <w:rsid w:val="005D0BAB"/>
    <w:rsid w:val="005D5B72"/>
    <w:rsid w:val="005E2783"/>
    <w:rsid w:val="005E724C"/>
    <w:rsid w:val="005F3ABE"/>
    <w:rsid w:val="005F721A"/>
    <w:rsid w:val="00600656"/>
    <w:rsid w:val="00601B14"/>
    <w:rsid w:val="0060445C"/>
    <w:rsid w:val="00604BAF"/>
    <w:rsid w:val="00611C81"/>
    <w:rsid w:val="00612C5B"/>
    <w:rsid w:val="00614E25"/>
    <w:rsid w:val="00620B4E"/>
    <w:rsid w:val="006313E1"/>
    <w:rsid w:val="006317FF"/>
    <w:rsid w:val="00632A29"/>
    <w:rsid w:val="00637AB7"/>
    <w:rsid w:val="00641121"/>
    <w:rsid w:val="00643E80"/>
    <w:rsid w:val="00651E3F"/>
    <w:rsid w:val="0067006B"/>
    <w:rsid w:val="006707A9"/>
    <w:rsid w:val="006746F6"/>
    <w:rsid w:val="00674FAB"/>
    <w:rsid w:val="00677115"/>
    <w:rsid w:val="00681AAB"/>
    <w:rsid w:val="006822AF"/>
    <w:rsid w:val="00682B60"/>
    <w:rsid w:val="00684869"/>
    <w:rsid w:val="00685858"/>
    <w:rsid w:val="00686578"/>
    <w:rsid w:val="006876BB"/>
    <w:rsid w:val="006907A8"/>
    <w:rsid w:val="00691EDB"/>
    <w:rsid w:val="00695D89"/>
    <w:rsid w:val="0069793C"/>
    <w:rsid w:val="006A03D4"/>
    <w:rsid w:val="006A0C2A"/>
    <w:rsid w:val="006A16EF"/>
    <w:rsid w:val="006A5EDE"/>
    <w:rsid w:val="006B3638"/>
    <w:rsid w:val="006C35D8"/>
    <w:rsid w:val="006C7119"/>
    <w:rsid w:val="006D4290"/>
    <w:rsid w:val="006D50F6"/>
    <w:rsid w:val="006D7AF3"/>
    <w:rsid w:val="006E38D0"/>
    <w:rsid w:val="006E4A52"/>
    <w:rsid w:val="006E6A4A"/>
    <w:rsid w:val="007124A9"/>
    <w:rsid w:val="0071342B"/>
    <w:rsid w:val="00717C2D"/>
    <w:rsid w:val="0072092D"/>
    <w:rsid w:val="00724947"/>
    <w:rsid w:val="00734AA4"/>
    <w:rsid w:val="00741991"/>
    <w:rsid w:val="007435FF"/>
    <w:rsid w:val="00743B6B"/>
    <w:rsid w:val="00757810"/>
    <w:rsid w:val="0076289F"/>
    <w:rsid w:val="007700FA"/>
    <w:rsid w:val="00771597"/>
    <w:rsid w:val="00772673"/>
    <w:rsid w:val="007772EF"/>
    <w:rsid w:val="00777AEA"/>
    <w:rsid w:val="007834C8"/>
    <w:rsid w:val="00791304"/>
    <w:rsid w:val="007922EF"/>
    <w:rsid w:val="00793BC4"/>
    <w:rsid w:val="007A3B9F"/>
    <w:rsid w:val="007A4D0F"/>
    <w:rsid w:val="007B0187"/>
    <w:rsid w:val="007B38BB"/>
    <w:rsid w:val="007C2E95"/>
    <w:rsid w:val="007C51B5"/>
    <w:rsid w:val="007C59DC"/>
    <w:rsid w:val="007D51B0"/>
    <w:rsid w:val="007E3D53"/>
    <w:rsid w:val="007E61F8"/>
    <w:rsid w:val="007F1DF0"/>
    <w:rsid w:val="00800E84"/>
    <w:rsid w:val="00803166"/>
    <w:rsid w:val="008077CC"/>
    <w:rsid w:val="008146D3"/>
    <w:rsid w:val="008161EF"/>
    <w:rsid w:val="0082485F"/>
    <w:rsid w:val="00825BA0"/>
    <w:rsid w:val="00830094"/>
    <w:rsid w:val="008349EC"/>
    <w:rsid w:val="00837E57"/>
    <w:rsid w:val="008415AF"/>
    <w:rsid w:val="00850CF8"/>
    <w:rsid w:val="00852E81"/>
    <w:rsid w:val="00854FF4"/>
    <w:rsid w:val="00864495"/>
    <w:rsid w:val="00866276"/>
    <w:rsid w:val="00866F4E"/>
    <w:rsid w:val="0087574D"/>
    <w:rsid w:val="008771DA"/>
    <w:rsid w:val="00883D17"/>
    <w:rsid w:val="00884155"/>
    <w:rsid w:val="00884A9A"/>
    <w:rsid w:val="0088697A"/>
    <w:rsid w:val="00886A05"/>
    <w:rsid w:val="0089232F"/>
    <w:rsid w:val="008A0DDC"/>
    <w:rsid w:val="008A2435"/>
    <w:rsid w:val="008A2C9D"/>
    <w:rsid w:val="008A74F5"/>
    <w:rsid w:val="008B3312"/>
    <w:rsid w:val="008B4B0B"/>
    <w:rsid w:val="008B5455"/>
    <w:rsid w:val="008B5B64"/>
    <w:rsid w:val="008C4238"/>
    <w:rsid w:val="008D0186"/>
    <w:rsid w:val="008E0BDF"/>
    <w:rsid w:val="008E4B74"/>
    <w:rsid w:val="008E4C19"/>
    <w:rsid w:val="008E4D75"/>
    <w:rsid w:val="008E7FB7"/>
    <w:rsid w:val="008F0FAD"/>
    <w:rsid w:val="008F1627"/>
    <w:rsid w:val="008F6A3E"/>
    <w:rsid w:val="0090087B"/>
    <w:rsid w:val="009079E3"/>
    <w:rsid w:val="00907D61"/>
    <w:rsid w:val="009100BA"/>
    <w:rsid w:val="009114CD"/>
    <w:rsid w:val="009214FF"/>
    <w:rsid w:val="00922B9F"/>
    <w:rsid w:val="009302E9"/>
    <w:rsid w:val="00931BC7"/>
    <w:rsid w:val="009332B5"/>
    <w:rsid w:val="00940479"/>
    <w:rsid w:val="00947B15"/>
    <w:rsid w:val="00950116"/>
    <w:rsid w:val="0095672C"/>
    <w:rsid w:val="009666D0"/>
    <w:rsid w:val="00975FAF"/>
    <w:rsid w:val="00976ECA"/>
    <w:rsid w:val="00985F6E"/>
    <w:rsid w:val="00990282"/>
    <w:rsid w:val="00992985"/>
    <w:rsid w:val="00994513"/>
    <w:rsid w:val="009A1906"/>
    <w:rsid w:val="009A1CF6"/>
    <w:rsid w:val="009A337D"/>
    <w:rsid w:val="009A404B"/>
    <w:rsid w:val="009A4AB6"/>
    <w:rsid w:val="009A4CCA"/>
    <w:rsid w:val="009A7AC0"/>
    <w:rsid w:val="009B27E5"/>
    <w:rsid w:val="009B7221"/>
    <w:rsid w:val="009C2E50"/>
    <w:rsid w:val="009D3D9E"/>
    <w:rsid w:val="009D74C4"/>
    <w:rsid w:val="009D7D95"/>
    <w:rsid w:val="009E4617"/>
    <w:rsid w:val="009E5725"/>
    <w:rsid w:val="009E7E1B"/>
    <w:rsid w:val="009F41F3"/>
    <w:rsid w:val="00A07329"/>
    <w:rsid w:val="00A07F19"/>
    <w:rsid w:val="00A25866"/>
    <w:rsid w:val="00A261B3"/>
    <w:rsid w:val="00A27E73"/>
    <w:rsid w:val="00A314F2"/>
    <w:rsid w:val="00A36D30"/>
    <w:rsid w:val="00A418E1"/>
    <w:rsid w:val="00A41C3B"/>
    <w:rsid w:val="00A46097"/>
    <w:rsid w:val="00A47885"/>
    <w:rsid w:val="00A63304"/>
    <w:rsid w:val="00A65703"/>
    <w:rsid w:val="00A741AB"/>
    <w:rsid w:val="00A75F78"/>
    <w:rsid w:val="00A80F3C"/>
    <w:rsid w:val="00A82A9F"/>
    <w:rsid w:val="00A850E3"/>
    <w:rsid w:val="00A85457"/>
    <w:rsid w:val="00A86581"/>
    <w:rsid w:val="00AA7A36"/>
    <w:rsid w:val="00AB3236"/>
    <w:rsid w:val="00AC3357"/>
    <w:rsid w:val="00AC6C39"/>
    <w:rsid w:val="00AD4A46"/>
    <w:rsid w:val="00AD5867"/>
    <w:rsid w:val="00AE2109"/>
    <w:rsid w:val="00AE65C0"/>
    <w:rsid w:val="00AF0B98"/>
    <w:rsid w:val="00AF2ABF"/>
    <w:rsid w:val="00B05B5B"/>
    <w:rsid w:val="00B14441"/>
    <w:rsid w:val="00B14D00"/>
    <w:rsid w:val="00B17730"/>
    <w:rsid w:val="00B227CF"/>
    <w:rsid w:val="00B26627"/>
    <w:rsid w:val="00B272F3"/>
    <w:rsid w:val="00B31C82"/>
    <w:rsid w:val="00B33FD1"/>
    <w:rsid w:val="00B34115"/>
    <w:rsid w:val="00B41DC2"/>
    <w:rsid w:val="00B43B89"/>
    <w:rsid w:val="00B446AA"/>
    <w:rsid w:val="00B508C7"/>
    <w:rsid w:val="00B53FAB"/>
    <w:rsid w:val="00B5555A"/>
    <w:rsid w:val="00B62424"/>
    <w:rsid w:val="00B71AE5"/>
    <w:rsid w:val="00B72248"/>
    <w:rsid w:val="00B74AEE"/>
    <w:rsid w:val="00B837D9"/>
    <w:rsid w:val="00B90F65"/>
    <w:rsid w:val="00B91E57"/>
    <w:rsid w:val="00B91E68"/>
    <w:rsid w:val="00B97D0E"/>
    <w:rsid w:val="00BA3AB4"/>
    <w:rsid w:val="00BA5BC0"/>
    <w:rsid w:val="00BA6EA2"/>
    <w:rsid w:val="00BA7D71"/>
    <w:rsid w:val="00BB0FCA"/>
    <w:rsid w:val="00BB2F7F"/>
    <w:rsid w:val="00BC1FF6"/>
    <w:rsid w:val="00BC6107"/>
    <w:rsid w:val="00BD243A"/>
    <w:rsid w:val="00BE1B63"/>
    <w:rsid w:val="00BE57D0"/>
    <w:rsid w:val="00BF4262"/>
    <w:rsid w:val="00C03D09"/>
    <w:rsid w:val="00C051D6"/>
    <w:rsid w:val="00C13933"/>
    <w:rsid w:val="00C16CE6"/>
    <w:rsid w:val="00C22F9F"/>
    <w:rsid w:val="00C238BC"/>
    <w:rsid w:val="00C24E0C"/>
    <w:rsid w:val="00C34BA4"/>
    <w:rsid w:val="00C40AF1"/>
    <w:rsid w:val="00C42C88"/>
    <w:rsid w:val="00C44BAC"/>
    <w:rsid w:val="00C54C5C"/>
    <w:rsid w:val="00C64670"/>
    <w:rsid w:val="00C74269"/>
    <w:rsid w:val="00C766D1"/>
    <w:rsid w:val="00C770DE"/>
    <w:rsid w:val="00C90B58"/>
    <w:rsid w:val="00C93C42"/>
    <w:rsid w:val="00C94416"/>
    <w:rsid w:val="00C9579C"/>
    <w:rsid w:val="00C97D8C"/>
    <w:rsid w:val="00CA3CCE"/>
    <w:rsid w:val="00CA57BB"/>
    <w:rsid w:val="00CA6CBD"/>
    <w:rsid w:val="00CA7571"/>
    <w:rsid w:val="00CB0E43"/>
    <w:rsid w:val="00CB1B2E"/>
    <w:rsid w:val="00CB2DFC"/>
    <w:rsid w:val="00CB4C76"/>
    <w:rsid w:val="00CB64A5"/>
    <w:rsid w:val="00CD22EA"/>
    <w:rsid w:val="00CD23A0"/>
    <w:rsid w:val="00CF19F1"/>
    <w:rsid w:val="00CF5902"/>
    <w:rsid w:val="00D002C4"/>
    <w:rsid w:val="00D037B6"/>
    <w:rsid w:val="00D04822"/>
    <w:rsid w:val="00D05F66"/>
    <w:rsid w:val="00D07DBF"/>
    <w:rsid w:val="00D16095"/>
    <w:rsid w:val="00D16A51"/>
    <w:rsid w:val="00D202B9"/>
    <w:rsid w:val="00D25415"/>
    <w:rsid w:val="00D42064"/>
    <w:rsid w:val="00D42F44"/>
    <w:rsid w:val="00D45508"/>
    <w:rsid w:val="00D52B61"/>
    <w:rsid w:val="00D543CF"/>
    <w:rsid w:val="00D574F5"/>
    <w:rsid w:val="00D76F83"/>
    <w:rsid w:val="00D80E52"/>
    <w:rsid w:val="00D811EE"/>
    <w:rsid w:val="00D85511"/>
    <w:rsid w:val="00D86918"/>
    <w:rsid w:val="00D90CE7"/>
    <w:rsid w:val="00D93828"/>
    <w:rsid w:val="00D95713"/>
    <w:rsid w:val="00D972F0"/>
    <w:rsid w:val="00DB7C64"/>
    <w:rsid w:val="00DC035A"/>
    <w:rsid w:val="00DC3E15"/>
    <w:rsid w:val="00DC4A4A"/>
    <w:rsid w:val="00DC6B56"/>
    <w:rsid w:val="00DD66F8"/>
    <w:rsid w:val="00DD73BA"/>
    <w:rsid w:val="00DE49B9"/>
    <w:rsid w:val="00DF663D"/>
    <w:rsid w:val="00E00A99"/>
    <w:rsid w:val="00E126F8"/>
    <w:rsid w:val="00E21832"/>
    <w:rsid w:val="00E2229F"/>
    <w:rsid w:val="00E307CD"/>
    <w:rsid w:val="00E358E2"/>
    <w:rsid w:val="00E36D11"/>
    <w:rsid w:val="00E375D3"/>
    <w:rsid w:val="00E5373E"/>
    <w:rsid w:val="00E54DF8"/>
    <w:rsid w:val="00E55D4F"/>
    <w:rsid w:val="00E575F2"/>
    <w:rsid w:val="00E6041B"/>
    <w:rsid w:val="00E608A8"/>
    <w:rsid w:val="00E646B1"/>
    <w:rsid w:val="00E65DCB"/>
    <w:rsid w:val="00E70031"/>
    <w:rsid w:val="00E7065F"/>
    <w:rsid w:val="00E812DB"/>
    <w:rsid w:val="00E83AEE"/>
    <w:rsid w:val="00E852D3"/>
    <w:rsid w:val="00E91144"/>
    <w:rsid w:val="00E947B4"/>
    <w:rsid w:val="00EA1390"/>
    <w:rsid w:val="00EA3F2D"/>
    <w:rsid w:val="00EA3F32"/>
    <w:rsid w:val="00EA499D"/>
    <w:rsid w:val="00EB043A"/>
    <w:rsid w:val="00EB240E"/>
    <w:rsid w:val="00EB37FF"/>
    <w:rsid w:val="00EC13B4"/>
    <w:rsid w:val="00ED3D91"/>
    <w:rsid w:val="00EE453D"/>
    <w:rsid w:val="00EE5EDC"/>
    <w:rsid w:val="00EE7265"/>
    <w:rsid w:val="00EE7BC6"/>
    <w:rsid w:val="00EF135A"/>
    <w:rsid w:val="00EF2B88"/>
    <w:rsid w:val="00EF3C0A"/>
    <w:rsid w:val="00EF45EA"/>
    <w:rsid w:val="00F03619"/>
    <w:rsid w:val="00F13E5D"/>
    <w:rsid w:val="00F15222"/>
    <w:rsid w:val="00F153F2"/>
    <w:rsid w:val="00F170F3"/>
    <w:rsid w:val="00F206A8"/>
    <w:rsid w:val="00F2429D"/>
    <w:rsid w:val="00F25A78"/>
    <w:rsid w:val="00F27197"/>
    <w:rsid w:val="00F33593"/>
    <w:rsid w:val="00F37B36"/>
    <w:rsid w:val="00F37D39"/>
    <w:rsid w:val="00F42C0D"/>
    <w:rsid w:val="00F4507F"/>
    <w:rsid w:val="00F45436"/>
    <w:rsid w:val="00F53CDB"/>
    <w:rsid w:val="00F5429D"/>
    <w:rsid w:val="00F60A50"/>
    <w:rsid w:val="00F60CFD"/>
    <w:rsid w:val="00F67656"/>
    <w:rsid w:val="00F72364"/>
    <w:rsid w:val="00F820E5"/>
    <w:rsid w:val="00F8243B"/>
    <w:rsid w:val="00F85A82"/>
    <w:rsid w:val="00F97A90"/>
    <w:rsid w:val="00FA0938"/>
    <w:rsid w:val="00FA1DA8"/>
    <w:rsid w:val="00FA2880"/>
    <w:rsid w:val="00FB3A64"/>
    <w:rsid w:val="00FB3BCA"/>
    <w:rsid w:val="00FB47AF"/>
    <w:rsid w:val="00FB78CE"/>
    <w:rsid w:val="00FD32FA"/>
    <w:rsid w:val="00FE274F"/>
    <w:rsid w:val="00FE6E28"/>
    <w:rsid w:val="00FE79E2"/>
    <w:rsid w:val="00FF0112"/>
    <w:rsid w:val="00FF4F5E"/>
    <w:rsid w:val="00FF64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DA6AD"/>
  <w15:docId w15:val="{758D7F29-2EF6-4F56-A2BE-D0DC917AB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qFormat/>
    <w:rsid w:val="00EE45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Titre1"/>
    <w:next w:val="Normal"/>
    <w:link w:val="Titre2Car"/>
    <w:qFormat/>
    <w:rsid w:val="00EE453D"/>
    <w:pPr>
      <w:keepLines w:val="0"/>
      <w:spacing w:before="360" w:after="120" w:line="240" w:lineRule="auto"/>
      <w:ind w:left="624" w:hanging="624"/>
      <w:outlineLvl w:val="1"/>
    </w:pPr>
    <w:rPr>
      <w:rFonts w:ascii="Arial" w:eastAsia="Times New Roman" w:hAnsi="Arial" w:cs="Times New Roman"/>
      <w:b w:val="0"/>
      <w:bCs w:val="0"/>
      <w:color w:val="auto"/>
      <w:sz w:val="32"/>
      <w:szCs w:val="20"/>
    </w:rPr>
  </w:style>
  <w:style w:type="paragraph" w:styleId="Titre3">
    <w:name w:val="heading 3"/>
    <w:basedOn w:val="Titre2"/>
    <w:next w:val="Normal"/>
    <w:link w:val="Titre3Car"/>
    <w:qFormat/>
    <w:rsid w:val="00EE453D"/>
    <w:pPr>
      <w:ind w:left="680" w:hanging="680"/>
      <w:outlineLvl w:val="2"/>
    </w:pPr>
    <w:rPr>
      <w:b/>
      <w:sz w:val="24"/>
    </w:rPr>
  </w:style>
  <w:style w:type="paragraph" w:styleId="Titre4">
    <w:name w:val="heading 4"/>
    <w:basedOn w:val="Titre3"/>
    <w:next w:val="Normal"/>
    <w:link w:val="Titre4Car"/>
    <w:qFormat/>
    <w:rsid w:val="00EE453D"/>
    <w:pPr>
      <w:spacing w:before="240"/>
      <w:ind w:left="794" w:hanging="794"/>
      <w:outlineLvl w:val="3"/>
    </w:pPr>
    <w:rPr>
      <w:b w:val="0"/>
      <w:sz w:val="22"/>
    </w:rPr>
  </w:style>
  <w:style w:type="paragraph" w:styleId="Titre5">
    <w:name w:val="heading 5"/>
    <w:basedOn w:val="Titre4"/>
    <w:link w:val="Titre5Car"/>
    <w:qFormat/>
    <w:rsid w:val="00EE453D"/>
    <w:p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5672C"/>
    <w:rPr>
      <w:rFonts w:asciiTheme="majorHAnsi" w:eastAsiaTheme="majorEastAsia" w:hAnsiTheme="majorHAnsi" w:cstheme="majorBidi"/>
      <w:b/>
      <w:bCs/>
      <w:color w:val="365F91" w:themeColor="accent1" w:themeShade="BF"/>
      <w:sz w:val="28"/>
      <w:szCs w:val="28"/>
    </w:rPr>
  </w:style>
  <w:style w:type="table" w:styleId="Grilledutableau">
    <w:name w:val="Table Grid"/>
    <w:basedOn w:val="TableauNormal"/>
    <w:uiPriority w:val="59"/>
    <w:rsid w:val="009567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unhideWhenUsed/>
    <w:rsid w:val="009567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95672C"/>
    <w:rPr>
      <w:rFonts w:ascii="Tahoma" w:hAnsi="Tahoma" w:cs="Tahoma"/>
      <w:sz w:val="16"/>
      <w:szCs w:val="16"/>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sid w:val="0095672C"/>
    <w:rPr>
      <w:sz w:val="20"/>
      <w:szCs w:val="20"/>
    </w:rPr>
  </w:style>
  <w:style w:type="paragraph" w:styleId="Objetducommentaire">
    <w:name w:val="annotation subject"/>
    <w:basedOn w:val="Commentaire"/>
    <w:next w:val="Commentaire"/>
    <w:link w:val="ObjetducommentaireCar"/>
    <w:unhideWhenUsed/>
    <w:rsid w:val="0095672C"/>
    <w:rPr>
      <w:b/>
      <w:bCs/>
    </w:rPr>
  </w:style>
  <w:style w:type="character" w:customStyle="1" w:styleId="ObjetducommentaireCar">
    <w:name w:val="Objet du commentaire Car"/>
    <w:basedOn w:val="CommentaireCar"/>
    <w:link w:val="Objetducommentaire"/>
    <w:uiPriority w:val="99"/>
    <w:rsid w:val="0095672C"/>
    <w:rPr>
      <w:b/>
      <w:bCs/>
      <w:sz w:val="20"/>
      <w:szCs w:val="20"/>
    </w:rPr>
  </w:style>
  <w:style w:type="paragraph" w:styleId="Rvision">
    <w:name w:val="Revision"/>
    <w:hidden/>
    <w:uiPriority w:val="99"/>
    <w:semiHidden/>
    <w:rsid w:val="0095672C"/>
    <w:pPr>
      <w:spacing w:after="0" w:line="240" w:lineRule="auto"/>
    </w:pPr>
  </w:style>
  <w:style w:type="paragraph" w:styleId="Sansinterligne">
    <w:name w:val="No Spacing"/>
    <w:uiPriority w:val="1"/>
    <w:qFormat/>
    <w:rsid w:val="0095672C"/>
    <w:pPr>
      <w:spacing w:after="0" w:line="240" w:lineRule="auto"/>
    </w:pPr>
  </w:style>
  <w:style w:type="character" w:customStyle="1" w:styleId="BalloonTextChar1">
    <w:name w:val="Balloon Text Char1"/>
    <w:basedOn w:val="Policepardfaut"/>
    <w:uiPriority w:val="99"/>
    <w:semiHidden/>
    <w:rsid w:val="0095672C"/>
    <w:rPr>
      <w:rFonts w:ascii="Tahoma" w:hAnsi="Tahoma" w:cs="Tahoma"/>
      <w:sz w:val="16"/>
      <w:szCs w:val="16"/>
    </w:rPr>
  </w:style>
  <w:style w:type="character" w:customStyle="1" w:styleId="CommentTextChar1">
    <w:name w:val="Comment Text Char1"/>
    <w:basedOn w:val="Policepardfaut"/>
    <w:uiPriority w:val="99"/>
    <w:semiHidden/>
    <w:rsid w:val="0095672C"/>
    <w:rPr>
      <w:sz w:val="20"/>
      <w:szCs w:val="20"/>
    </w:rPr>
  </w:style>
  <w:style w:type="character" w:customStyle="1" w:styleId="CommentSubjectChar1">
    <w:name w:val="Comment Subject Char1"/>
    <w:basedOn w:val="CommentaireCar"/>
    <w:uiPriority w:val="99"/>
    <w:semiHidden/>
    <w:rsid w:val="0095672C"/>
    <w:rPr>
      <w:b/>
      <w:bCs/>
      <w:sz w:val="20"/>
      <w:szCs w:val="20"/>
    </w:rPr>
  </w:style>
  <w:style w:type="character" w:customStyle="1" w:styleId="Titre2Car">
    <w:name w:val="Titre 2 Car"/>
    <w:basedOn w:val="Policepardfaut"/>
    <w:link w:val="Titre2"/>
    <w:rsid w:val="0095672C"/>
    <w:rPr>
      <w:rFonts w:ascii="Arial" w:eastAsia="Times New Roman" w:hAnsi="Arial" w:cs="Times New Roman"/>
      <w:sz w:val="32"/>
      <w:szCs w:val="20"/>
      <w:lang w:val="fr-FR" w:eastAsia="fr-FR"/>
    </w:rPr>
  </w:style>
  <w:style w:type="character" w:customStyle="1" w:styleId="Titre3Car">
    <w:name w:val="Titre 3 Car"/>
    <w:basedOn w:val="Policepardfaut"/>
    <w:link w:val="Titre3"/>
    <w:rsid w:val="0095672C"/>
    <w:rPr>
      <w:rFonts w:ascii="Arial" w:eastAsia="Times New Roman" w:hAnsi="Arial" w:cs="Times New Roman"/>
      <w:b/>
      <w:sz w:val="24"/>
      <w:szCs w:val="20"/>
      <w:lang w:val="fr-FR" w:eastAsia="fr-FR"/>
    </w:rPr>
  </w:style>
  <w:style w:type="character" w:customStyle="1" w:styleId="Titre4Car">
    <w:name w:val="Titre 4 Car"/>
    <w:basedOn w:val="Policepardfaut"/>
    <w:link w:val="Titre4"/>
    <w:rsid w:val="0095672C"/>
    <w:rPr>
      <w:rFonts w:ascii="Arial" w:eastAsia="Times New Roman" w:hAnsi="Arial" w:cs="Times New Roman"/>
      <w:szCs w:val="20"/>
      <w:lang w:val="fr-FR" w:eastAsia="fr-FR"/>
    </w:rPr>
  </w:style>
  <w:style w:type="character" w:customStyle="1" w:styleId="Titre5Car">
    <w:name w:val="Titre 5 Car"/>
    <w:basedOn w:val="Policepardfaut"/>
    <w:link w:val="Titre5"/>
    <w:rsid w:val="0095672C"/>
    <w:rPr>
      <w:rFonts w:ascii="Times New Roman" w:eastAsia="Times New Roman" w:hAnsi="Times New Roman" w:cs="Times New Roman"/>
      <w:b/>
      <w:i/>
      <w:szCs w:val="20"/>
      <w:lang w:val="fr-FR" w:eastAsia="fr-FR"/>
    </w:rPr>
  </w:style>
  <w:style w:type="character" w:styleId="Appelnotedebasdep">
    <w:name w:val="footnote reference"/>
    <w:basedOn w:val="Policepardfaut"/>
    <w:semiHidden/>
    <w:rsid w:val="0095672C"/>
    <w:rPr>
      <w:rFonts w:ascii="Times New Roman" w:hAnsi="Times New Roman"/>
      <w:position w:val="6"/>
      <w:sz w:val="12"/>
      <w:bdr w:val="none" w:sz="0" w:space="0" w:color="auto"/>
    </w:rPr>
  </w:style>
  <w:style w:type="paragraph" w:styleId="En-tte">
    <w:name w:val="header"/>
    <w:basedOn w:val="Normal"/>
    <w:link w:val="En-tteCar"/>
    <w:uiPriority w:val="99"/>
    <w:rsid w:val="0095672C"/>
    <w:pPr>
      <w:pBdr>
        <w:bottom w:val="single" w:sz="6" w:space="2" w:color="auto"/>
      </w:pBdr>
      <w:tabs>
        <w:tab w:val="right" w:pos="8222"/>
      </w:tabs>
      <w:spacing w:after="0" w:line="240" w:lineRule="auto"/>
      <w:jc w:val="both"/>
    </w:pPr>
    <w:rPr>
      <w:rFonts w:ascii="Times New Roman" w:eastAsia="Times New Roman" w:hAnsi="Times New Roman" w:cs="Times New Roman"/>
      <w:sz w:val="18"/>
      <w:szCs w:val="20"/>
    </w:rPr>
  </w:style>
  <w:style w:type="character" w:customStyle="1" w:styleId="En-tteCar">
    <w:name w:val="En-tête Car"/>
    <w:basedOn w:val="Policepardfaut"/>
    <w:link w:val="En-tte"/>
    <w:uiPriority w:val="99"/>
    <w:rsid w:val="0095672C"/>
    <w:rPr>
      <w:rFonts w:ascii="Times New Roman" w:eastAsia="Times New Roman" w:hAnsi="Times New Roman" w:cs="Times New Roman"/>
      <w:sz w:val="18"/>
      <w:szCs w:val="20"/>
      <w:lang w:val="fr-FR" w:eastAsia="fr-FR"/>
    </w:rPr>
  </w:style>
  <w:style w:type="paragraph" w:styleId="Notedebasdepage">
    <w:name w:val="footnote text"/>
    <w:basedOn w:val="Normal"/>
    <w:link w:val="NotedebasdepageCar"/>
    <w:semiHidden/>
    <w:rsid w:val="0095672C"/>
    <w:pPr>
      <w:spacing w:before="40" w:after="40" w:line="240" w:lineRule="auto"/>
      <w:ind w:left="170" w:right="851" w:hanging="170"/>
      <w:jc w:val="both"/>
    </w:pPr>
    <w:rPr>
      <w:rFonts w:ascii="Times New Roman" w:eastAsia="Times New Roman" w:hAnsi="Times New Roman" w:cs="Times New Roman"/>
      <w:sz w:val="16"/>
      <w:szCs w:val="20"/>
    </w:rPr>
  </w:style>
  <w:style w:type="character" w:customStyle="1" w:styleId="NotedebasdepageCar">
    <w:name w:val="Note de bas de page Car"/>
    <w:basedOn w:val="Policepardfaut"/>
    <w:link w:val="Notedebasdepage"/>
    <w:semiHidden/>
    <w:rsid w:val="0095672C"/>
    <w:rPr>
      <w:rFonts w:ascii="Times New Roman" w:eastAsia="Times New Roman" w:hAnsi="Times New Roman" w:cs="Times New Roman"/>
      <w:sz w:val="16"/>
      <w:szCs w:val="20"/>
      <w:lang w:val="fr-FR" w:eastAsia="fr-FR"/>
    </w:rPr>
  </w:style>
  <w:style w:type="paragraph" w:styleId="Pieddepage">
    <w:name w:val="footer"/>
    <w:basedOn w:val="Normal"/>
    <w:link w:val="PieddepageCar"/>
    <w:rsid w:val="0095672C"/>
    <w:pPr>
      <w:pBdr>
        <w:top w:val="single" w:sz="6" w:space="2" w:color="auto"/>
      </w:pBdr>
      <w:tabs>
        <w:tab w:val="right" w:pos="8222"/>
      </w:tabs>
      <w:spacing w:after="0" w:line="240" w:lineRule="auto"/>
      <w:jc w:val="both"/>
    </w:pPr>
    <w:rPr>
      <w:rFonts w:ascii="Arial" w:eastAsia="Times New Roman" w:hAnsi="Arial" w:cs="Times New Roman"/>
      <w:sz w:val="18"/>
      <w:szCs w:val="20"/>
    </w:rPr>
  </w:style>
  <w:style w:type="character" w:customStyle="1" w:styleId="PieddepageCar">
    <w:name w:val="Pied de page Car"/>
    <w:basedOn w:val="Policepardfaut"/>
    <w:link w:val="Pieddepage"/>
    <w:uiPriority w:val="99"/>
    <w:rsid w:val="0095672C"/>
    <w:rPr>
      <w:rFonts w:ascii="Arial" w:eastAsia="Times New Roman" w:hAnsi="Arial" w:cs="Times New Roman"/>
      <w:sz w:val="18"/>
      <w:szCs w:val="20"/>
      <w:lang w:val="fr-FR" w:eastAsia="fr-FR"/>
    </w:rPr>
  </w:style>
  <w:style w:type="paragraph" w:styleId="TM1">
    <w:name w:val="toc 1"/>
    <w:basedOn w:val="Normal"/>
    <w:next w:val="Normal"/>
    <w:autoRedefine/>
    <w:semiHidden/>
    <w:rsid w:val="0095672C"/>
    <w:pPr>
      <w:tabs>
        <w:tab w:val="right" w:leader="dot" w:pos="8222"/>
      </w:tabs>
      <w:spacing w:before="240" w:after="60" w:line="240" w:lineRule="auto"/>
      <w:ind w:left="680" w:right="851" w:hanging="340"/>
      <w:jc w:val="both"/>
    </w:pPr>
    <w:rPr>
      <w:rFonts w:ascii="Arial" w:eastAsia="Times New Roman" w:hAnsi="Arial" w:cs="Times New Roman"/>
      <w:b/>
      <w:caps/>
      <w:sz w:val="24"/>
      <w:szCs w:val="20"/>
    </w:rPr>
  </w:style>
  <w:style w:type="paragraph" w:styleId="TM2">
    <w:name w:val="toc 2"/>
    <w:basedOn w:val="Normal"/>
    <w:next w:val="Normal"/>
    <w:autoRedefine/>
    <w:semiHidden/>
    <w:rsid w:val="0095672C"/>
    <w:pPr>
      <w:tabs>
        <w:tab w:val="right" w:leader="dot" w:pos="8222"/>
      </w:tabs>
      <w:spacing w:after="60" w:line="240" w:lineRule="auto"/>
      <w:ind w:left="1134" w:right="851" w:hanging="397"/>
    </w:pPr>
    <w:rPr>
      <w:rFonts w:ascii="Arial" w:eastAsia="Times New Roman" w:hAnsi="Arial" w:cs="Times New Roman"/>
      <w:caps/>
      <w:sz w:val="20"/>
      <w:szCs w:val="20"/>
    </w:rPr>
  </w:style>
  <w:style w:type="paragraph" w:styleId="TM3">
    <w:name w:val="toc 3"/>
    <w:basedOn w:val="Normal"/>
    <w:next w:val="Normal"/>
    <w:autoRedefine/>
    <w:semiHidden/>
    <w:rsid w:val="0095672C"/>
    <w:pPr>
      <w:tabs>
        <w:tab w:val="right" w:leader="dot" w:pos="8222"/>
      </w:tabs>
      <w:spacing w:after="60" w:line="240" w:lineRule="auto"/>
      <w:ind w:left="1871" w:right="851" w:hanging="567"/>
    </w:pPr>
    <w:rPr>
      <w:rFonts w:ascii="Arial" w:eastAsia="Times New Roman" w:hAnsi="Arial" w:cs="Times New Roman"/>
      <w:b/>
      <w:sz w:val="20"/>
      <w:szCs w:val="20"/>
    </w:rPr>
  </w:style>
  <w:style w:type="paragraph" w:styleId="TM4">
    <w:name w:val="toc 4"/>
    <w:basedOn w:val="Normal"/>
    <w:next w:val="Normal"/>
    <w:autoRedefine/>
    <w:semiHidden/>
    <w:rsid w:val="0095672C"/>
    <w:pPr>
      <w:tabs>
        <w:tab w:val="right" w:leader="dot" w:pos="8222"/>
      </w:tabs>
      <w:spacing w:after="60" w:line="240" w:lineRule="auto"/>
      <w:ind w:left="2552" w:right="851" w:hanging="624"/>
    </w:pPr>
    <w:rPr>
      <w:rFonts w:ascii="Times New Roman" w:eastAsia="Times New Roman" w:hAnsi="Times New Roman" w:cs="Times New Roman"/>
      <w:sz w:val="20"/>
      <w:szCs w:val="20"/>
    </w:rPr>
  </w:style>
  <w:style w:type="paragraph" w:styleId="TM5">
    <w:name w:val="toc 5"/>
    <w:basedOn w:val="Normal"/>
    <w:next w:val="Normal"/>
    <w:autoRedefine/>
    <w:semiHidden/>
    <w:rsid w:val="0095672C"/>
    <w:pPr>
      <w:tabs>
        <w:tab w:val="right" w:leader="dot" w:pos="8222"/>
      </w:tabs>
      <w:spacing w:after="0" w:line="240" w:lineRule="auto"/>
      <w:ind w:left="2381" w:right="851" w:hanging="113"/>
    </w:pPr>
    <w:rPr>
      <w:rFonts w:ascii="Times New Roman" w:eastAsia="Times New Roman" w:hAnsi="Times New Roman" w:cs="Times New Roman"/>
      <w:sz w:val="20"/>
      <w:szCs w:val="20"/>
    </w:rPr>
  </w:style>
  <w:style w:type="paragraph" w:styleId="Lgende">
    <w:name w:val="caption"/>
    <w:basedOn w:val="Normal"/>
    <w:next w:val="Normal"/>
    <w:qFormat/>
    <w:rsid w:val="0095672C"/>
    <w:pPr>
      <w:spacing w:after="0" w:line="240" w:lineRule="auto"/>
      <w:jc w:val="both"/>
    </w:pPr>
    <w:rPr>
      <w:rFonts w:ascii="Arial" w:eastAsia="Times New Roman" w:hAnsi="Arial" w:cs="Times New Roman"/>
      <w:b/>
      <w:sz w:val="20"/>
      <w:szCs w:val="20"/>
    </w:rPr>
  </w:style>
  <w:style w:type="paragraph" w:styleId="Titre">
    <w:name w:val="Title"/>
    <w:basedOn w:val="Normal"/>
    <w:next w:val="Normal"/>
    <w:link w:val="TitreCar"/>
    <w:autoRedefine/>
    <w:qFormat/>
    <w:rsid w:val="0095672C"/>
    <w:pPr>
      <w:pBdr>
        <w:bottom w:val="single" w:sz="8" w:space="4" w:color="4F81BD" w:themeColor="accent1"/>
      </w:pBdr>
      <w:spacing w:after="300" w:line="240" w:lineRule="auto"/>
      <w:contextualSpacing/>
      <w:jc w:val="both"/>
    </w:pPr>
    <w:rPr>
      <w:rFonts w:ascii="Arial" w:eastAsiaTheme="majorEastAsia" w:hAnsi="Arial" w:cstheme="majorBidi"/>
      <w:color w:val="17365D" w:themeColor="text2" w:themeShade="BF"/>
      <w:spacing w:val="5"/>
      <w:kern w:val="28"/>
      <w:sz w:val="52"/>
      <w:szCs w:val="52"/>
    </w:rPr>
  </w:style>
  <w:style w:type="character" w:customStyle="1" w:styleId="TitreCar">
    <w:name w:val="Titre Car"/>
    <w:basedOn w:val="Policepardfaut"/>
    <w:link w:val="Titre"/>
    <w:rsid w:val="0095672C"/>
    <w:rPr>
      <w:rFonts w:ascii="Arial" w:eastAsiaTheme="majorEastAsia" w:hAnsi="Arial" w:cstheme="majorBidi"/>
      <w:color w:val="17365D" w:themeColor="text2" w:themeShade="BF"/>
      <w:spacing w:val="5"/>
      <w:kern w:val="28"/>
      <w:sz w:val="52"/>
      <w:szCs w:val="52"/>
      <w:lang w:val="fr-FR" w:eastAsia="fr-FR"/>
    </w:rPr>
  </w:style>
  <w:style w:type="paragraph" w:customStyle="1" w:styleId="Default">
    <w:name w:val="Default"/>
    <w:rsid w:val="0095672C"/>
    <w:pPr>
      <w:autoSpaceDE w:val="0"/>
      <w:autoSpaceDN w:val="0"/>
      <w:adjustRightInd w:val="0"/>
      <w:spacing w:after="0" w:line="240" w:lineRule="auto"/>
    </w:pPr>
    <w:rPr>
      <w:rFonts w:ascii="Arial" w:eastAsia="Times New Roman" w:hAnsi="Arial" w:cs="Arial"/>
      <w:color w:val="000000"/>
      <w:sz w:val="24"/>
      <w:szCs w:val="24"/>
    </w:rPr>
  </w:style>
  <w:style w:type="paragraph" w:styleId="Paragraphedeliste">
    <w:name w:val="List Paragraph"/>
    <w:basedOn w:val="Normal"/>
    <w:uiPriority w:val="34"/>
    <w:qFormat/>
    <w:rsid w:val="0095672C"/>
    <w:pPr>
      <w:spacing w:after="0" w:line="240" w:lineRule="auto"/>
      <w:ind w:left="720"/>
      <w:contextualSpacing/>
      <w:jc w:val="both"/>
    </w:pPr>
    <w:rPr>
      <w:rFonts w:ascii="Times New Roman" w:eastAsia="Times New Roman" w:hAnsi="Times New Roman" w:cs="Times New Roman"/>
      <w:szCs w:val="20"/>
    </w:rPr>
  </w:style>
  <w:style w:type="paragraph" w:styleId="Textebrut">
    <w:name w:val="Plain Text"/>
    <w:basedOn w:val="Normal"/>
    <w:link w:val="TextebrutCar"/>
    <w:uiPriority w:val="99"/>
    <w:unhideWhenUsed/>
    <w:rsid w:val="0095672C"/>
    <w:pPr>
      <w:spacing w:after="0" w:line="240" w:lineRule="auto"/>
    </w:pPr>
    <w:rPr>
      <w:rFonts w:ascii="Calibri" w:eastAsia="Times New Roman" w:hAnsi="Calibri" w:cs="Times New Roman"/>
      <w:szCs w:val="21"/>
    </w:rPr>
  </w:style>
  <w:style w:type="character" w:customStyle="1" w:styleId="TextebrutCar">
    <w:name w:val="Texte brut Car"/>
    <w:basedOn w:val="Policepardfaut"/>
    <w:link w:val="Textebrut"/>
    <w:uiPriority w:val="99"/>
    <w:rsid w:val="0095672C"/>
    <w:rPr>
      <w:rFonts w:ascii="Calibri" w:eastAsia="Times New Roman" w:hAnsi="Calibri" w:cs="Times New Roman"/>
      <w:szCs w:val="21"/>
      <w:lang w:eastAsia="fr-FR"/>
    </w:rPr>
  </w:style>
  <w:style w:type="character" w:styleId="Lienhypertexte">
    <w:name w:val="Hyperlink"/>
    <w:basedOn w:val="Policepardfaut"/>
    <w:uiPriority w:val="99"/>
    <w:unhideWhenUsed/>
    <w:rsid w:val="0095672C"/>
    <w:rPr>
      <w:color w:val="0000FF"/>
      <w:u w:val="single"/>
    </w:rPr>
  </w:style>
  <w:style w:type="character" w:styleId="Lienhypertextesuivivisit">
    <w:name w:val="FollowedHyperlink"/>
    <w:basedOn w:val="Policepardfaut"/>
    <w:uiPriority w:val="99"/>
    <w:semiHidden/>
    <w:unhideWhenUsed/>
    <w:rsid w:val="0095672C"/>
    <w:rPr>
      <w:color w:val="800080"/>
      <w:u w:val="single"/>
    </w:rPr>
  </w:style>
  <w:style w:type="paragraph" w:customStyle="1" w:styleId="xl16814">
    <w:name w:val="xl16814"/>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5">
    <w:name w:val="xl16815"/>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16">
    <w:name w:val="xl16816"/>
    <w:basedOn w:val="Normal"/>
    <w:rsid w:val="0095672C"/>
    <w:pP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17">
    <w:name w:val="xl16817"/>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8">
    <w:name w:val="xl16818"/>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9">
    <w:name w:val="xl16819"/>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0">
    <w:name w:val="xl16820"/>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1">
    <w:name w:val="xl16821"/>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2">
    <w:name w:val="xl16822"/>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3">
    <w:name w:val="xl1682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sz w:val="24"/>
      <w:szCs w:val="24"/>
    </w:rPr>
  </w:style>
  <w:style w:type="paragraph" w:customStyle="1" w:styleId="xl16824">
    <w:name w:val="xl16824"/>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5">
    <w:name w:val="xl16825"/>
    <w:basedOn w:val="Normal"/>
    <w:rsid w:val="0095672C"/>
    <w:pPr>
      <w:shd w:val="clear" w:color="000000" w:fill="FFFFFF"/>
      <w:spacing w:before="100" w:beforeAutospacing="1" w:after="100" w:afterAutospacing="1" w:line="240" w:lineRule="auto"/>
      <w:jc w:val="center"/>
    </w:pPr>
    <w:rPr>
      <w:rFonts w:ascii="Verdana" w:eastAsia="Times New Roman" w:hAnsi="Verdana" w:cs="Times New Roman"/>
      <w:b/>
      <w:bCs/>
      <w:sz w:val="24"/>
      <w:szCs w:val="24"/>
    </w:rPr>
  </w:style>
  <w:style w:type="paragraph" w:customStyle="1" w:styleId="xl16826">
    <w:name w:val="xl16826"/>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27">
    <w:name w:val="xl16827"/>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8">
    <w:name w:val="xl16828"/>
    <w:basedOn w:val="Normal"/>
    <w:rsid w:val="0095672C"/>
    <w:pPr>
      <w:pBdr>
        <w:left w:val="single" w:sz="4" w:space="7"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29">
    <w:name w:val="xl16829"/>
    <w:basedOn w:val="Normal"/>
    <w:rsid w:val="0095672C"/>
    <w:pPr>
      <w:pBdr>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30">
    <w:name w:val="xl16830"/>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1">
    <w:name w:val="xl16831"/>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2">
    <w:name w:val="xl16832"/>
    <w:basedOn w:val="Normal"/>
    <w:rsid w:val="0095672C"/>
    <w:pPr>
      <w:pBdr>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3">
    <w:name w:val="xl1683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34">
    <w:name w:val="xl16834"/>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5">
    <w:name w:val="xl16835"/>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6">
    <w:name w:val="xl16836"/>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7">
    <w:name w:val="xl16837"/>
    <w:basedOn w:val="Normal"/>
    <w:rsid w:val="0095672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8">
    <w:name w:val="xl16838"/>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9">
    <w:name w:val="xl16839"/>
    <w:basedOn w:val="Normal"/>
    <w:rsid w:val="0095672C"/>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Verdana" w:eastAsia="Times New Roman" w:hAnsi="Verdana" w:cs="Times New Roman"/>
      <w:b/>
      <w:bCs/>
      <w:i/>
      <w:iCs/>
      <w:sz w:val="24"/>
      <w:szCs w:val="24"/>
    </w:rPr>
  </w:style>
  <w:style w:type="paragraph" w:customStyle="1" w:styleId="xl16840">
    <w:name w:val="xl16840"/>
    <w:basedOn w:val="Normal"/>
    <w:rsid w:val="0095672C"/>
    <w:pPr>
      <w:pBdr>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Rvision1">
    <w:name w:val="Révision1"/>
    <w:hidden/>
    <w:uiPriority w:val="99"/>
    <w:semiHidden/>
    <w:rsid w:val="000A55AA"/>
    <w:pPr>
      <w:spacing w:after="0" w:line="240" w:lineRule="auto"/>
    </w:pPr>
    <w:rPr>
      <w:rFonts w:ascii="Calibri" w:eastAsia="Calibri" w:hAnsi="Calibri" w:cs="Times New Roman"/>
    </w:rPr>
  </w:style>
  <w:style w:type="character" w:styleId="Numrodepage">
    <w:name w:val="page number"/>
    <w:basedOn w:val="Policepardfaut"/>
    <w:rsid w:val="000A55AA"/>
  </w:style>
  <w:style w:type="paragraph" w:styleId="NormalWeb">
    <w:name w:val="Normal (Web)"/>
    <w:basedOn w:val="Normal"/>
    <w:uiPriority w:val="99"/>
    <w:semiHidden/>
    <w:unhideWhenUsed/>
    <w:rsid w:val="00496908"/>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Paragraphedeliste1">
    <w:name w:val="Paragraphe de liste1"/>
    <w:basedOn w:val="Normal"/>
    <w:rsid w:val="00B33FD1"/>
    <w:pPr>
      <w:spacing w:after="0" w:line="240" w:lineRule="auto"/>
      <w:ind w:left="720"/>
      <w:contextualSpacing/>
      <w:jc w:val="both"/>
    </w:pPr>
    <w:rPr>
      <w:rFonts w:ascii="Times New Roman" w:hAnsi="Times New Roman"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44763">
      <w:bodyDiv w:val="1"/>
      <w:marLeft w:val="0"/>
      <w:marRight w:val="0"/>
      <w:marTop w:val="0"/>
      <w:marBottom w:val="0"/>
      <w:divBdr>
        <w:top w:val="none" w:sz="0" w:space="0" w:color="auto"/>
        <w:left w:val="none" w:sz="0" w:space="0" w:color="auto"/>
        <w:bottom w:val="none" w:sz="0" w:space="0" w:color="auto"/>
        <w:right w:val="none" w:sz="0" w:space="0" w:color="auto"/>
      </w:divBdr>
    </w:div>
    <w:div w:id="240918785">
      <w:bodyDiv w:val="1"/>
      <w:marLeft w:val="0"/>
      <w:marRight w:val="0"/>
      <w:marTop w:val="0"/>
      <w:marBottom w:val="0"/>
      <w:divBdr>
        <w:top w:val="none" w:sz="0" w:space="0" w:color="auto"/>
        <w:left w:val="none" w:sz="0" w:space="0" w:color="auto"/>
        <w:bottom w:val="none" w:sz="0" w:space="0" w:color="auto"/>
        <w:right w:val="none" w:sz="0" w:space="0" w:color="auto"/>
      </w:divBdr>
    </w:div>
    <w:div w:id="333842039">
      <w:bodyDiv w:val="1"/>
      <w:marLeft w:val="0"/>
      <w:marRight w:val="0"/>
      <w:marTop w:val="0"/>
      <w:marBottom w:val="0"/>
      <w:divBdr>
        <w:top w:val="none" w:sz="0" w:space="0" w:color="auto"/>
        <w:left w:val="none" w:sz="0" w:space="0" w:color="auto"/>
        <w:bottom w:val="none" w:sz="0" w:space="0" w:color="auto"/>
        <w:right w:val="none" w:sz="0" w:space="0" w:color="auto"/>
      </w:divBdr>
    </w:div>
    <w:div w:id="430980044">
      <w:bodyDiv w:val="1"/>
      <w:marLeft w:val="0"/>
      <w:marRight w:val="0"/>
      <w:marTop w:val="0"/>
      <w:marBottom w:val="0"/>
      <w:divBdr>
        <w:top w:val="none" w:sz="0" w:space="0" w:color="auto"/>
        <w:left w:val="none" w:sz="0" w:space="0" w:color="auto"/>
        <w:bottom w:val="none" w:sz="0" w:space="0" w:color="auto"/>
        <w:right w:val="none" w:sz="0" w:space="0" w:color="auto"/>
      </w:divBdr>
    </w:div>
    <w:div w:id="770205181">
      <w:bodyDiv w:val="1"/>
      <w:marLeft w:val="0"/>
      <w:marRight w:val="0"/>
      <w:marTop w:val="0"/>
      <w:marBottom w:val="0"/>
      <w:divBdr>
        <w:top w:val="none" w:sz="0" w:space="0" w:color="auto"/>
        <w:left w:val="none" w:sz="0" w:space="0" w:color="auto"/>
        <w:bottom w:val="none" w:sz="0" w:space="0" w:color="auto"/>
        <w:right w:val="none" w:sz="0" w:space="0" w:color="auto"/>
      </w:divBdr>
    </w:div>
    <w:div w:id="1085304842">
      <w:bodyDiv w:val="1"/>
      <w:marLeft w:val="0"/>
      <w:marRight w:val="0"/>
      <w:marTop w:val="0"/>
      <w:marBottom w:val="0"/>
      <w:divBdr>
        <w:top w:val="none" w:sz="0" w:space="0" w:color="auto"/>
        <w:left w:val="none" w:sz="0" w:space="0" w:color="auto"/>
        <w:bottom w:val="none" w:sz="0" w:space="0" w:color="auto"/>
        <w:right w:val="none" w:sz="0" w:space="0" w:color="auto"/>
      </w:divBdr>
    </w:div>
    <w:div w:id="1170097678">
      <w:bodyDiv w:val="1"/>
      <w:marLeft w:val="0"/>
      <w:marRight w:val="0"/>
      <w:marTop w:val="0"/>
      <w:marBottom w:val="0"/>
      <w:divBdr>
        <w:top w:val="none" w:sz="0" w:space="0" w:color="auto"/>
        <w:left w:val="none" w:sz="0" w:space="0" w:color="auto"/>
        <w:bottom w:val="none" w:sz="0" w:space="0" w:color="auto"/>
        <w:right w:val="none" w:sz="0" w:space="0" w:color="auto"/>
      </w:divBdr>
    </w:div>
    <w:div w:id="1215311206">
      <w:bodyDiv w:val="1"/>
      <w:marLeft w:val="0"/>
      <w:marRight w:val="0"/>
      <w:marTop w:val="0"/>
      <w:marBottom w:val="0"/>
      <w:divBdr>
        <w:top w:val="none" w:sz="0" w:space="0" w:color="auto"/>
        <w:left w:val="none" w:sz="0" w:space="0" w:color="auto"/>
        <w:bottom w:val="none" w:sz="0" w:space="0" w:color="auto"/>
        <w:right w:val="none" w:sz="0" w:space="0" w:color="auto"/>
      </w:divBdr>
    </w:div>
    <w:div w:id="1254506931">
      <w:bodyDiv w:val="1"/>
      <w:marLeft w:val="0"/>
      <w:marRight w:val="0"/>
      <w:marTop w:val="0"/>
      <w:marBottom w:val="0"/>
      <w:divBdr>
        <w:top w:val="none" w:sz="0" w:space="0" w:color="auto"/>
        <w:left w:val="none" w:sz="0" w:space="0" w:color="auto"/>
        <w:bottom w:val="none" w:sz="0" w:space="0" w:color="auto"/>
        <w:right w:val="none" w:sz="0" w:space="0" w:color="auto"/>
      </w:divBdr>
    </w:div>
    <w:div w:id="1278291708">
      <w:bodyDiv w:val="1"/>
      <w:marLeft w:val="0"/>
      <w:marRight w:val="0"/>
      <w:marTop w:val="0"/>
      <w:marBottom w:val="0"/>
      <w:divBdr>
        <w:top w:val="none" w:sz="0" w:space="0" w:color="auto"/>
        <w:left w:val="none" w:sz="0" w:space="0" w:color="auto"/>
        <w:bottom w:val="none" w:sz="0" w:space="0" w:color="auto"/>
        <w:right w:val="none" w:sz="0" w:space="0" w:color="auto"/>
      </w:divBdr>
    </w:div>
    <w:div w:id="1390766289">
      <w:bodyDiv w:val="1"/>
      <w:marLeft w:val="0"/>
      <w:marRight w:val="0"/>
      <w:marTop w:val="0"/>
      <w:marBottom w:val="0"/>
      <w:divBdr>
        <w:top w:val="none" w:sz="0" w:space="0" w:color="auto"/>
        <w:left w:val="none" w:sz="0" w:space="0" w:color="auto"/>
        <w:bottom w:val="none" w:sz="0" w:space="0" w:color="auto"/>
        <w:right w:val="none" w:sz="0" w:space="0" w:color="auto"/>
      </w:divBdr>
    </w:div>
    <w:div w:id="1532918217">
      <w:bodyDiv w:val="1"/>
      <w:marLeft w:val="0"/>
      <w:marRight w:val="0"/>
      <w:marTop w:val="0"/>
      <w:marBottom w:val="0"/>
      <w:divBdr>
        <w:top w:val="none" w:sz="0" w:space="0" w:color="auto"/>
        <w:left w:val="none" w:sz="0" w:space="0" w:color="auto"/>
        <w:bottom w:val="none" w:sz="0" w:space="0" w:color="auto"/>
        <w:right w:val="none" w:sz="0" w:space="0" w:color="auto"/>
      </w:divBdr>
    </w:div>
    <w:div w:id="1789660798">
      <w:bodyDiv w:val="1"/>
      <w:marLeft w:val="0"/>
      <w:marRight w:val="0"/>
      <w:marTop w:val="0"/>
      <w:marBottom w:val="0"/>
      <w:divBdr>
        <w:top w:val="none" w:sz="0" w:space="0" w:color="auto"/>
        <w:left w:val="none" w:sz="0" w:space="0" w:color="auto"/>
        <w:bottom w:val="none" w:sz="0" w:space="0" w:color="auto"/>
        <w:right w:val="none" w:sz="0" w:space="0" w:color="auto"/>
      </w:divBdr>
    </w:div>
    <w:div w:id="1818035313">
      <w:bodyDiv w:val="1"/>
      <w:marLeft w:val="0"/>
      <w:marRight w:val="0"/>
      <w:marTop w:val="0"/>
      <w:marBottom w:val="0"/>
      <w:divBdr>
        <w:top w:val="none" w:sz="0" w:space="0" w:color="auto"/>
        <w:left w:val="none" w:sz="0" w:space="0" w:color="auto"/>
        <w:bottom w:val="none" w:sz="0" w:space="0" w:color="auto"/>
        <w:right w:val="none" w:sz="0" w:space="0" w:color="auto"/>
      </w:divBdr>
    </w:div>
    <w:div w:id="1938831602">
      <w:bodyDiv w:val="1"/>
      <w:marLeft w:val="0"/>
      <w:marRight w:val="0"/>
      <w:marTop w:val="0"/>
      <w:marBottom w:val="0"/>
      <w:divBdr>
        <w:top w:val="none" w:sz="0" w:space="0" w:color="auto"/>
        <w:left w:val="none" w:sz="0" w:space="0" w:color="auto"/>
        <w:bottom w:val="none" w:sz="0" w:space="0" w:color="auto"/>
        <w:right w:val="none" w:sz="0" w:space="0" w:color="auto"/>
      </w:divBdr>
    </w:div>
    <w:div w:id="2002193699">
      <w:bodyDiv w:val="1"/>
      <w:marLeft w:val="0"/>
      <w:marRight w:val="0"/>
      <w:marTop w:val="0"/>
      <w:marBottom w:val="0"/>
      <w:divBdr>
        <w:top w:val="none" w:sz="0" w:space="0" w:color="auto"/>
        <w:left w:val="none" w:sz="0" w:space="0" w:color="auto"/>
        <w:bottom w:val="none" w:sz="0" w:space="0" w:color="auto"/>
        <w:right w:val="none" w:sz="0" w:space="0" w:color="auto"/>
      </w:divBdr>
    </w:div>
    <w:div w:id="2057241600">
      <w:bodyDiv w:val="1"/>
      <w:marLeft w:val="0"/>
      <w:marRight w:val="0"/>
      <w:marTop w:val="0"/>
      <w:marBottom w:val="0"/>
      <w:divBdr>
        <w:top w:val="none" w:sz="0" w:space="0" w:color="auto"/>
        <w:left w:val="none" w:sz="0" w:space="0" w:color="auto"/>
        <w:bottom w:val="none" w:sz="0" w:space="0" w:color="auto"/>
        <w:right w:val="none" w:sz="0" w:space="0" w:color="auto"/>
      </w:divBdr>
    </w:div>
    <w:div w:id="2066640465">
      <w:bodyDiv w:val="1"/>
      <w:marLeft w:val="0"/>
      <w:marRight w:val="0"/>
      <w:marTop w:val="0"/>
      <w:marBottom w:val="0"/>
      <w:divBdr>
        <w:top w:val="none" w:sz="0" w:space="0" w:color="auto"/>
        <w:left w:val="none" w:sz="0" w:space="0" w:color="auto"/>
        <w:bottom w:val="none" w:sz="0" w:space="0" w:color="auto"/>
        <w:right w:val="none" w:sz="0" w:space="0" w:color="auto"/>
      </w:divBdr>
    </w:div>
    <w:div w:id="2089956427">
      <w:bodyDiv w:val="1"/>
      <w:marLeft w:val="0"/>
      <w:marRight w:val="0"/>
      <w:marTop w:val="0"/>
      <w:marBottom w:val="0"/>
      <w:divBdr>
        <w:top w:val="none" w:sz="0" w:space="0" w:color="auto"/>
        <w:left w:val="none" w:sz="0" w:space="0" w:color="auto"/>
        <w:bottom w:val="none" w:sz="0" w:space="0" w:color="auto"/>
        <w:right w:val="none" w:sz="0" w:space="0" w:color="auto"/>
      </w:divBdr>
      <w:divsChild>
        <w:div w:id="595093087">
          <w:marLeft w:val="0"/>
          <w:marRight w:val="0"/>
          <w:marTop w:val="0"/>
          <w:marBottom w:val="0"/>
          <w:divBdr>
            <w:top w:val="none" w:sz="0" w:space="0" w:color="auto"/>
            <w:left w:val="none" w:sz="0" w:space="0" w:color="auto"/>
            <w:bottom w:val="none" w:sz="0" w:space="0" w:color="auto"/>
            <w:right w:val="none" w:sz="0" w:space="0" w:color="auto"/>
          </w:divBdr>
          <w:divsChild>
            <w:div w:id="1765566836">
              <w:marLeft w:val="0"/>
              <w:marRight w:val="0"/>
              <w:marTop w:val="0"/>
              <w:marBottom w:val="0"/>
              <w:divBdr>
                <w:top w:val="none" w:sz="0" w:space="0" w:color="auto"/>
                <w:left w:val="none" w:sz="0" w:space="0" w:color="auto"/>
                <w:bottom w:val="none" w:sz="0" w:space="0" w:color="auto"/>
                <w:right w:val="none" w:sz="0" w:space="0" w:color="auto"/>
              </w:divBdr>
              <w:divsChild>
                <w:div w:id="2050832704">
                  <w:marLeft w:val="0"/>
                  <w:marRight w:val="0"/>
                  <w:marTop w:val="0"/>
                  <w:marBottom w:val="0"/>
                  <w:divBdr>
                    <w:top w:val="none" w:sz="0" w:space="0" w:color="auto"/>
                    <w:left w:val="none" w:sz="0" w:space="0" w:color="auto"/>
                    <w:bottom w:val="none" w:sz="0" w:space="0" w:color="auto"/>
                    <w:right w:val="none" w:sz="0" w:space="0" w:color="auto"/>
                  </w:divBdr>
                  <w:divsChild>
                    <w:div w:id="13700974">
                      <w:marLeft w:val="0"/>
                      <w:marRight w:val="0"/>
                      <w:marTop w:val="0"/>
                      <w:marBottom w:val="0"/>
                      <w:divBdr>
                        <w:top w:val="none" w:sz="0" w:space="0" w:color="auto"/>
                        <w:left w:val="none" w:sz="0" w:space="0" w:color="auto"/>
                        <w:bottom w:val="none" w:sz="0" w:space="0" w:color="auto"/>
                        <w:right w:val="none" w:sz="0" w:space="0" w:color="auto"/>
                      </w:divBdr>
                      <w:divsChild>
                        <w:div w:id="51781964">
                          <w:marLeft w:val="0"/>
                          <w:marRight w:val="0"/>
                          <w:marTop w:val="0"/>
                          <w:marBottom w:val="0"/>
                          <w:divBdr>
                            <w:top w:val="none" w:sz="0" w:space="0" w:color="auto"/>
                            <w:left w:val="none" w:sz="0" w:space="0" w:color="auto"/>
                            <w:bottom w:val="none" w:sz="0" w:space="0" w:color="auto"/>
                            <w:right w:val="none" w:sz="0" w:space="0" w:color="auto"/>
                          </w:divBdr>
                          <w:divsChild>
                            <w:div w:id="1086654685">
                              <w:marLeft w:val="0"/>
                              <w:marRight w:val="0"/>
                              <w:marTop w:val="0"/>
                              <w:marBottom w:val="0"/>
                              <w:divBdr>
                                <w:top w:val="none" w:sz="0" w:space="0" w:color="auto"/>
                                <w:left w:val="none" w:sz="0" w:space="0" w:color="auto"/>
                                <w:bottom w:val="none" w:sz="0" w:space="0" w:color="auto"/>
                                <w:right w:val="none" w:sz="0" w:space="0" w:color="auto"/>
                              </w:divBdr>
                              <w:divsChild>
                                <w:div w:id="30154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3F505-ACB5-486F-A46D-6606404041F9}">
  <ds:schemaRefs/>
</ds:datastoreItem>
</file>

<file path=customXml/itemProps2.xml><?xml version="1.0" encoding="utf-8"?>
<ds:datastoreItem xmlns:ds="http://schemas.openxmlformats.org/officeDocument/2006/customXml" ds:itemID="{6C326B08-F335-46BC-A698-6AC60670C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3180</Words>
  <Characters>17490</Characters>
  <Application>Microsoft Office Word</Application>
  <DocSecurity>0</DocSecurity>
  <Lines>145</Lines>
  <Paragraphs>41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20629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GONZALEZ GARCIA Ricardo (MARKT)</dc:creator>
  <cp:lastModifiedBy>DIAGNE Afissa-Elodie (SGACPR DAI)</cp:lastModifiedBy>
  <cp:revision>2</cp:revision>
  <dcterms:created xsi:type="dcterms:W3CDTF">2024-03-12T09:08:00Z</dcterms:created>
  <dcterms:modified xsi:type="dcterms:W3CDTF">2024-03-12T09:08:00Z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