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3C199" w14:textId="77777777" w:rsidR="002A379C" w:rsidRDefault="00F45026" w:rsidP="002A379C">
      <w:r>
        <w:rPr>
          <w:rFonts w:ascii="Calibri" w:hAnsi="Calibri" w:cs="Calibri"/>
          <w:noProof/>
          <w:color w:val="1F497D"/>
          <w:lang w:eastAsia="fr-FR"/>
        </w:rPr>
        <w:drawing>
          <wp:inline distT="0" distB="0" distL="0" distR="0" wp14:anchorId="6863C4F7" wp14:editId="6863C4F8">
            <wp:extent cx="862330" cy="767715"/>
            <wp:effectExtent l="0" t="0" r="0" b="0"/>
            <wp:docPr id="1" name="Image 1" descr="ACPR 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PR BD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862330" cy="767715"/>
                    </a:xfrm>
                    <a:prstGeom prst="rect">
                      <a:avLst/>
                    </a:prstGeom>
                    <a:noFill/>
                    <a:ln>
                      <a:noFill/>
                    </a:ln>
                  </pic:spPr>
                </pic:pic>
              </a:graphicData>
            </a:graphic>
          </wp:inline>
        </w:drawing>
      </w:r>
    </w:p>
    <w:p w14:paraId="6863C19A" w14:textId="77777777" w:rsidR="00B36ED6" w:rsidRPr="00775EA8" w:rsidRDefault="00B36ED6" w:rsidP="002A379C"/>
    <w:p w14:paraId="6863C19B" w14:textId="77777777" w:rsidR="002A379C" w:rsidRPr="007A3845" w:rsidRDefault="008604F1" w:rsidP="002A379C">
      <w:pPr>
        <w:jc w:val="center"/>
        <w:rPr>
          <w:rFonts w:ascii="Arial" w:hAnsi="Arial" w:cs="Arial"/>
          <w:b/>
          <w:color w:val="003B8E"/>
          <w:sz w:val="32"/>
          <w:szCs w:val="32"/>
        </w:rPr>
      </w:pPr>
      <w:r>
        <w:rPr>
          <w:rFonts w:ascii="Arial" w:hAnsi="Arial" w:cs="Arial"/>
          <w:b/>
          <w:color w:val="003B8E"/>
          <w:sz w:val="32"/>
          <w:szCs w:val="32"/>
        </w:rPr>
        <w:t>Guide méthodologique</w:t>
      </w:r>
    </w:p>
    <w:p w14:paraId="6863C19D" w14:textId="1D6157AF" w:rsidR="002A379C" w:rsidRPr="00B8741D" w:rsidRDefault="002A379C" w:rsidP="00B8741D">
      <w:pPr>
        <w:jc w:val="center"/>
        <w:rPr>
          <w:rFonts w:ascii="Arial" w:hAnsi="Arial" w:cs="Arial"/>
          <w:b/>
          <w:color w:val="003B8E"/>
          <w:sz w:val="32"/>
          <w:szCs w:val="32"/>
        </w:rPr>
      </w:pPr>
      <w:r w:rsidRPr="007A3845">
        <w:rPr>
          <w:rFonts w:ascii="Arial" w:hAnsi="Arial" w:cs="Arial"/>
          <w:b/>
          <w:color w:val="003B8E"/>
          <w:sz w:val="32"/>
          <w:szCs w:val="32"/>
        </w:rPr>
        <w:t xml:space="preserve">Utilisation de l’état de </w:t>
      </w:r>
      <w:r w:rsidR="00551A55">
        <w:rPr>
          <w:rFonts w:ascii="Arial" w:hAnsi="Arial" w:cs="Arial"/>
          <w:b/>
          <w:color w:val="003B8E"/>
          <w:sz w:val="32"/>
          <w:szCs w:val="32"/>
        </w:rPr>
        <w:t>suivi de l’activité en substitution</w:t>
      </w:r>
      <w:r w:rsidRPr="007A3845">
        <w:rPr>
          <w:rFonts w:ascii="Arial" w:hAnsi="Arial" w:cs="Arial"/>
          <w:b/>
          <w:color w:val="003B8E"/>
          <w:sz w:val="32"/>
          <w:szCs w:val="32"/>
        </w:rPr>
        <w:t xml:space="preserve"> –</w:t>
      </w:r>
      <w:r w:rsidR="00091A03">
        <w:rPr>
          <w:rFonts w:ascii="Arial" w:hAnsi="Arial" w:cs="Arial"/>
          <w:b/>
          <w:color w:val="003B8E"/>
          <w:sz w:val="32"/>
          <w:szCs w:val="32"/>
        </w:rPr>
        <w:t xml:space="preserve"> </w:t>
      </w:r>
      <w:r w:rsidR="00B83F99">
        <w:rPr>
          <w:rFonts w:ascii="Arial" w:hAnsi="Arial" w:cs="Arial"/>
          <w:b/>
          <w:color w:val="003B8E"/>
          <w:sz w:val="32"/>
          <w:szCs w:val="32"/>
        </w:rPr>
        <w:t>FR.27 (anciennement</w:t>
      </w:r>
      <w:r w:rsidRPr="007A3845">
        <w:rPr>
          <w:rFonts w:ascii="Arial" w:hAnsi="Arial" w:cs="Arial"/>
          <w:b/>
          <w:color w:val="003B8E"/>
          <w:sz w:val="32"/>
          <w:szCs w:val="32"/>
        </w:rPr>
        <w:t xml:space="preserve"> </w:t>
      </w:r>
      <w:r w:rsidR="00551A55">
        <w:rPr>
          <w:rFonts w:ascii="Arial" w:hAnsi="Arial" w:cs="Arial"/>
          <w:b/>
          <w:color w:val="003B8E"/>
          <w:sz w:val="32"/>
          <w:szCs w:val="32"/>
        </w:rPr>
        <w:t>SUB</w:t>
      </w:r>
      <w:r w:rsidR="00B83F99">
        <w:rPr>
          <w:rFonts w:ascii="Arial" w:hAnsi="Arial" w:cs="Arial"/>
          <w:b/>
          <w:color w:val="003B8E"/>
          <w:sz w:val="32"/>
          <w:szCs w:val="32"/>
        </w:rPr>
        <w:t>)</w:t>
      </w:r>
    </w:p>
    <w:p w14:paraId="6863C1A4" w14:textId="77777777" w:rsidR="0076211F" w:rsidRDefault="0076211F" w:rsidP="002A379C"/>
    <w:p w14:paraId="36515281" w14:textId="0E857E6F" w:rsidR="000F1C2E" w:rsidRDefault="000F1C2E" w:rsidP="000F1C2E">
      <w:r>
        <w:t>Le</w:t>
      </w:r>
      <w:r w:rsidR="007A228A">
        <w:t>s</w:t>
      </w:r>
      <w:r>
        <w:t xml:space="preserve"> tableau</w:t>
      </w:r>
      <w:r w:rsidR="007A228A">
        <w:t>x</w:t>
      </w:r>
      <w:r>
        <w:t xml:space="preserve"> de l’état FR.27 </w:t>
      </w:r>
      <w:r w:rsidR="007A228A">
        <w:t>sont</w:t>
      </w:r>
      <w:r>
        <w:t xml:space="preserve"> à renseigner par les organismes d’assurance concernés en fonction de leur activité en application de l’instruction de l’ACPR n°2016</w:t>
      </w:r>
      <w:r w:rsidRPr="00706538">
        <w:t>-I-1</w:t>
      </w:r>
      <w:r>
        <w:t>6</w:t>
      </w:r>
      <w:r w:rsidRPr="00706538">
        <w:t xml:space="preserve"> relative</w:t>
      </w:r>
      <w:r>
        <w:t xml:space="preserve"> à la transmission à l’Autorité du contrôle prudentiel et de résolution de documents prudentiels annuels.</w:t>
      </w:r>
    </w:p>
    <w:p w14:paraId="68D6E91D" w14:textId="77777777" w:rsidR="000F1C2E" w:rsidRDefault="000F1C2E" w:rsidP="000F1C2E"/>
    <w:p w14:paraId="2BFE7FF9" w14:textId="287ED7D1" w:rsidR="000F1C2E" w:rsidRDefault="000F1C2E" w:rsidP="000F1C2E">
      <w:r>
        <w:t>L</w:t>
      </w:r>
      <w:r w:rsidRPr="00775EA8">
        <w:t xml:space="preserve">es montants </w:t>
      </w:r>
      <w:r>
        <w:t xml:space="preserve">monétaires </w:t>
      </w:r>
      <w:r w:rsidRPr="00775EA8">
        <w:t>sont exprimés en</w:t>
      </w:r>
      <w:r>
        <w:t xml:space="preserve"> </w:t>
      </w:r>
      <w:r w:rsidRPr="00775EA8">
        <w:t>euros</w:t>
      </w:r>
      <w:r>
        <w:t xml:space="preserve"> </w:t>
      </w:r>
      <w:r w:rsidR="00550B52">
        <w:t xml:space="preserve">sans être arrondis </w:t>
      </w:r>
      <w:r>
        <w:t xml:space="preserve">et les données doivent être </w:t>
      </w:r>
      <w:r w:rsidR="007A228A">
        <w:t>télétransmises à l’ACPR</w:t>
      </w:r>
      <w:r>
        <w:t xml:space="preserve"> </w:t>
      </w:r>
      <w:r w:rsidR="00550B52">
        <w:t>au format XBRL</w:t>
      </w:r>
      <w:r w:rsidRPr="00775EA8">
        <w:t>.</w:t>
      </w:r>
    </w:p>
    <w:p w14:paraId="30FD05BA" w14:textId="77777777" w:rsidR="000F1C2E" w:rsidRDefault="000F1C2E" w:rsidP="000F1C2E"/>
    <w:p w14:paraId="75D18011" w14:textId="66027FF6" w:rsidR="000F1C2E" w:rsidRDefault="000F1C2E" w:rsidP="000F1C2E">
      <w:r>
        <w:t>Les organismes relevant de l’instruction 2016-I-15 ne sont pas concernés.</w:t>
      </w:r>
    </w:p>
    <w:p w14:paraId="5550ACF1" w14:textId="77777777" w:rsidR="000F1C2E" w:rsidRPr="00775EA8" w:rsidRDefault="000F1C2E" w:rsidP="000F1C2E"/>
    <w:p w14:paraId="6863C1A5" w14:textId="77777777" w:rsidR="002A379C" w:rsidRPr="00775EA8" w:rsidRDefault="002A379C" w:rsidP="002A379C">
      <w:pPr>
        <w:pStyle w:val="Titre1"/>
      </w:pPr>
      <w:r w:rsidRPr="00775EA8">
        <w:t>Utilisation de l’état</w:t>
      </w:r>
    </w:p>
    <w:p w14:paraId="6863C1A6" w14:textId="77777777" w:rsidR="0076211F" w:rsidRDefault="0076211F" w:rsidP="002A379C"/>
    <w:tbl>
      <w:tblPr>
        <w:tblW w:w="50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9"/>
        <w:gridCol w:w="1435"/>
        <w:gridCol w:w="6857"/>
      </w:tblGrid>
      <w:tr w:rsidR="00551A55" w:rsidRPr="003B1F67" w14:paraId="12AC5484" w14:textId="77777777" w:rsidTr="00551A55">
        <w:trPr>
          <w:tblHeader/>
        </w:trPr>
        <w:tc>
          <w:tcPr>
            <w:tcW w:w="747" w:type="pct"/>
            <w:tcBorders>
              <w:bottom w:val="single" w:sz="12" w:space="0" w:color="000000"/>
              <w:right w:val="single" w:sz="12" w:space="0" w:color="000000"/>
            </w:tcBorders>
            <w:vAlign w:val="center"/>
          </w:tcPr>
          <w:p w14:paraId="3C1159DE" w14:textId="032DEE9E" w:rsidR="00551A55" w:rsidRPr="003B1F67" w:rsidRDefault="00551A55" w:rsidP="00551A55">
            <w:pPr>
              <w:jc w:val="center"/>
              <w:rPr>
                <w:b/>
              </w:rPr>
            </w:pPr>
            <w:r>
              <w:rPr>
                <w:b/>
              </w:rPr>
              <w:t>INTITULE</w:t>
            </w:r>
          </w:p>
        </w:tc>
        <w:tc>
          <w:tcPr>
            <w:tcW w:w="742" w:type="pct"/>
            <w:tcBorders>
              <w:left w:val="single" w:sz="12" w:space="0" w:color="000000"/>
              <w:bottom w:val="single" w:sz="12" w:space="0" w:color="000000"/>
              <w:right w:val="single" w:sz="12" w:space="0" w:color="000000"/>
            </w:tcBorders>
            <w:vAlign w:val="center"/>
          </w:tcPr>
          <w:p w14:paraId="00B16781" w14:textId="660BD0DF" w:rsidR="00551A55" w:rsidRPr="003B1F67" w:rsidRDefault="00551A55" w:rsidP="00B83F99">
            <w:pPr>
              <w:jc w:val="center"/>
              <w:rPr>
                <w:b/>
              </w:rPr>
            </w:pPr>
            <w:r>
              <w:rPr>
                <w:b/>
              </w:rPr>
              <w:t xml:space="preserve">NUMERO DE </w:t>
            </w:r>
            <w:r w:rsidR="00B83F99">
              <w:rPr>
                <w:b/>
              </w:rPr>
              <w:t>COLONNE</w:t>
            </w:r>
          </w:p>
        </w:tc>
        <w:tc>
          <w:tcPr>
            <w:tcW w:w="3511" w:type="pct"/>
            <w:tcBorders>
              <w:left w:val="single" w:sz="12" w:space="0" w:color="000000"/>
              <w:bottom w:val="single" w:sz="12" w:space="0" w:color="000000"/>
              <w:right w:val="single" w:sz="12" w:space="0" w:color="000000"/>
            </w:tcBorders>
            <w:vAlign w:val="center"/>
          </w:tcPr>
          <w:p w14:paraId="30DC68C6" w14:textId="1427C6FE" w:rsidR="00551A55" w:rsidRPr="003B1F67" w:rsidRDefault="00551A55" w:rsidP="00551A55">
            <w:pPr>
              <w:jc w:val="center"/>
              <w:rPr>
                <w:b/>
              </w:rPr>
            </w:pPr>
            <w:r w:rsidRPr="003B1F67">
              <w:rPr>
                <w:b/>
              </w:rPr>
              <w:t>DEFINITION</w:t>
            </w:r>
            <w:r>
              <w:rPr>
                <w:b/>
              </w:rPr>
              <w:t xml:space="preserve"> ET FORMULE</w:t>
            </w:r>
          </w:p>
        </w:tc>
      </w:tr>
      <w:tr w:rsidR="00551A55" w:rsidRPr="008E18CF" w14:paraId="54BED4D4" w14:textId="77777777" w:rsidTr="00551A55">
        <w:tc>
          <w:tcPr>
            <w:tcW w:w="747" w:type="pct"/>
            <w:tcBorders>
              <w:top w:val="single" w:sz="12" w:space="0" w:color="000000"/>
              <w:right w:val="single" w:sz="12" w:space="0" w:color="000000"/>
            </w:tcBorders>
            <w:vAlign w:val="center"/>
          </w:tcPr>
          <w:p w14:paraId="78331019" w14:textId="77777777" w:rsidR="00551A55" w:rsidRDefault="00551A55" w:rsidP="00551A55">
            <w:pPr>
              <w:jc w:val="left"/>
            </w:pPr>
            <w:r w:rsidRPr="003B1F67">
              <w:t>Comme</w:t>
            </w:r>
            <w:r>
              <w:t>ntaire général</w:t>
            </w:r>
          </w:p>
          <w:p w14:paraId="59FD83DB" w14:textId="77777777" w:rsidR="00551A55" w:rsidRPr="003B1F67" w:rsidRDefault="00551A55" w:rsidP="00551A55">
            <w:pPr>
              <w:jc w:val="left"/>
            </w:pPr>
          </w:p>
        </w:tc>
        <w:tc>
          <w:tcPr>
            <w:tcW w:w="742" w:type="pct"/>
            <w:tcBorders>
              <w:top w:val="single" w:sz="12" w:space="0" w:color="000000"/>
              <w:left w:val="single" w:sz="12" w:space="0" w:color="000000"/>
              <w:right w:val="single" w:sz="12" w:space="0" w:color="000000"/>
            </w:tcBorders>
            <w:vAlign w:val="center"/>
          </w:tcPr>
          <w:p w14:paraId="6DB85906" w14:textId="77777777" w:rsidR="00551A55" w:rsidRPr="003B1F67" w:rsidRDefault="00551A55" w:rsidP="00551A55">
            <w:pPr>
              <w:jc w:val="left"/>
            </w:pPr>
            <w:r>
              <w:t>N/A</w:t>
            </w:r>
          </w:p>
        </w:tc>
        <w:tc>
          <w:tcPr>
            <w:tcW w:w="3511" w:type="pct"/>
            <w:tcBorders>
              <w:top w:val="single" w:sz="12" w:space="0" w:color="000000"/>
              <w:left w:val="single" w:sz="12" w:space="0" w:color="000000"/>
              <w:right w:val="single" w:sz="12" w:space="0" w:color="000000"/>
            </w:tcBorders>
            <w:vAlign w:val="center"/>
          </w:tcPr>
          <w:p w14:paraId="23B0E7F1" w14:textId="4FDB4A93" w:rsidR="00551A55" w:rsidRPr="008E18CF" w:rsidRDefault="00551A55" w:rsidP="00550B52">
            <w:r w:rsidRPr="002A7F33">
              <w:t>Cet état détaille l’activité liée à la substitution</w:t>
            </w:r>
            <w:r>
              <w:t xml:space="preserve">, du point de vue de la </w:t>
            </w:r>
            <w:proofErr w:type="spellStart"/>
            <w:r>
              <w:t>substituante</w:t>
            </w:r>
            <w:proofErr w:type="spellEnd"/>
            <w:r w:rsidRPr="002A7F33">
              <w:t>.</w:t>
            </w:r>
            <w:r>
              <w:t xml:space="preserve"> Elle se place en valorisation Solvabilité 2.</w:t>
            </w:r>
          </w:p>
        </w:tc>
      </w:tr>
      <w:tr w:rsidR="00551A55" w:rsidRPr="008E18CF" w14:paraId="4C09188D" w14:textId="77777777" w:rsidTr="00551A55">
        <w:tc>
          <w:tcPr>
            <w:tcW w:w="5000" w:type="pct"/>
            <w:gridSpan w:val="3"/>
            <w:tcBorders>
              <w:right w:val="single" w:sz="12" w:space="0" w:color="000000"/>
            </w:tcBorders>
            <w:vAlign w:val="center"/>
          </w:tcPr>
          <w:p w14:paraId="37F79F69" w14:textId="77777777" w:rsidR="00551A55" w:rsidRDefault="00551A55" w:rsidP="00551A55">
            <w:pPr>
              <w:jc w:val="left"/>
              <w:rPr>
                <w:rFonts w:ascii="Arial" w:eastAsia="Times New Roman" w:hAnsi="Arial" w:cs="Arial"/>
                <w:b/>
                <w:bCs/>
                <w:highlight w:val="lightGray"/>
                <w:lang w:eastAsia="fr-FR"/>
              </w:rPr>
            </w:pPr>
          </w:p>
          <w:p w14:paraId="31AB432E" w14:textId="77777777"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A) DETAILS SUR CHAQUE LIGNE DE PRODUITS PRIS EN SUBSTITUTION</w:t>
            </w:r>
          </w:p>
          <w:p w14:paraId="123D12DB" w14:textId="77777777" w:rsidR="00551A55" w:rsidRPr="008E18CF" w:rsidRDefault="00551A55" w:rsidP="00551A55">
            <w:pPr>
              <w:jc w:val="left"/>
            </w:pPr>
          </w:p>
        </w:tc>
      </w:tr>
      <w:tr w:rsidR="006E248A" w:rsidRPr="003F1528" w14:paraId="29CA55A7" w14:textId="77777777" w:rsidTr="00551A55">
        <w:tc>
          <w:tcPr>
            <w:tcW w:w="747" w:type="pct"/>
            <w:tcBorders>
              <w:right w:val="single" w:sz="12" w:space="0" w:color="000000"/>
            </w:tcBorders>
            <w:vAlign w:val="center"/>
          </w:tcPr>
          <w:p w14:paraId="6F4E1A2B" w14:textId="7FB0A01D" w:rsidR="006E248A" w:rsidRPr="002772D6" w:rsidRDefault="006E248A" w:rsidP="00551A55">
            <w:pPr>
              <w:jc w:val="left"/>
            </w:pPr>
            <w:r>
              <w:t>Identifiant</w:t>
            </w:r>
            <w:r w:rsidR="00465641">
              <w:t xml:space="preserve"> (de la ligne)</w:t>
            </w:r>
          </w:p>
        </w:tc>
        <w:tc>
          <w:tcPr>
            <w:tcW w:w="742" w:type="pct"/>
            <w:tcBorders>
              <w:left w:val="single" w:sz="12" w:space="0" w:color="000000"/>
              <w:right w:val="single" w:sz="12" w:space="0" w:color="000000"/>
            </w:tcBorders>
            <w:vAlign w:val="center"/>
          </w:tcPr>
          <w:p w14:paraId="224ECD0C" w14:textId="3092C2FD" w:rsidR="006E248A" w:rsidRDefault="006E248A" w:rsidP="00551A55">
            <w:pPr>
              <w:jc w:val="left"/>
              <w:rPr>
                <w:lang w:val="en-US"/>
              </w:rPr>
            </w:pPr>
            <w:r>
              <w:rPr>
                <w:lang w:val="en-US"/>
              </w:rPr>
              <w:t>C0010</w:t>
            </w:r>
          </w:p>
        </w:tc>
        <w:tc>
          <w:tcPr>
            <w:tcW w:w="3511" w:type="pct"/>
            <w:tcBorders>
              <w:left w:val="single" w:sz="12" w:space="0" w:color="000000"/>
              <w:right w:val="single" w:sz="12" w:space="0" w:color="000000"/>
            </w:tcBorders>
            <w:vAlign w:val="center"/>
          </w:tcPr>
          <w:p w14:paraId="441D0EB7" w14:textId="2FFBDE82" w:rsidR="006E248A" w:rsidRPr="008E18CF" w:rsidRDefault="006E248A" w:rsidP="00551A55">
            <w:pPr>
              <w:jc w:val="left"/>
            </w:pPr>
            <w:r>
              <w:t>Identifiant technique de la ligne (nombre entier) à rapporter dans la remise. Le remettant doit identifier chaque ligne de manière unique.</w:t>
            </w:r>
          </w:p>
        </w:tc>
      </w:tr>
      <w:tr w:rsidR="00551A55" w:rsidRPr="003F1528" w14:paraId="7FE523BD" w14:textId="77777777" w:rsidTr="00551A55">
        <w:tc>
          <w:tcPr>
            <w:tcW w:w="747" w:type="pct"/>
            <w:tcBorders>
              <w:right w:val="single" w:sz="12" w:space="0" w:color="000000"/>
            </w:tcBorders>
            <w:vAlign w:val="center"/>
          </w:tcPr>
          <w:p w14:paraId="13FFAD85" w14:textId="77777777" w:rsidR="00551A55" w:rsidRPr="002772D6" w:rsidRDefault="00551A55" w:rsidP="00551A55">
            <w:pPr>
              <w:jc w:val="left"/>
            </w:pPr>
            <w:r w:rsidRPr="002772D6">
              <w:t>Dénomination commerciale</w:t>
            </w:r>
          </w:p>
          <w:p w14:paraId="52B0880E" w14:textId="77777777" w:rsidR="00551A55" w:rsidRPr="003B1F67" w:rsidRDefault="00551A55" w:rsidP="00551A55">
            <w:pPr>
              <w:jc w:val="left"/>
              <w:rPr>
                <w:lang w:val="en-US"/>
              </w:rPr>
            </w:pPr>
          </w:p>
        </w:tc>
        <w:tc>
          <w:tcPr>
            <w:tcW w:w="742" w:type="pct"/>
            <w:tcBorders>
              <w:left w:val="single" w:sz="12" w:space="0" w:color="000000"/>
              <w:right w:val="single" w:sz="12" w:space="0" w:color="000000"/>
            </w:tcBorders>
            <w:vAlign w:val="center"/>
          </w:tcPr>
          <w:p w14:paraId="59605887" w14:textId="7636F8F1" w:rsidR="00551A55" w:rsidRPr="003B1F67" w:rsidRDefault="00B83F99" w:rsidP="00551A55">
            <w:pPr>
              <w:jc w:val="left"/>
              <w:rPr>
                <w:lang w:val="en-US"/>
              </w:rPr>
            </w:pPr>
            <w:r>
              <w:rPr>
                <w:lang w:val="en-US"/>
              </w:rPr>
              <w:t>C0020</w:t>
            </w:r>
          </w:p>
        </w:tc>
        <w:tc>
          <w:tcPr>
            <w:tcW w:w="3511" w:type="pct"/>
            <w:tcBorders>
              <w:left w:val="single" w:sz="12" w:space="0" w:color="000000"/>
              <w:right w:val="single" w:sz="12" w:space="0" w:color="000000"/>
            </w:tcBorders>
            <w:vAlign w:val="center"/>
          </w:tcPr>
          <w:p w14:paraId="60310BE8" w14:textId="35F92E56" w:rsidR="00551A55" w:rsidRDefault="00551A55" w:rsidP="00551A55">
            <w:pPr>
              <w:jc w:val="left"/>
            </w:pPr>
            <w:r w:rsidRPr="008E18CF">
              <w:t>No</w:t>
            </w:r>
            <w:r>
              <w:t>m commercial</w:t>
            </w:r>
            <w:r w:rsidR="00E812D1">
              <w:t xml:space="preserve"> </w:t>
            </w:r>
            <w:r>
              <w:t>du produit.</w:t>
            </w:r>
          </w:p>
          <w:p w14:paraId="54A2AD74" w14:textId="6DF34B3B" w:rsidR="00551A55" w:rsidRPr="003F1528" w:rsidRDefault="00551A55">
            <w:pPr>
              <w:jc w:val="left"/>
            </w:pPr>
            <w:r w:rsidRPr="002A7F33">
              <w:t xml:space="preserve">Si </w:t>
            </w:r>
            <w:r>
              <w:t xml:space="preserve">plusieurs produits pour une même </w:t>
            </w:r>
            <w:r w:rsidR="00E812D1">
              <w:t>ligne d’activité</w:t>
            </w:r>
            <w:r>
              <w:t xml:space="preserve">, </w:t>
            </w:r>
            <w:r w:rsidRPr="002A7F33">
              <w:t>l</w:t>
            </w:r>
            <w:r>
              <w:t xml:space="preserve">es indiquer par ordre d’importance du </w:t>
            </w:r>
            <w:r w:rsidR="00E812D1">
              <w:t xml:space="preserve">chiffre </w:t>
            </w:r>
            <w:r>
              <w:t xml:space="preserve">d’affaires. </w:t>
            </w:r>
          </w:p>
        </w:tc>
      </w:tr>
      <w:tr w:rsidR="00551A55" w:rsidRPr="001373F1" w14:paraId="62B79232" w14:textId="77777777" w:rsidTr="00551A55">
        <w:tc>
          <w:tcPr>
            <w:tcW w:w="747" w:type="pct"/>
            <w:tcBorders>
              <w:right w:val="single" w:sz="12" w:space="0" w:color="000000"/>
            </w:tcBorders>
            <w:vAlign w:val="center"/>
          </w:tcPr>
          <w:p w14:paraId="1498F962"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4BA3D17C" w14:textId="299A0C4C" w:rsidR="00551A55" w:rsidRPr="003F1528" w:rsidRDefault="00B83F99" w:rsidP="00551A55">
            <w:pPr>
              <w:jc w:val="left"/>
            </w:pPr>
            <w:r>
              <w:t>C0030</w:t>
            </w:r>
          </w:p>
        </w:tc>
        <w:tc>
          <w:tcPr>
            <w:tcW w:w="3511" w:type="pct"/>
            <w:tcBorders>
              <w:left w:val="single" w:sz="12" w:space="0" w:color="000000"/>
              <w:right w:val="single" w:sz="12" w:space="0" w:color="000000"/>
            </w:tcBorders>
            <w:vAlign w:val="center"/>
          </w:tcPr>
          <w:p w14:paraId="471CFB1F" w14:textId="77777777" w:rsidR="00E41235" w:rsidRDefault="00551A55" w:rsidP="00E41235">
            <w:pPr>
              <w:pStyle w:val="Default"/>
              <w:rPr>
                <w:rFonts w:ascii="Times New Roman" w:hAnsi="Times New Roman" w:cstheme="minorBidi"/>
                <w:color w:val="auto"/>
                <w:sz w:val="22"/>
                <w:szCs w:val="22"/>
              </w:rPr>
            </w:pPr>
            <w:r w:rsidRPr="004F703D">
              <w:rPr>
                <w:rFonts w:ascii="Times New Roman" w:hAnsi="Times New Roman" w:cstheme="minorBidi"/>
                <w:color w:val="auto"/>
                <w:sz w:val="22"/>
                <w:szCs w:val="22"/>
              </w:rPr>
              <w:t>Ligne</w:t>
            </w:r>
            <w:r w:rsidR="004F703D">
              <w:rPr>
                <w:rFonts w:ascii="Times New Roman" w:hAnsi="Times New Roman" w:cstheme="minorBidi"/>
                <w:color w:val="auto"/>
                <w:sz w:val="22"/>
                <w:szCs w:val="22"/>
              </w:rPr>
              <w:t>s</w:t>
            </w:r>
            <w:r w:rsidRPr="004F703D">
              <w:rPr>
                <w:rFonts w:ascii="Times New Roman" w:hAnsi="Times New Roman" w:cstheme="minorBidi"/>
                <w:color w:val="auto"/>
                <w:sz w:val="22"/>
                <w:szCs w:val="22"/>
              </w:rPr>
              <w:t xml:space="preserve"> d’activité comme définie dans le régime </w:t>
            </w:r>
            <w:r w:rsidR="007B3FB5">
              <w:rPr>
                <w:rFonts w:ascii="Times New Roman" w:hAnsi="Times New Roman" w:cstheme="minorBidi"/>
                <w:color w:val="auto"/>
                <w:sz w:val="22"/>
                <w:szCs w:val="22"/>
              </w:rPr>
              <w:t>S</w:t>
            </w:r>
            <w:r w:rsidRPr="004F703D">
              <w:rPr>
                <w:rFonts w:ascii="Times New Roman" w:hAnsi="Times New Roman" w:cstheme="minorBidi"/>
                <w:color w:val="auto"/>
                <w:sz w:val="22"/>
                <w:szCs w:val="22"/>
              </w:rPr>
              <w:t xml:space="preserve">olvabilité </w:t>
            </w:r>
            <w:r w:rsidR="00E812D1" w:rsidRPr="004F703D">
              <w:rPr>
                <w:rFonts w:ascii="Times New Roman" w:hAnsi="Times New Roman" w:cstheme="minorBidi"/>
                <w:color w:val="auto"/>
                <w:sz w:val="22"/>
                <w:szCs w:val="22"/>
              </w:rPr>
              <w:t>II</w:t>
            </w:r>
            <w:r w:rsidRPr="004F703D">
              <w:rPr>
                <w:rFonts w:ascii="Times New Roman" w:hAnsi="Times New Roman" w:cstheme="minorBidi"/>
                <w:color w:val="auto"/>
                <w:sz w:val="22"/>
                <w:szCs w:val="22"/>
              </w:rPr>
              <w:t xml:space="preserve">.  Voir annexe </w:t>
            </w:r>
            <w:r w:rsidR="004F703D" w:rsidRPr="004F703D">
              <w:rPr>
                <w:rFonts w:ascii="Times New Roman" w:hAnsi="Times New Roman" w:cstheme="minorBidi"/>
                <w:color w:val="auto"/>
                <w:sz w:val="22"/>
                <w:szCs w:val="22"/>
              </w:rPr>
              <w:t xml:space="preserve">I </w:t>
            </w:r>
            <w:r w:rsidRPr="004F703D">
              <w:rPr>
                <w:rFonts w:ascii="Times New Roman" w:hAnsi="Times New Roman" w:cstheme="minorBidi"/>
                <w:color w:val="auto"/>
                <w:sz w:val="22"/>
                <w:szCs w:val="22"/>
              </w:rPr>
              <w:t xml:space="preserve">du </w:t>
            </w:r>
            <w:r w:rsidR="004F703D">
              <w:rPr>
                <w:rFonts w:ascii="Times New Roman" w:hAnsi="Times New Roman" w:cstheme="minorBidi"/>
                <w:color w:val="auto"/>
                <w:sz w:val="22"/>
                <w:szCs w:val="22"/>
              </w:rPr>
              <w:t xml:space="preserve">Règlement Délégué </w:t>
            </w:r>
            <w:r w:rsidR="004F703D" w:rsidRPr="006E248A">
              <w:rPr>
                <w:sz w:val="22"/>
                <w:szCs w:val="22"/>
              </w:rPr>
              <w:t>(</w:t>
            </w:r>
            <w:r w:rsidR="004F703D" w:rsidRPr="006E248A">
              <w:rPr>
                <w:rFonts w:ascii="Times New Roman" w:hAnsi="Times New Roman" w:cstheme="minorBidi"/>
                <w:color w:val="auto"/>
                <w:sz w:val="22"/>
                <w:szCs w:val="22"/>
              </w:rPr>
              <w:t>UE) 2015/35</w:t>
            </w:r>
            <w:r w:rsidR="00E41235">
              <w:rPr>
                <w:rFonts w:ascii="Times New Roman" w:hAnsi="Times New Roman" w:cstheme="minorBidi"/>
                <w:color w:val="auto"/>
                <w:sz w:val="22"/>
                <w:szCs w:val="22"/>
              </w:rPr>
              <w:t xml:space="preserve">. Choisir impérativement l’une des valeurs suivantes : </w:t>
            </w:r>
          </w:p>
          <w:p w14:paraId="3DDA9D2B" w14:textId="77777777" w:rsidR="00E41235" w:rsidRDefault="00E41235" w:rsidP="00E41235">
            <w:pPr>
              <w:pStyle w:val="Default"/>
              <w:numPr>
                <w:ilvl w:val="0"/>
                <w:numId w:val="23"/>
              </w:numPr>
            </w:pPr>
            <w:r>
              <w:t>Engagements d'assurance non-vie</w:t>
            </w:r>
          </w:p>
          <w:p w14:paraId="06CC4A59" w14:textId="77777777" w:rsidR="00E41235" w:rsidRDefault="00E41235" w:rsidP="000943A8">
            <w:pPr>
              <w:pStyle w:val="Default"/>
              <w:numPr>
                <w:ilvl w:val="1"/>
                <w:numId w:val="23"/>
              </w:numPr>
            </w:pPr>
            <w:r>
              <w:t>Assurance frais de santé</w:t>
            </w:r>
          </w:p>
          <w:p w14:paraId="664CF5FF" w14:textId="77777777" w:rsidR="00E41235" w:rsidRDefault="00E41235" w:rsidP="000943A8">
            <w:pPr>
              <w:pStyle w:val="Default"/>
              <w:numPr>
                <w:ilvl w:val="1"/>
                <w:numId w:val="23"/>
              </w:numPr>
            </w:pPr>
            <w:r>
              <w:t>Assurance perte de revenus</w:t>
            </w:r>
          </w:p>
          <w:p w14:paraId="31862449" w14:textId="77777777" w:rsidR="00E41235" w:rsidRDefault="00E41235" w:rsidP="000943A8">
            <w:pPr>
              <w:pStyle w:val="Default"/>
              <w:numPr>
                <w:ilvl w:val="1"/>
                <w:numId w:val="23"/>
              </w:numPr>
            </w:pPr>
            <w:r>
              <w:t xml:space="preserve">Assurance accidents du travail et maladies </w:t>
            </w:r>
            <w:bookmarkStart w:id="0" w:name="_GoBack"/>
            <w:bookmarkEnd w:id="0"/>
            <w:r>
              <w:t>professionnelles</w:t>
            </w:r>
          </w:p>
          <w:p w14:paraId="022AC689" w14:textId="77777777" w:rsidR="00E41235" w:rsidRDefault="00E41235" w:rsidP="000943A8">
            <w:pPr>
              <w:pStyle w:val="Default"/>
              <w:numPr>
                <w:ilvl w:val="1"/>
                <w:numId w:val="23"/>
              </w:numPr>
            </w:pPr>
            <w:r>
              <w:t>Crédit et caution</w:t>
            </w:r>
          </w:p>
          <w:p w14:paraId="3E0F2A38" w14:textId="77777777" w:rsidR="00E41235" w:rsidRDefault="00E41235" w:rsidP="000943A8">
            <w:pPr>
              <w:pStyle w:val="Default"/>
              <w:numPr>
                <w:ilvl w:val="1"/>
                <w:numId w:val="23"/>
              </w:numPr>
            </w:pPr>
            <w:r>
              <w:t>Assurance protection juridique</w:t>
            </w:r>
          </w:p>
          <w:p w14:paraId="66D385E1" w14:textId="77777777" w:rsidR="00E41235" w:rsidRDefault="00E41235" w:rsidP="000943A8">
            <w:pPr>
              <w:pStyle w:val="Default"/>
              <w:numPr>
                <w:ilvl w:val="1"/>
                <w:numId w:val="23"/>
              </w:numPr>
            </w:pPr>
            <w:r>
              <w:t>Assistance</w:t>
            </w:r>
          </w:p>
          <w:p w14:paraId="5BC3E9EB" w14:textId="77777777" w:rsidR="00E41235" w:rsidRDefault="00E41235" w:rsidP="000943A8">
            <w:pPr>
              <w:pStyle w:val="Default"/>
              <w:numPr>
                <w:ilvl w:val="1"/>
                <w:numId w:val="23"/>
              </w:numPr>
            </w:pPr>
            <w:r>
              <w:t>Pertes pécuniaires diverses</w:t>
            </w:r>
          </w:p>
          <w:p w14:paraId="05F1CCC4" w14:textId="77777777" w:rsidR="00E41235" w:rsidRDefault="00E41235" w:rsidP="00E41235">
            <w:pPr>
              <w:pStyle w:val="Default"/>
              <w:numPr>
                <w:ilvl w:val="0"/>
                <w:numId w:val="23"/>
              </w:numPr>
            </w:pPr>
            <w:r>
              <w:t>Engagements de réassurance non-vie proportionnels</w:t>
            </w:r>
          </w:p>
          <w:p w14:paraId="2849405D" w14:textId="77777777" w:rsidR="00E41235" w:rsidRDefault="00E41235" w:rsidP="00E41235">
            <w:pPr>
              <w:pStyle w:val="Default"/>
              <w:numPr>
                <w:ilvl w:val="0"/>
                <w:numId w:val="23"/>
              </w:numPr>
            </w:pPr>
            <w:r>
              <w:t>Engagements de réassurance non-vie non proportionnels</w:t>
            </w:r>
          </w:p>
          <w:p w14:paraId="1D36FC5D" w14:textId="77777777" w:rsidR="00E41235" w:rsidRDefault="00E41235" w:rsidP="000943A8">
            <w:pPr>
              <w:pStyle w:val="Default"/>
              <w:numPr>
                <w:ilvl w:val="1"/>
                <w:numId w:val="23"/>
              </w:numPr>
            </w:pPr>
            <w:r>
              <w:t>Réassurance santé non proportionnelle</w:t>
            </w:r>
          </w:p>
          <w:p w14:paraId="617C47B0" w14:textId="77777777" w:rsidR="00E41235" w:rsidRDefault="00E41235" w:rsidP="000943A8">
            <w:pPr>
              <w:pStyle w:val="Default"/>
              <w:numPr>
                <w:ilvl w:val="1"/>
                <w:numId w:val="23"/>
              </w:numPr>
            </w:pPr>
            <w:r>
              <w:t>Réassurance responsabilité civile non proportionnelle</w:t>
            </w:r>
          </w:p>
          <w:p w14:paraId="77D704D9" w14:textId="77777777" w:rsidR="00E41235" w:rsidRDefault="00E41235" w:rsidP="00E41235">
            <w:pPr>
              <w:pStyle w:val="Default"/>
              <w:numPr>
                <w:ilvl w:val="0"/>
                <w:numId w:val="23"/>
              </w:numPr>
            </w:pPr>
            <w:r>
              <w:t>Engagements d'assurance vie</w:t>
            </w:r>
          </w:p>
          <w:p w14:paraId="0EE1F7D7" w14:textId="77777777" w:rsidR="00E41235" w:rsidRDefault="00E41235" w:rsidP="000943A8">
            <w:pPr>
              <w:pStyle w:val="Default"/>
              <w:numPr>
                <w:ilvl w:val="1"/>
                <w:numId w:val="23"/>
              </w:numPr>
            </w:pPr>
            <w:r>
              <w:lastRenderedPageBreak/>
              <w:t>Assurance santé</w:t>
            </w:r>
          </w:p>
          <w:p w14:paraId="0DEDA217" w14:textId="77777777" w:rsidR="00E41235" w:rsidRDefault="00E41235" w:rsidP="000943A8">
            <w:pPr>
              <w:pStyle w:val="Default"/>
              <w:numPr>
                <w:ilvl w:val="1"/>
                <w:numId w:val="23"/>
              </w:numPr>
            </w:pPr>
            <w:r>
              <w:t>Assurance avec participation aux bénéfices</w:t>
            </w:r>
          </w:p>
          <w:p w14:paraId="706FFB8F" w14:textId="77777777" w:rsidR="00E41235" w:rsidRDefault="00E41235" w:rsidP="000943A8">
            <w:pPr>
              <w:pStyle w:val="Default"/>
              <w:numPr>
                <w:ilvl w:val="1"/>
                <w:numId w:val="23"/>
              </w:numPr>
            </w:pPr>
            <w:r>
              <w:t>Assurance liée à des indices et à des unités de comptes</w:t>
            </w:r>
          </w:p>
          <w:p w14:paraId="1312876D" w14:textId="77777777" w:rsidR="00E41235" w:rsidRDefault="00E41235" w:rsidP="000943A8">
            <w:pPr>
              <w:pStyle w:val="Default"/>
              <w:numPr>
                <w:ilvl w:val="1"/>
                <w:numId w:val="23"/>
              </w:numPr>
            </w:pPr>
            <w:r>
              <w:t>Autre assurance vie</w:t>
            </w:r>
          </w:p>
          <w:p w14:paraId="48E2186B" w14:textId="77777777" w:rsidR="00E41235" w:rsidRDefault="00E41235" w:rsidP="000943A8">
            <w:pPr>
              <w:pStyle w:val="Default"/>
              <w:numPr>
                <w:ilvl w:val="1"/>
                <w:numId w:val="23"/>
              </w:numPr>
            </w:pPr>
            <w:r>
              <w:t>Rentes issues de l'assurance non-vie autre liées à des engagements d'assurance santé</w:t>
            </w:r>
          </w:p>
          <w:p w14:paraId="24CFA713" w14:textId="77777777" w:rsidR="00E41235" w:rsidRDefault="00E41235" w:rsidP="00E41235">
            <w:pPr>
              <w:pStyle w:val="Default"/>
              <w:numPr>
                <w:ilvl w:val="0"/>
                <w:numId w:val="23"/>
              </w:numPr>
            </w:pPr>
            <w:r>
              <w:t>Rentes issues de l'assurance non-vie autre que santé</w:t>
            </w:r>
          </w:p>
          <w:p w14:paraId="4D495473" w14:textId="77777777" w:rsidR="00E41235" w:rsidRDefault="00E41235" w:rsidP="00E41235">
            <w:pPr>
              <w:pStyle w:val="Default"/>
              <w:numPr>
                <w:ilvl w:val="0"/>
                <w:numId w:val="23"/>
              </w:numPr>
            </w:pPr>
            <w:r>
              <w:t>Engagements de réassurance vie</w:t>
            </w:r>
          </w:p>
          <w:p w14:paraId="1139A3BC" w14:textId="5DB6B706" w:rsidR="00E41235" w:rsidRDefault="00E41235" w:rsidP="000943A8">
            <w:pPr>
              <w:pStyle w:val="Default"/>
              <w:numPr>
                <w:ilvl w:val="1"/>
                <w:numId w:val="23"/>
              </w:numPr>
            </w:pPr>
            <w:r>
              <w:t>Réassurance santé</w:t>
            </w:r>
          </w:p>
          <w:p w14:paraId="66A85451" w14:textId="24BF6D70" w:rsidR="00E41235" w:rsidRPr="004F703D" w:rsidRDefault="00E41235" w:rsidP="000943A8">
            <w:pPr>
              <w:pStyle w:val="Default"/>
              <w:numPr>
                <w:ilvl w:val="1"/>
                <w:numId w:val="23"/>
              </w:numPr>
            </w:pPr>
            <w:r>
              <w:t>Réassurance vie</w:t>
            </w:r>
          </w:p>
        </w:tc>
      </w:tr>
      <w:tr w:rsidR="00551A55" w:rsidRPr="008E18CF" w14:paraId="0EB1618F" w14:textId="77777777" w:rsidTr="00551A55">
        <w:tc>
          <w:tcPr>
            <w:tcW w:w="747" w:type="pct"/>
            <w:tcBorders>
              <w:right w:val="single" w:sz="12" w:space="0" w:color="000000"/>
            </w:tcBorders>
            <w:vAlign w:val="center"/>
          </w:tcPr>
          <w:p w14:paraId="37708226" w14:textId="23E884FD" w:rsidR="00551A55" w:rsidRPr="003D04C2" w:rsidRDefault="003D04C2" w:rsidP="003D04C2">
            <w:pPr>
              <w:jc w:val="left"/>
            </w:pPr>
            <w:r>
              <w:lastRenderedPageBreak/>
              <w:t>Identifiant de l’organisme</w:t>
            </w:r>
            <w:r w:rsidR="00551A55" w:rsidRPr="002772D6">
              <w:t xml:space="preserve"> </w:t>
            </w:r>
            <w:r w:rsidR="00C21A8E">
              <w:t>substitué</w:t>
            </w:r>
          </w:p>
        </w:tc>
        <w:tc>
          <w:tcPr>
            <w:tcW w:w="742" w:type="pct"/>
            <w:tcBorders>
              <w:left w:val="single" w:sz="12" w:space="0" w:color="000000"/>
              <w:right w:val="single" w:sz="12" w:space="0" w:color="000000"/>
            </w:tcBorders>
            <w:vAlign w:val="center"/>
          </w:tcPr>
          <w:p w14:paraId="723DBA8D" w14:textId="2C24A05D" w:rsidR="00551A55" w:rsidRPr="003B1F67" w:rsidRDefault="00B83F99" w:rsidP="00551A55">
            <w:pPr>
              <w:jc w:val="left"/>
              <w:rPr>
                <w:lang w:val="en-US"/>
              </w:rPr>
            </w:pPr>
            <w:r>
              <w:rPr>
                <w:lang w:val="en-US"/>
              </w:rPr>
              <w:t>C0040</w:t>
            </w:r>
          </w:p>
        </w:tc>
        <w:tc>
          <w:tcPr>
            <w:tcW w:w="3511" w:type="pct"/>
            <w:tcBorders>
              <w:left w:val="single" w:sz="12" w:space="0" w:color="000000"/>
              <w:right w:val="single" w:sz="12" w:space="0" w:color="000000"/>
            </w:tcBorders>
            <w:vAlign w:val="center"/>
          </w:tcPr>
          <w:p w14:paraId="6D80924B" w14:textId="77777777" w:rsidR="007B3FB5" w:rsidRDefault="00551A55" w:rsidP="003D04C2">
            <w:pPr>
              <w:jc w:val="left"/>
            </w:pPr>
            <w:r w:rsidRPr="008E18CF">
              <w:t>Numéro d’identification</w:t>
            </w:r>
            <w:r>
              <w:t xml:space="preserve"> </w:t>
            </w:r>
            <w:r w:rsidRPr="008E18CF">
              <w:t>de</w:t>
            </w:r>
            <w:r w:rsidR="00C30054">
              <w:t xml:space="preserve"> l’organisme</w:t>
            </w:r>
            <w:r>
              <w:t>.</w:t>
            </w:r>
            <w:r w:rsidR="003D04C2">
              <w:t xml:space="preserve"> </w:t>
            </w:r>
            <w:r>
              <w:t>Ancien numéro RNM.</w:t>
            </w:r>
          </w:p>
          <w:p w14:paraId="2813EF6F" w14:textId="3CB5751B" w:rsidR="003D04C2" w:rsidRDefault="003D04C2" w:rsidP="003D04C2">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w:t>
            </w:r>
            <w:r w:rsidR="00C21A8E">
              <w:t xml:space="preserve"> </w:t>
            </w:r>
            <w:r w:rsidR="004F6D62">
              <w:t>A défaut</w:t>
            </w:r>
            <w:r w:rsidR="00C21A8E">
              <w:t>, l’identifiant à indiquer est le SIREN.</w:t>
            </w:r>
          </w:p>
          <w:p w14:paraId="507F6727" w14:textId="77777777" w:rsidR="00C21A8E" w:rsidRDefault="00C21A8E" w:rsidP="003D04C2">
            <w:pPr>
              <w:jc w:val="left"/>
            </w:pPr>
          </w:p>
          <w:p w14:paraId="0CE49A7C" w14:textId="09021353" w:rsidR="00C21A8E" w:rsidRDefault="00C21A8E" w:rsidP="00C21A8E">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24F398C6" w14:textId="531B26A8" w:rsidR="00C21A8E" w:rsidRDefault="00C21A8E" w:rsidP="00C21A8E">
            <w:pPr>
              <w:pStyle w:val="Paragraphedeliste"/>
              <w:numPr>
                <w:ilvl w:val="0"/>
                <w:numId w:val="22"/>
              </w:numPr>
              <w:jc w:val="left"/>
            </w:pPr>
            <w:r>
              <w:t>« LEI/XXXXXXXXXXXXXXXXXXXX »</w:t>
            </w:r>
          </w:p>
          <w:p w14:paraId="11A554C2" w14:textId="4E7210FA" w:rsidR="00C21A8E" w:rsidRPr="008E18CF" w:rsidRDefault="00C21A8E" w:rsidP="00C21A8E">
            <w:pPr>
              <w:pStyle w:val="Paragraphedeliste"/>
              <w:numPr>
                <w:ilvl w:val="0"/>
                <w:numId w:val="22"/>
              </w:numPr>
              <w:jc w:val="left"/>
            </w:pPr>
            <w:r>
              <w:t>« SIREN/XXXXXXXXX »</w:t>
            </w:r>
          </w:p>
        </w:tc>
      </w:tr>
      <w:tr w:rsidR="00551A55" w:rsidRPr="008E18CF" w14:paraId="7778EF6C" w14:textId="77777777" w:rsidTr="00551A55">
        <w:tc>
          <w:tcPr>
            <w:tcW w:w="747" w:type="pct"/>
            <w:tcBorders>
              <w:right w:val="single" w:sz="12" w:space="0" w:color="000000"/>
            </w:tcBorders>
            <w:vAlign w:val="center"/>
          </w:tcPr>
          <w:p w14:paraId="45F85E93" w14:textId="6D8C9D6E" w:rsidR="00551A55" w:rsidRPr="001373F1" w:rsidRDefault="00820495" w:rsidP="00820495">
            <w:pPr>
              <w:jc w:val="left"/>
            </w:pPr>
            <w:r>
              <w:t>Produit encore commercialisé</w:t>
            </w:r>
          </w:p>
        </w:tc>
        <w:tc>
          <w:tcPr>
            <w:tcW w:w="742" w:type="pct"/>
            <w:tcBorders>
              <w:left w:val="single" w:sz="12" w:space="0" w:color="000000"/>
              <w:right w:val="single" w:sz="12" w:space="0" w:color="000000"/>
            </w:tcBorders>
            <w:vAlign w:val="center"/>
          </w:tcPr>
          <w:p w14:paraId="64510D02" w14:textId="2FAC1C16" w:rsidR="00551A55" w:rsidRDefault="00B83F99" w:rsidP="00551A55">
            <w:pPr>
              <w:jc w:val="left"/>
              <w:rPr>
                <w:lang w:val="en-US"/>
              </w:rPr>
            </w:pPr>
            <w:r>
              <w:rPr>
                <w:lang w:val="en-US"/>
              </w:rPr>
              <w:t>C0050</w:t>
            </w:r>
          </w:p>
        </w:tc>
        <w:tc>
          <w:tcPr>
            <w:tcW w:w="3511" w:type="pct"/>
            <w:tcBorders>
              <w:left w:val="single" w:sz="12" w:space="0" w:color="000000"/>
              <w:right w:val="single" w:sz="12" w:space="0" w:color="000000"/>
            </w:tcBorders>
            <w:vAlign w:val="center"/>
          </w:tcPr>
          <w:p w14:paraId="146CFD3D" w14:textId="72BF9F5B" w:rsidR="00551A55" w:rsidRDefault="00551A55" w:rsidP="00551A55">
            <w:pPr>
              <w:jc w:val="left"/>
            </w:pPr>
            <w:r w:rsidRPr="001373F1">
              <w:t>Spécifier si le</w:t>
            </w:r>
            <w:r>
              <w:t>(s)</w:t>
            </w:r>
            <w:r w:rsidRPr="001373F1">
              <w:t xml:space="preserve"> produit</w:t>
            </w:r>
            <w:r>
              <w:t>(s)</w:t>
            </w:r>
            <w:r w:rsidRPr="001373F1">
              <w:t xml:space="preserve"> est encore en vente ou en </w:t>
            </w:r>
            <w:proofErr w:type="spellStart"/>
            <w:r w:rsidRPr="00C21A8E">
              <w:rPr>
                <w:i/>
              </w:rPr>
              <w:t>run</w:t>
            </w:r>
            <w:proofErr w:type="spellEnd"/>
            <w:r w:rsidRPr="00C21A8E">
              <w:rPr>
                <w:i/>
              </w:rPr>
              <w:t>–off</w:t>
            </w:r>
            <w:r w:rsidR="00820495">
              <w:t xml:space="preserve">. </w:t>
            </w:r>
            <w:r w:rsidR="009448BD">
              <w:t>Liste de choix</w:t>
            </w:r>
            <w:r w:rsidR="00820495">
              <w:t> :</w:t>
            </w:r>
          </w:p>
          <w:p w14:paraId="7A69261A" w14:textId="612D5B3A" w:rsidR="00C21A8E" w:rsidRDefault="00820495" w:rsidP="00820495">
            <w:pPr>
              <w:pStyle w:val="Paragraphedeliste"/>
              <w:numPr>
                <w:ilvl w:val="0"/>
                <w:numId w:val="22"/>
              </w:numPr>
              <w:jc w:val="left"/>
            </w:pPr>
            <w:r>
              <w:t>En vente</w:t>
            </w:r>
          </w:p>
          <w:p w14:paraId="343BDC23" w14:textId="46D83497" w:rsidR="00551A55" w:rsidRPr="008E18CF" w:rsidRDefault="00820495" w:rsidP="00820495">
            <w:pPr>
              <w:pStyle w:val="Paragraphedeliste"/>
              <w:numPr>
                <w:ilvl w:val="0"/>
                <w:numId w:val="22"/>
              </w:numPr>
              <w:jc w:val="left"/>
            </w:pPr>
            <w:r>
              <w:t xml:space="preserve">En </w:t>
            </w:r>
            <w:proofErr w:type="spellStart"/>
            <w:r w:rsidRPr="00820495">
              <w:rPr>
                <w:i/>
              </w:rPr>
              <w:t>run</w:t>
            </w:r>
            <w:proofErr w:type="spellEnd"/>
            <w:r w:rsidRPr="00820495">
              <w:rPr>
                <w:i/>
              </w:rPr>
              <w:t>-off</w:t>
            </w:r>
          </w:p>
        </w:tc>
      </w:tr>
      <w:tr w:rsidR="00551A55" w:rsidRPr="0009495A" w14:paraId="20351A29" w14:textId="77777777" w:rsidTr="00551A55">
        <w:tc>
          <w:tcPr>
            <w:tcW w:w="747" w:type="pct"/>
            <w:tcBorders>
              <w:right w:val="single" w:sz="12" w:space="0" w:color="000000"/>
            </w:tcBorders>
            <w:vAlign w:val="center"/>
          </w:tcPr>
          <w:p w14:paraId="7585F1BA" w14:textId="533EA653" w:rsidR="00551A55" w:rsidRPr="00820495" w:rsidRDefault="00551A55" w:rsidP="00551A55">
            <w:pPr>
              <w:jc w:val="left"/>
            </w:pPr>
            <w:r w:rsidRPr="00820495">
              <w:t>Type de prime</w:t>
            </w:r>
          </w:p>
        </w:tc>
        <w:tc>
          <w:tcPr>
            <w:tcW w:w="742" w:type="pct"/>
            <w:tcBorders>
              <w:left w:val="single" w:sz="12" w:space="0" w:color="000000"/>
              <w:right w:val="single" w:sz="12" w:space="0" w:color="000000"/>
            </w:tcBorders>
            <w:vAlign w:val="center"/>
          </w:tcPr>
          <w:p w14:paraId="2E975133" w14:textId="6D5F9B69" w:rsidR="00551A55" w:rsidRPr="00820495" w:rsidRDefault="00B83F99" w:rsidP="00551A55">
            <w:pPr>
              <w:jc w:val="left"/>
            </w:pPr>
            <w:r w:rsidRPr="00820495">
              <w:t>C0060</w:t>
            </w:r>
          </w:p>
        </w:tc>
        <w:tc>
          <w:tcPr>
            <w:tcW w:w="3511" w:type="pct"/>
            <w:tcBorders>
              <w:left w:val="single" w:sz="12" w:space="0" w:color="000000"/>
              <w:right w:val="single" w:sz="12" w:space="0" w:color="000000"/>
            </w:tcBorders>
            <w:vAlign w:val="center"/>
          </w:tcPr>
          <w:p w14:paraId="7E12E944" w14:textId="77777777" w:rsidR="00551A55" w:rsidRPr="008E18CF" w:rsidRDefault="00551A55" w:rsidP="00551A55">
            <w:pPr>
              <w:jc w:val="left"/>
            </w:pPr>
            <w:r>
              <w:t>L</w:t>
            </w:r>
            <w:r w:rsidRPr="008E18CF">
              <w:t xml:space="preserve">iste de choix : </w:t>
            </w:r>
          </w:p>
          <w:p w14:paraId="368BCA71" w14:textId="2B023E7E" w:rsidR="00551A55" w:rsidRPr="0009495A" w:rsidRDefault="00551A55" w:rsidP="00551A55">
            <w:pPr>
              <w:jc w:val="left"/>
            </w:pPr>
            <w:r w:rsidRPr="0009495A">
              <w:t>-</w:t>
            </w:r>
            <w:r w:rsidR="00820495">
              <w:t xml:space="preserve"> </w:t>
            </w:r>
            <w:r w:rsidRPr="0009495A">
              <w:t>Prime régulière</w:t>
            </w:r>
            <w:r w:rsidR="00C30054">
              <w:t xml:space="preserve"> </w:t>
            </w:r>
            <w:r w:rsidRPr="0009495A">
              <w:t>(</w:t>
            </w:r>
            <w:r>
              <w:t>PR</w:t>
            </w:r>
            <w:r w:rsidRPr="0009495A">
              <w:t>)</w:t>
            </w:r>
            <w:r>
              <w:t> ;</w:t>
            </w:r>
            <w:r w:rsidRPr="0009495A">
              <w:t xml:space="preserve"> </w:t>
            </w:r>
          </w:p>
          <w:p w14:paraId="2BE22AE4" w14:textId="1024212C" w:rsidR="00551A55" w:rsidRPr="0009495A" w:rsidRDefault="00551A55" w:rsidP="00551A55">
            <w:pPr>
              <w:jc w:val="left"/>
            </w:pPr>
            <w:r w:rsidRPr="0009495A">
              <w:t>-</w:t>
            </w:r>
            <w:r w:rsidR="00820495">
              <w:t xml:space="preserve"> </w:t>
            </w:r>
            <w:r w:rsidRPr="0009495A">
              <w:t>Prime unique</w:t>
            </w:r>
            <w:r w:rsidR="00C30054">
              <w:t xml:space="preserve"> </w:t>
            </w:r>
            <w:r w:rsidRPr="0009495A">
              <w:t>(</w:t>
            </w:r>
            <w:r>
              <w:t>P</w:t>
            </w:r>
            <w:r w:rsidRPr="0009495A">
              <w:t>S)</w:t>
            </w:r>
            <w:r>
              <w:t> ;</w:t>
            </w:r>
          </w:p>
          <w:p w14:paraId="1E943E81" w14:textId="6FDAD4DC" w:rsidR="00551A55" w:rsidRPr="0009495A" w:rsidRDefault="00551A55" w:rsidP="00551A55">
            <w:pPr>
              <w:jc w:val="left"/>
            </w:pPr>
            <w:r w:rsidRPr="0009495A">
              <w:t>-</w:t>
            </w:r>
            <w:r w:rsidR="00820495">
              <w:t xml:space="preserve"> </w:t>
            </w:r>
            <w:r w:rsidR="00E812D1">
              <w:t>P</w:t>
            </w:r>
            <w:r w:rsidRPr="0009495A">
              <w:t>rime simple sans échéance (NS)</w:t>
            </w:r>
            <w:r>
              <w:t> ;</w:t>
            </w:r>
            <w:r w:rsidRPr="0009495A">
              <w:t xml:space="preserve"> </w:t>
            </w:r>
          </w:p>
          <w:p w14:paraId="382E8DE4" w14:textId="3924FDB3" w:rsidR="00551A55" w:rsidRPr="0009495A" w:rsidRDefault="00551A55" w:rsidP="00551A55">
            <w:pPr>
              <w:jc w:val="left"/>
            </w:pPr>
            <w:r w:rsidRPr="0009495A">
              <w:t>-</w:t>
            </w:r>
            <w:r w:rsidR="00820495">
              <w:t xml:space="preserve"> </w:t>
            </w:r>
            <w:r w:rsidR="00E812D1">
              <w:t>P</w:t>
            </w:r>
            <w:r w:rsidRPr="0009495A">
              <w:t xml:space="preserve">rime exceptionnelle </w:t>
            </w:r>
            <w:r>
              <w:t>(PE</w:t>
            </w:r>
            <w:r w:rsidRPr="0009495A">
              <w:t>)</w:t>
            </w:r>
            <w:r>
              <w:t> ;</w:t>
            </w:r>
            <w:r w:rsidRPr="0009495A">
              <w:t xml:space="preserve"> </w:t>
            </w:r>
          </w:p>
          <w:p w14:paraId="6D06320D" w14:textId="5B258694" w:rsidR="00551A55" w:rsidRDefault="00551A55" w:rsidP="00551A55">
            <w:pPr>
              <w:jc w:val="left"/>
            </w:pPr>
            <w:r w:rsidRPr="0009495A">
              <w:t>-</w:t>
            </w:r>
            <w:r w:rsidR="00820495">
              <w:t xml:space="preserve"> </w:t>
            </w:r>
            <w:r w:rsidR="00E812D1">
              <w:t>A</w:t>
            </w:r>
            <w:r w:rsidRPr="0009495A">
              <w:t>utre</w:t>
            </w:r>
            <w:r>
              <w:t xml:space="preserve"> prime (PO)</w:t>
            </w:r>
            <w:r w:rsidRPr="0009495A">
              <w:t>.</w:t>
            </w:r>
          </w:p>
          <w:p w14:paraId="21BB0ED7" w14:textId="05AA22AC" w:rsidR="00551A55" w:rsidRPr="0009495A" w:rsidRDefault="00551A55" w:rsidP="009448BD">
            <w:pPr>
              <w:jc w:val="left"/>
            </w:pPr>
            <w:r>
              <w:t>(Plusieurs choix possibles</w:t>
            </w:r>
            <w:r w:rsidR="00820495">
              <w:t>, si plusieurs valeurs sont remises, il convient de les</w:t>
            </w:r>
            <w:r w:rsidR="009448BD">
              <w:t xml:space="preserve"> séparer par un espace</w:t>
            </w:r>
            <w:r>
              <w:t>)</w:t>
            </w:r>
          </w:p>
        </w:tc>
      </w:tr>
      <w:tr w:rsidR="00551A55" w14:paraId="46E39142" w14:textId="77777777" w:rsidTr="00551A55">
        <w:tc>
          <w:tcPr>
            <w:tcW w:w="747" w:type="pct"/>
            <w:tcBorders>
              <w:right w:val="single" w:sz="12" w:space="0" w:color="000000"/>
            </w:tcBorders>
            <w:vAlign w:val="center"/>
          </w:tcPr>
          <w:p w14:paraId="30395862" w14:textId="77777777" w:rsidR="00551A55" w:rsidRPr="00A93298" w:rsidRDefault="00551A55" w:rsidP="00551A55">
            <w:pPr>
              <w:jc w:val="left"/>
            </w:pPr>
            <w:r w:rsidRPr="00A93298">
              <w:t>Nombre de personnes couvertes à la fin de l'année</w:t>
            </w:r>
          </w:p>
          <w:p w14:paraId="23007800" w14:textId="77777777" w:rsidR="00551A55" w:rsidRPr="00BA5B74" w:rsidRDefault="00551A55" w:rsidP="00551A55">
            <w:pPr>
              <w:jc w:val="left"/>
            </w:pPr>
          </w:p>
        </w:tc>
        <w:tc>
          <w:tcPr>
            <w:tcW w:w="742" w:type="pct"/>
            <w:tcBorders>
              <w:left w:val="single" w:sz="12" w:space="0" w:color="000000"/>
              <w:right w:val="single" w:sz="12" w:space="0" w:color="000000"/>
            </w:tcBorders>
            <w:vAlign w:val="center"/>
          </w:tcPr>
          <w:p w14:paraId="64086E04" w14:textId="07D9F3E6" w:rsidR="00551A55" w:rsidRDefault="00B83F99" w:rsidP="00551A55">
            <w:pPr>
              <w:jc w:val="left"/>
              <w:rPr>
                <w:lang w:val="en-US"/>
              </w:rPr>
            </w:pPr>
            <w:r>
              <w:rPr>
                <w:lang w:val="en-US"/>
              </w:rPr>
              <w:t>C0070</w:t>
            </w:r>
          </w:p>
        </w:tc>
        <w:tc>
          <w:tcPr>
            <w:tcW w:w="3511" w:type="pct"/>
            <w:tcBorders>
              <w:left w:val="single" w:sz="12" w:space="0" w:color="000000"/>
              <w:right w:val="single" w:sz="12" w:space="0" w:color="000000"/>
            </w:tcBorders>
            <w:vAlign w:val="center"/>
          </w:tcPr>
          <w:p w14:paraId="32717D60" w14:textId="1FDC2826" w:rsidR="00551A55" w:rsidRPr="00385009" w:rsidRDefault="00551A55" w:rsidP="00B83F99">
            <w:pPr>
              <w:jc w:val="left"/>
            </w:pPr>
            <w:r w:rsidRPr="00385009">
              <w:t xml:space="preserve">Stock de </w:t>
            </w:r>
            <w:r w:rsidRPr="008E18CF">
              <w:t>personnes</w:t>
            </w:r>
            <w:r w:rsidR="00385009" w:rsidRPr="00385009">
              <w:t xml:space="preserve"> </w:t>
            </w:r>
            <w:r w:rsidRPr="00385009">
              <w:t>couvertes</w:t>
            </w:r>
            <w:r w:rsidR="00385009" w:rsidRPr="00385009">
              <w:t xml:space="preserve"> à la fin de l’exercice.</w:t>
            </w:r>
          </w:p>
        </w:tc>
      </w:tr>
      <w:tr w:rsidR="00551A55" w:rsidRPr="003F1528" w14:paraId="39A4FCF3" w14:textId="77777777" w:rsidTr="00551A55">
        <w:tc>
          <w:tcPr>
            <w:tcW w:w="747" w:type="pct"/>
            <w:tcBorders>
              <w:right w:val="single" w:sz="12" w:space="0" w:color="000000"/>
            </w:tcBorders>
            <w:vAlign w:val="center"/>
          </w:tcPr>
          <w:p w14:paraId="2D5BD868" w14:textId="3978C5B0" w:rsidR="00551A55" w:rsidRPr="008E18CF" w:rsidRDefault="00551A55" w:rsidP="00551A55">
            <w:pPr>
              <w:jc w:val="left"/>
            </w:pPr>
            <w:r w:rsidRPr="002772D6">
              <w:t>Nombre de nouvelles personnes couvertes au cours de l'année</w:t>
            </w:r>
          </w:p>
        </w:tc>
        <w:tc>
          <w:tcPr>
            <w:tcW w:w="742" w:type="pct"/>
            <w:tcBorders>
              <w:left w:val="single" w:sz="12" w:space="0" w:color="000000"/>
              <w:right w:val="single" w:sz="12" w:space="0" w:color="000000"/>
            </w:tcBorders>
            <w:vAlign w:val="center"/>
          </w:tcPr>
          <w:p w14:paraId="3789E8D2" w14:textId="16F608C2" w:rsidR="00551A55" w:rsidRPr="00872D5B" w:rsidRDefault="00B83F99" w:rsidP="00551A55">
            <w:pPr>
              <w:jc w:val="left"/>
            </w:pPr>
            <w:r>
              <w:t>C0080</w:t>
            </w:r>
          </w:p>
        </w:tc>
        <w:tc>
          <w:tcPr>
            <w:tcW w:w="3511" w:type="pct"/>
            <w:tcBorders>
              <w:left w:val="single" w:sz="12" w:space="0" w:color="000000"/>
              <w:right w:val="single" w:sz="12" w:space="0" w:color="000000"/>
            </w:tcBorders>
            <w:vAlign w:val="center"/>
          </w:tcPr>
          <w:p w14:paraId="40B58E5D" w14:textId="77777777" w:rsidR="00551A55" w:rsidRPr="003F1528" w:rsidRDefault="00551A55" w:rsidP="00551A55">
            <w:pPr>
              <w:jc w:val="left"/>
            </w:pPr>
            <w:r>
              <w:t>Nouvelles personnes couvertes</w:t>
            </w:r>
            <w:r w:rsidRPr="003F1528">
              <w:t xml:space="preserve"> dans l’année</w:t>
            </w:r>
            <w:r>
              <w:t>.</w:t>
            </w:r>
            <w:r w:rsidRPr="003F1528">
              <w:t xml:space="preserve"> </w:t>
            </w:r>
          </w:p>
          <w:p w14:paraId="102369F8" w14:textId="77777777" w:rsidR="00551A55" w:rsidRPr="003F1528" w:rsidRDefault="00551A55" w:rsidP="00551A55">
            <w:pPr>
              <w:jc w:val="left"/>
            </w:pPr>
          </w:p>
        </w:tc>
      </w:tr>
      <w:tr w:rsidR="00551A55" w:rsidRPr="007F730B" w14:paraId="7DCC9CFE" w14:textId="77777777" w:rsidTr="00551A55">
        <w:tc>
          <w:tcPr>
            <w:tcW w:w="747" w:type="pct"/>
            <w:tcBorders>
              <w:right w:val="single" w:sz="12" w:space="0" w:color="000000"/>
            </w:tcBorders>
            <w:vAlign w:val="center"/>
          </w:tcPr>
          <w:p w14:paraId="619655B5" w14:textId="651032C6" w:rsidR="00551A55" w:rsidRPr="008E18CF" w:rsidRDefault="00551A55" w:rsidP="00551A55">
            <w:pPr>
              <w:jc w:val="left"/>
            </w:pPr>
            <w:r w:rsidRPr="002772D6">
              <w:t>Montant des primes émises au cours de l'année</w:t>
            </w:r>
          </w:p>
        </w:tc>
        <w:tc>
          <w:tcPr>
            <w:tcW w:w="742" w:type="pct"/>
            <w:tcBorders>
              <w:left w:val="single" w:sz="12" w:space="0" w:color="000000"/>
              <w:right w:val="single" w:sz="12" w:space="0" w:color="000000"/>
            </w:tcBorders>
            <w:vAlign w:val="center"/>
          </w:tcPr>
          <w:p w14:paraId="5F62D93E" w14:textId="77BAB42B" w:rsidR="00551A55" w:rsidRPr="003F1528" w:rsidRDefault="00B83F99" w:rsidP="00551A55">
            <w:pPr>
              <w:jc w:val="left"/>
            </w:pPr>
            <w:r>
              <w:t>C0090</w:t>
            </w:r>
          </w:p>
        </w:tc>
        <w:tc>
          <w:tcPr>
            <w:tcW w:w="3511" w:type="pct"/>
            <w:tcBorders>
              <w:left w:val="single" w:sz="12" w:space="0" w:color="000000"/>
              <w:right w:val="single" w:sz="12" w:space="0" w:color="000000"/>
            </w:tcBorders>
            <w:vAlign w:val="center"/>
          </w:tcPr>
          <w:p w14:paraId="6E350D37" w14:textId="77B49A73" w:rsidR="00551A55" w:rsidRPr="007F730B" w:rsidRDefault="00551A55" w:rsidP="00551A55">
            <w:pPr>
              <w:autoSpaceDE w:val="0"/>
              <w:autoSpaceDN w:val="0"/>
              <w:adjustRightInd w:val="0"/>
              <w:jc w:val="left"/>
            </w:pPr>
            <w:r w:rsidRPr="007F730B">
              <w:t>Montant émis au cours de l’année.</w:t>
            </w:r>
          </w:p>
          <w:p w14:paraId="0448F431" w14:textId="77777777" w:rsidR="00551A55" w:rsidRPr="007F730B" w:rsidRDefault="00551A55" w:rsidP="00551A55">
            <w:pPr>
              <w:autoSpaceDE w:val="0"/>
              <w:autoSpaceDN w:val="0"/>
              <w:adjustRightInd w:val="0"/>
              <w:jc w:val="left"/>
            </w:pPr>
          </w:p>
        </w:tc>
      </w:tr>
      <w:tr w:rsidR="00551A55" w:rsidRPr="007F730B" w14:paraId="52F538F8" w14:textId="77777777" w:rsidTr="00551A55">
        <w:tc>
          <w:tcPr>
            <w:tcW w:w="747" w:type="pct"/>
            <w:tcBorders>
              <w:right w:val="single" w:sz="12" w:space="0" w:color="000000"/>
            </w:tcBorders>
            <w:vAlign w:val="center"/>
          </w:tcPr>
          <w:p w14:paraId="46CDA973" w14:textId="0650CE8A" w:rsidR="00551A55" w:rsidRPr="007F730B" w:rsidRDefault="00551A55" w:rsidP="00551A55">
            <w:pPr>
              <w:jc w:val="left"/>
            </w:pPr>
            <w:r w:rsidRPr="002772D6">
              <w:t xml:space="preserve">Montant des sorties (rachats, </w:t>
            </w:r>
            <w:r w:rsidRPr="002772D6">
              <w:lastRenderedPageBreak/>
              <w:t>résiliations, …)</w:t>
            </w:r>
          </w:p>
        </w:tc>
        <w:tc>
          <w:tcPr>
            <w:tcW w:w="742" w:type="pct"/>
            <w:tcBorders>
              <w:left w:val="single" w:sz="12" w:space="0" w:color="000000"/>
              <w:right w:val="single" w:sz="12" w:space="0" w:color="000000"/>
            </w:tcBorders>
            <w:vAlign w:val="center"/>
          </w:tcPr>
          <w:p w14:paraId="5AEA6E40" w14:textId="66962210" w:rsidR="00551A55" w:rsidRDefault="00B83F99" w:rsidP="00551A55">
            <w:pPr>
              <w:jc w:val="left"/>
              <w:rPr>
                <w:lang w:val="en-US"/>
              </w:rPr>
            </w:pPr>
            <w:r>
              <w:rPr>
                <w:lang w:val="en-US"/>
              </w:rPr>
              <w:lastRenderedPageBreak/>
              <w:t>C0100</w:t>
            </w:r>
          </w:p>
        </w:tc>
        <w:tc>
          <w:tcPr>
            <w:tcW w:w="3511" w:type="pct"/>
            <w:tcBorders>
              <w:left w:val="single" w:sz="12" w:space="0" w:color="000000"/>
              <w:right w:val="single" w:sz="12" w:space="0" w:color="000000"/>
            </w:tcBorders>
            <w:vAlign w:val="center"/>
          </w:tcPr>
          <w:p w14:paraId="6E948668" w14:textId="7CEDEE70" w:rsidR="00551A55" w:rsidRPr="007F730B" w:rsidRDefault="00551A55" w:rsidP="00551A55">
            <w:pPr>
              <w:jc w:val="left"/>
            </w:pPr>
            <w:r w:rsidRPr="007F730B">
              <w:t xml:space="preserve">Montant des </w:t>
            </w:r>
            <w:r>
              <w:t>sorties</w:t>
            </w:r>
            <w:r w:rsidRPr="007F730B">
              <w:t xml:space="preserve"> versées au cours de l’année. </w:t>
            </w:r>
            <w:r>
              <w:t>(rachat</w:t>
            </w:r>
            <w:r w:rsidR="004F703D">
              <w:t>s</w:t>
            </w:r>
            <w:r>
              <w:t>, résiliation</w:t>
            </w:r>
            <w:r w:rsidR="004F703D">
              <w:t>s</w:t>
            </w:r>
            <w:r>
              <w:t>, …)</w:t>
            </w:r>
            <w:r w:rsidR="00E812D1">
              <w:t>.</w:t>
            </w:r>
          </w:p>
        </w:tc>
      </w:tr>
      <w:tr w:rsidR="00551A55" w:rsidRPr="007F730B" w14:paraId="66E88A0D" w14:textId="77777777" w:rsidTr="00551A55">
        <w:tc>
          <w:tcPr>
            <w:tcW w:w="747" w:type="pct"/>
            <w:tcBorders>
              <w:right w:val="single" w:sz="12" w:space="0" w:color="000000"/>
            </w:tcBorders>
            <w:vAlign w:val="center"/>
          </w:tcPr>
          <w:p w14:paraId="5E2D2BCE" w14:textId="1FDD429A" w:rsidR="00551A55" w:rsidRPr="007F730B" w:rsidRDefault="00551A55" w:rsidP="00551A55">
            <w:pPr>
              <w:jc w:val="left"/>
            </w:pPr>
            <w:r w:rsidRPr="002772D6">
              <w:t>Montant total des prestations payées au cours de l'année</w:t>
            </w:r>
          </w:p>
        </w:tc>
        <w:tc>
          <w:tcPr>
            <w:tcW w:w="742" w:type="pct"/>
            <w:tcBorders>
              <w:left w:val="single" w:sz="12" w:space="0" w:color="000000"/>
              <w:right w:val="single" w:sz="12" w:space="0" w:color="000000"/>
            </w:tcBorders>
            <w:vAlign w:val="center"/>
          </w:tcPr>
          <w:p w14:paraId="05F661B8" w14:textId="28A5BC6C" w:rsidR="00551A55" w:rsidRPr="00EA597F" w:rsidRDefault="00B83F99" w:rsidP="00551A55">
            <w:pPr>
              <w:jc w:val="left"/>
            </w:pPr>
            <w:r>
              <w:t>C0110</w:t>
            </w:r>
          </w:p>
        </w:tc>
        <w:tc>
          <w:tcPr>
            <w:tcW w:w="3511" w:type="pct"/>
            <w:tcBorders>
              <w:left w:val="single" w:sz="12" w:space="0" w:color="000000"/>
              <w:right w:val="single" w:sz="12" w:space="0" w:color="000000"/>
            </w:tcBorders>
            <w:vAlign w:val="center"/>
          </w:tcPr>
          <w:p w14:paraId="580F8830" w14:textId="77777777" w:rsidR="00551A55" w:rsidRPr="007F730B" w:rsidRDefault="00551A55" w:rsidP="00551A55">
            <w:pPr>
              <w:jc w:val="left"/>
            </w:pPr>
            <w:r w:rsidRPr="007F730B">
              <w:t xml:space="preserve">Montant des </w:t>
            </w:r>
            <w:r>
              <w:t xml:space="preserve">prestations </w:t>
            </w:r>
            <w:r w:rsidRPr="007F730B">
              <w:t xml:space="preserve">versées au cours de l’année. </w:t>
            </w:r>
          </w:p>
        </w:tc>
      </w:tr>
      <w:tr w:rsidR="00551A55" w:rsidRPr="00D36FC7" w14:paraId="355ABD97" w14:textId="77777777" w:rsidTr="00551A55">
        <w:tc>
          <w:tcPr>
            <w:tcW w:w="747" w:type="pct"/>
            <w:tcBorders>
              <w:right w:val="single" w:sz="12" w:space="0" w:color="000000"/>
            </w:tcBorders>
            <w:vAlign w:val="center"/>
          </w:tcPr>
          <w:p w14:paraId="18093962" w14:textId="00ED04C9" w:rsidR="00551A55" w:rsidRPr="00820495" w:rsidRDefault="00551A55" w:rsidP="00551A55">
            <w:pPr>
              <w:jc w:val="left"/>
            </w:pPr>
            <w:r w:rsidRPr="002772D6">
              <w:t>Montant</w:t>
            </w:r>
            <w:r>
              <w:t xml:space="preserve"> des</w:t>
            </w:r>
            <w:r w:rsidRPr="002772D6">
              <w:t xml:space="preserve"> capitaux assurés </w:t>
            </w:r>
          </w:p>
        </w:tc>
        <w:tc>
          <w:tcPr>
            <w:tcW w:w="742" w:type="pct"/>
            <w:tcBorders>
              <w:left w:val="single" w:sz="12" w:space="0" w:color="000000"/>
              <w:right w:val="single" w:sz="12" w:space="0" w:color="000000"/>
            </w:tcBorders>
            <w:vAlign w:val="center"/>
          </w:tcPr>
          <w:p w14:paraId="34EB31A2" w14:textId="793A3154" w:rsidR="00551A55" w:rsidRDefault="00B83F99" w:rsidP="00551A55">
            <w:pPr>
              <w:jc w:val="left"/>
              <w:rPr>
                <w:lang w:val="en-US"/>
              </w:rPr>
            </w:pPr>
            <w:r>
              <w:rPr>
                <w:lang w:val="en-US"/>
              </w:rPr>
              <w:t>C0120</w:t>
            </w:r>
          </w:p>
        </w:tc>
        <w:tc>
          <w:tcPr>
            <w:tcW w:w="3511" w:type="pct"/>
            <w:tcBorders>
              <w:left w:val="single" w:sz="12" w:space="0" w:color="000000"/>
              <w:right w:val="single" w:sz="12" w:space="0" w:color="000000"/>
            </w:tcBorders>
            <w:vAlign w:val="center"/>
          </w:tcPr>
          <w:p w14:paraId="3DDBD3D7" w14:textId="48836943" w:rsidR="00551A55" w:rsidRPr="00D36FC7" w:rsidRDefault="00551A55" w:rsidP="00551A55">
            <w:pPr>
              <w:jc w:val="left"/>
            </w:pPr>
            <w:r w:rsidRPr="00D36FC7">
              <w:t>Montant d</w:t>
            </w:r>
            <w:r>
              <w:t>es</w:t>
            </w:r>
            <w:r w:rsidRPr="00D36FC7">
              <w:t xml:space="preserve"> capita</w:t>
            </w:r>
            <w:r>
              <w:t>ux</w:t>
            </w:r>
            <w:r w:rsidRPr="00D36FC7">
              <w:t xml:space="preserve"> assuré</w:t>
            </w:r>
            <w:r>
              <w:t>s</w:t>
            </w:r>
            <w:r w:rsidR="00E812D1">
              <w:t>.</w:t>
            </w:r>
          </w:p>
        </w:tc>
      </w:tr>
      <w:tr w:rsidR="00551A55" w:rsidRPr="00D36FC7" w14:paraId="7FB18321" w14:textId="77777777" w:rsidTr="00551A55">
        <w:tc>
          <w:tcPr>
            <w:tcW w:w="747" w:type="pct"/>
            <w:tcBorders>
              <w:right w:val="single" w:sz="12" w:space="0" w:color="000000"/>
            </w:tcBorders>
            <w:vAlign w:val="center"/>
          </w:tcPr>
          <w:p w14:paraId="2036121B" w14:textId="39C2CADB" w:rsidR="00551A55" w:rsidRPr="00D36FC7" w:rsidRDefault="00551A55" w:rsidP="00551A55">
            <w:pPr>
              <w:jc w:val="left"/>
            </w:pPr>
            <w:r w:rsidRPr="002772D6">
              <w:t xml:space="preserve">Montant des annuités assurées </w:t>
            </w:r>
          </w:p>
        </w:tc>
        <w:tc>
          <w:tcPr>
            <w:tcW w:w="742" w:type="pct"/>
            <w:tcBorders>
              <w:left w:val="single" w:sz="12" w:space="0" w:color="000000"/>
              <w:right w:val="single" w:sz="12" w:space="0" w:color="000000"/>
            </w:tcBorders>
            <w:vAlign w:val="center"/>
          </w:tcPr>
          <w:p w14:paraId="556154F9" w14:textId="746A1204" w:rsidR="00551A55" w:rsidRDefault="00B83F99" w:rsidP="00551A55">
            <w:pPr>
              <w:jc w:val="left"/>
              <w:rPr>
                <w:lang w:val="en-US"/>
              </w:rPr>
            </w:pPr>
            <w:r>
              <w:rPr>
                <w:lang w:val="en-US"/>
              </w:rPr>
              <w:t>C0130</w:t>
            </w:r>
          </w:p>
        </w:tc>
        <w:tc>
          <w:tcPr>
            <w:tcW w:w="3511" w:type="pct"/>
            <w:tcBorders>
              <w:left w:val="single" w:sz="12" w:space="0" w:color="000000"/>
              <w:right w:val="single" w:sz="12" w:space="0" w:color="000000"/>
            </w:tcBorders>
            <w:vAlign w:val="center"/>
          </w:tcPr>
          <w:p w14:paraId="1205B305" w14:textId="77777777" w:rsidR="00551A55" w:rsidRPr="00D36FC7" w:rsidRDefault="00551A55" w:rsidP="00551A55">
            <w:pPr>
              <w:jc w:val="left"/>
            </w:pPr>
            <w:r w:rsidRPr="00D36FC7">
              <w:t>Montant d</w:t>
            </w:r>
            <w:r>
              <w:t xml:space="preserve">u capital constitutif des </w:t>
            </w:r>
            <w:r w:rsidRPr="00D36FC7">
              <w:t>rentes assur</w:t>
            </w:r>
            <w:r>
              <w:t>ées.</w:t>
            </w:r>
          </w:p>
        </w:tc>
      </w:tr>
      <w:tr w:rsidR="00551A55" w:rsidRPr="003240EC" w14:paraId="600C7BCB" w14:textId="77777777" w:rsidTr="00551A55">
        <w:tc>
          <w:tcPr>
            <w:tcW w:w="747" w:type="pct"/>
            <w:tcBorders>
              <w:right w:val="single" w:sz="12" w:space="0" w:color="000000"/>
            </w:tcBorders>
            <w:vAlign w:val="center"/>
          </w:tcPr>
          <w:p w14:paraId="28E0BFDC" w14:textId="42B8773A" w:rsidR="00551A55" w:rsidRPr="00820495" w:rsidRDefault="00E812D1" w:rsidP="00551A55">
            <w:pPr>
              <w:jc w:val="left"/>
            </w:pPr>
            <w:r>
              <w:t xml:space="preserve">Montant des </w:t>
            </w:r>
            <w:r w:rsidR="00551A55" w:rsidRPr="002772D6">
              <w:t>rachat</w:t>
            </w:r>
            <w:r>
              <w:t>s</w:t>
            </w:r>
          </w:p>
        </w:tc>
        <w:tc>
          <w:tcPr>
            <w:tcW w:w="742" w:type="pct"/>
            <w:tcBorders>
              <w:left w:val="single" w:sz="12" w:space="0" w:color="000000"/>
              <w:right w:val="single" w:sz="12" w:space="0" w:color="000000"/>
            </w:tcBorders>
            <w:vAlign w:val="center"/>
          </w:tcPr>
          <w:p w14:paraId="512D2EFE" w14:textId="19A38718" w:rsidR="00551A55" w:rsidRDefault="00B83F99" w:rsidP="00551A55">
            <w:pPr>
              <w:jc w:val="left"/>
              <w:rPr>
                <w:lang w:val="en-US"/>
              </w:rPr>
            </w:pPr>
            <w:r>
              <w:rPr>
                <w:lang w:val="en-US"/>
              </w:rPr>
              <w:t>C0140</w:t>
            </w:r>
          </w:p>
        </w:tc>
        <w:tc>
          <w:tcPr>
            <w:tcW w:w="3511" w:type="pct"/>
            <w:tcBorders>
              <w:left w:val="single" w:sz="12" w:space="0" w:color="000000"/>
              <w:right w:val="single" w:sz="12" w:space="0" w:color="000000"/>
            </w:tcBorders>
            <w:vAlign w:val="center"/>
          </w:tcPr>
          <w:p w14:paraId="73961765" w14:textId="71A0D92D" w:rsidR="00551A55" w:rsidRPr="003240EC" w:rsidRDefault="00E812D1" w:rsidP="00551A55">
            <w:pPr>
              <w:jc w:val="left"/>
            </w:pPr>
            <w:r>
              <w:t>Montant des valeurs</w:t>
            </w:r>
            <w:r w:rsidRPr="006D643C">
              <w:t xml:space="preserve"> </w:t>
            </w:r>
            <w:r w:rsidR="00551A55" w:rsidRPr="006D643C">
              <w:t xml:space="preserve">de rachat </w:t>
            </w:r>
            <w:r w:rsidRPr="006D643C">
              <w:t>garanti</w:t>
            </w:r>
            <w:r w:rsidR="004F703D">
              <w:t>es</w:t>
            </w:r>
            <w:r>
              <w:t>.</w:t>
            </w:r>
          </w:p>
        </w:tc>
      </w:tr>
      <w:tr w:rsidR="00551A55" w:rsidRPr="006D643C" w14:paraId="477833FF" w14:textId="77777777" w:rsidTr="00551A55">
        <w:tc>
          <w:tcPr>
            <w:tcW w:w="5000" w:type="pct"/>
            <w:gridSpan w:val="3"/>
            <w:tcBorders>
              <w:right w:val="single" w:sz="12" w:space="0" w:color="000000"/>
            </w:tcBorders>
            <w:vAlign w:val="center"/>
          </w:tcPr>
          <w:p w14:paraId="59F60F8F" w14:textId="77777777" w:rsidR="00551A55" w:rsidRDefault="00551A55" w:rsidP="00551A55">
            <w:pPr>
              <w:jc w:val="left"/>
              <w:rPr>
                <w:rFonts w:ascii="Arial" w:eastAsia="Times New Roman" w:hAnsi="Arial" w:cs="Arial"/>
                <w:b/>
                <w:bCs/>
                <w:highlight w:val="lightGray"/>
                <w:lang w:eastAsia="fr-FR"/>
              </w:rPr>
            </w:pPr>
          </w:p>
          <w:p w14:paraId="4FBFC19B" w14:textId="77777777" w:rsidR="00551A55" w:rsidRDefault="00551A55" w:rsidP="00551A55">
            <w:pPr>
              <w:jc w:val="left"/>
              <w:rPr>
                <w:rFonts w:ascii="Arial" w:eastAsia="Times New Roman" w:hAnsi="Arial" w:cs="Arial"/>
                <w:b/>
                <w:bCs/>
                <w:highlight w:val="lightGray"/>
                <w:lang w:eastAsia="fr-FR"/>
              </w:rPr>
            </w:pPr>
          </w:p>
          <w:p w14:paraId="0A733D4A" w14:textId="0BC88CA3"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 xml:space="preserve">B) CALCUL DES PROVISIONS TECHNIQUES </w:t>
            </w:r>
            <w:r w:rsidR="00E812D1" w:rsidRPr="00551A55">
              <w:rPr>
                <w:rFonts w:ascii="Arial" w:eastAsia="Times New Roman" w:hAnsi="Arial" w:cs="Arial"/>
                <w:b/>
                <w:bCs/>
                <w:lang w:eastAsia="fr-FR"/>
              </w:rPr>
              <w:t>(</w:t>
            </w:r>
            <w:r w:rsidR="00E812D1">
              <w:rPr>
                <w:rFonts w:ascii="Arial" w:eastAsia="Times New Roman" w:hAnsi="Arial" w:cs="Arial"/>
                <w:b/>
                <w:bCs/>
                <w:lang w:eastAsia="fr-FR"/>
              </w:rPr>
              <w:t>Meilleure estimation</w:t>
            </w:r>
            <w:r w:rsidRPr="00551A55">
              <w:rPr>
                <w:rFonts w:ascii="Arial" w:eastAsia="Times New Roman" w:hAnsi="Arial" w:cs="Arial"/>
                <w:b/>
                <w:bCs/>
                <w:lang w:eastAsia="fr-FR"/>
              </w:rPr>
              <w:t>)</w:t>
            </w:r>
          </w:p>
          <w:p w14:paraId="0202FB88" w14:textId="77777777" w:rsidR="00551A55" w:rsidRPr="006D643C" w:rsidRDefault="00551A55" w:rsidP="00551A55">
            <w:pPr>
              <w:jc w:val="left"/>
            </w:pPr>
          </w:p>
        </w:tc>
      </w:tr>
      <w:tr w:rsidR="00551A55" w:rsidRPr="008E18CF" w14:paraId="5F006B2F" w14:textId="77777777" w:rsidTr="00551A55">
        <w:tc>
          <w:tcPr>
            <w:tcW w:w="747" w:type="pct"/>
            <w:tcBorders>
              <w:right w:val="single" w:sz="12" w:space="0" w:color="000000"/>
            </w:tcBorders>
            <w:vAlign w:val="center"/>
          </w:tcPr>
          <w:p w14:paraId="696FA231" w14:textId="4E5940B9" w:rsidR="00551A55" w:rsidRDefault="00820495" w:rsidP="00820495">
            <w:pPr>
              <w:jc w:val="left"/>
              <w:rPr>
                <w:lang w:val="en-US"/>
              </w:rPr>
            </w:pPr>
            <w:r>
              <w:t>Identifiant de l’</w:t>
            </w:r>
            <w:r w:rsidR="00551A55" w:rsidRPr="002772D6">
              <w:t>organisme substitué</w:t>
            </w:r>
          </w:p>
        </w:tc>
        <w:tc>
          <w:tcPr>
            <w:tcW w:w="742" w:type="pct"/>
            <w:tcBorders>
              <w:left w:val="single" w:sz="12" w:space="0" w:color="000000"/>
              <w:right w:val="single" w:sz="12" w:space="0" w:color="000000"/>
            </w:tcBorders>
            <w:vAlign w:val="center"/>
          </w:tcPr>
          <w:p w14:paraId="7AAE1980" w14:textId="27C800D0" w:rsidR="00551A55" w:rsidRPr="003B1F67" w:rsidRDefault="00B83F99" w:rsidP="00551A55">
            <w:pPr>
              <w:jc w:val="left"/>
              <w:rPr>
                <w:lang w:val="en-US"/>
              </w:rPr>
            </w:pPr>
            <w:r>
              <w:rPr>
                <w:lang w:val="en-US"/>
              </w:rPr>
              <w:t>C0150</w:t>
            </w:r>
          </w:p>
        </w:tc>
        <w:tc>
          <w:tcPr>
            <w:tcW w:w="3511" w:type="pct"/>
            <w:tcBorders>
              <w:left w:val="single" w:sz="12" w:space="0" w:color="000000"/>
              <w:right w:val="single" w:sz="12" w:space="0" w:color="000000"/>
            </w:tcBorders>
            <w:vAlign w:val="center"/>
          </w:tcPr>
          <w:p w14:paraId="5F57E468" w14:textId="77777777" w:rsidR="00820495" w:rsidRDefault="00820495" w:rsidP="00820495">
            <w:pPr>
              <w:jc w:val="left"/>
            </w:pPr>
            <w:r w:rsidRPr="008E18CF">
              <w:t>Numéro d’identification</w:t>
            </w:r>
            <w:r>
              <w:t xml:space="preserve"> </w:t>
            </w:r>
            <w:r w:rsidRPr="008E18CF">
              <w:t>de</w:t>
            </w:r>
            <w:r>
              <w:t xml:space="preserve"> l’organisme. Ancien numéro RNM.</w:t>
            </w:r>
          </w:p>
          <w:p w14:paraId="49E25959" w14:textId="34E42DC3" w:rsidR="00820495" w:rsidRDefault="00820495" w:rsidP="00820495">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 </w:t>
            </w:r>
            <w:r w:rsidR="004F6D62">
              <w:t>À défaut</w:t>
            </w:r>
            <w:r>
              <w:t>, l’identifiant à indiquer est le SIREN.</w:t>
            </w:r>
          </w:p>
          <w:p w14:paraId="0B8A96EF" w14:textId="77777777" w:rsidR="00820495" w:rsidRDefault="00820495" w:rsidP="00820495">
            <w:pPr>
              <w:jc w:val="left"/>
            </w:pPr>
          </w:p>
          <w:p w14:paraId="5ECCFC01" w14:textId="77777777" w:rsidR="00820495" w:rsidRDefault="00820495" w:rsidP="00820495">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78ECA081" w14:textId="77777777" w:rsidR="00820495" w:rsidRDefault="00820495" w:rsidP="00820495">
            <w:pPr>
              <w:pStyle w:val="Paragraphedeliste"/>
              <w:numPr>
                <w:ilvl w:val="0"/>
                <w:numId w:val="22"/>
              </w:numPr>
              <w:jc w:val="left"/>
            </w:pPr>
            <w:r>
              <w:t>« LEI/XXXXXXXXXXXXXXXXXXXX »</w:t>
            </w:r>
          </w:p>
          <w:p w14:paraId="3B524A7D" w14:textId="7CFC5F6F" w:rsidR="00551A55" w:rsidRPr="008E18CF" w:rsidRDefault="00820495" w:rsidP="00820495">
            <w:pPr>
              <w:pStyle w:val="Paragraphedeliste"/>
              <w:numPr>
                <w:ilvl w:val="0"/>
                <w:numId w:val="22"/>
              </w:numPr>
              <w:jc w:val="left"/>
            </w:pPr>
            <w:r>
              <w:t>« SIREN/XXXXXXXXX »</w:t>
            </w:r>
          </w:p>
        </w:tc>
      </w:tr>
      <w:tr w:rsidR="00551A55" w:rsidRPr="001373F1" w14:paraId="3C88F78A" w14:textId="77777777" w:rsidTr="00551A55">
        <w:tc>
          <w:tcPr>
            <w:tcW w:w="747" w:type="pct"/>
            <w:tcBorders>
              <w:right w:val="single" w:sz="12" w:space="0" w:color="000000"/>
            </w:tcBorders>
            <w:vAlign w:val="center"/>
          </w:tcPr>
          <w:p w14:paraId="2E1CD8BF"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23B3D5BB" w14:textId="38C3F366" w:rsidR="00551A55" w:rsidRPr="003F1528" w:rsidRDefault="00B83F99" w:rsidP="00551A55">
            <w:pPr>
              <w:jc w:val="left"/>
            </w:pPr>
            <w:r>
              <w:t>C0160</w:t>
            </w:r>
          </w:p>
        </w:tc>
        <w:tc>
          <w:tcPr>
            <w:tcW w:w="3511" w:type="pct"/>
            <w:tcBorders>
              <w:left w:val="single" w:sz="12" w:space="0" w:color="000000"/>
              <w:right w:val="single" w:sz="12" w:space="0" w:color="000000"/>
            </w:tcBorders>
            <w:vAlign w:val="center"/>
          </w:tcPr>
          <w:p w14:paraId="74B06A29" w14:textId="77777777" w:rsidR="00B03380" w:rsidRDefault="00551A55" w:rsidP="00B03380">
            <w:pPr>
              <w:pStyle w:val="Default"/>
              <w:rPr>
                <w:rFonts w:ascii="Times New Roman" w:hAnsi="Times New Roman" w:cstheme="minorBidi"/>
                <w:color w:val="auto"/>
                <w:sz w:val="22"/>
                <w:szCs w:val="22"/>
              </w:rPr>
            </w:pPr>
            <w:r w:rsidRPr="001373F1">
              <w:t>L</w:t>
            </w:r>
            <w:r>
              <w:t>igne</w:t>
            </w:r>
            <w:r w:rsidR="00C30054">
              <w:t>s</w:t>
            </w:r>
            <w:r>
              <w:t xml:space="preserve"> d’activité</w:t>
            </w:r>
            <w:r w:rsidRPr="001373F1">
              <w:t xml:space="preserve"> comme définie dans le</w:t>
            </w:r>
            <w:r>
              <w:t xml:space="preserve"> régime </w:t>
            </w:r>
            <w:r w:rsidR="00C30054">
              <w:t>S</w:t>
            </w:r>
            <w:r>
              <w:t xml:space="preserve">olvabilité </w:t>
            </w:r>
            <w:r w:rsidR="00E812D1">
              <w:t>II</w:t>
            </w:r>
            <w:r>
              <w:t>.</w:t>
            </w:r>
            <w:r w:rsidRPr="001373F1">
              <w:t xml:space="preserve"> </w:t>
            </w:r>
            <w:r>
              <w:t xml:space="preserve"> </w:t>
            </w:r>
            <w:r w:rsidR="00C30054" w:rsidRPr="008A3C44">
              <w:t xml:space="preserve">Voir annexe I du </w:t>
            </w:r>
            <w:r w:rsidR="00C30054">
              <w:t xml:space="preserve">Règlement Délégué </w:t>
            </w:r>
            <w:r w:rsidR="00C30054" w:rsidRPr="008A3C44">
              <w:t>(UE) 2015/35</w:t>
            </w:r>
            <w:r w:rsidR="00C30054">
              <w:t>.</w:t>
            </w:r>
            <w:r w:rsidR="00B03380">
              <w:t xml:space="preserve"> </w:t>
            </w:r>
            <w:r w:rsidR="00B03380">
              <w:rPr>
                <w:rFonts w:ascii="Times New Roman" w:hAnsi="Times New Roman" w:cstheme="minorBidi"/>
                <w:color w:val="auto"/>
                <w:sz w:val="22"/>
                <w:szCs w:val="22"/>
              </w:rPr>
              <w:t xml:space="preserve">Choisir impérativement l’une des valeurs suivantes : </w:t>
            </w:r>
          </w:p>
          <w:p w14:paraId="2EE59EA2" w14:textId="77777777" w:rsidR="00B03380" w:rsidRDefault="00B03380" w:rsidP="00B03380">
            <w:pPr>
              <w:pStyle w:val="Default"/>
              <w:numPr>
                <w:ilvl w:val="0"/>
                <w:numId w:val="23"/>
              </w:numPr>
            </w:pPr>
            <w:r>
              <w:t>Engagements d'assurance non-vie</w:t>
            </w:r>
          </w:p>
          <w:p w14:paraId="3A036A85" w14:textId="77777777" w:rsidR="00B03380" w:rsidRDefault="00B03380" w:rsidP="00B03380">
            <w:pPr>
              <w:pStyle w:val="Default"/>
              <w:numPr>
                <w:ilvl w:val="1"/>
                <w:numId w:val="23"/>
              </w:numPr>
            </w:pPr>
            <w:r>
              <w:t>Assurance frais de santé</w:t>
            </w:r>
          </w:p>
          <w:p w14:paraId="301A369A" w14:textId="77777777" w:rsidR="00B03380" w:rsidRDefault="00B03380" w:rsidP="00B03380">
            <w:pPr>
              <w:pStyle w:val="Default"/>
              <w:numPr>
                <w:ilvl w:val="1"/>
                <w:numId w:val="23"/>
              </w:numPr>
            </w:pPr>
            <w:r>
              <w:t>Assurance perte de revenus</w:t>
            </w:r>
          </w:p>
          <w:p w14:paraId="78AD73F4" w14:textId="77777777" w:rsidR="00B03380" w:rsidRDefault="00B03380" w:rsidP="00B03380">
            <w:pPr>
              <w:pStyle w:val="Default"/>
              <w:numPr>
                <w:ilvl w:val="1"/>
                <w:numId w:val="23"/>
              </w:numPr>
            </w:pPr>
            <w:r>
              <w:t>Assurance accidents du travail et maladies professionnelles</w:t>
            </w:r>
          </w:p>
          <w:p w14:paraId="314658D1" w14:textId="77777777" w:rsidR="00B03380" w:rsidRDefault="00B03380" w:rsidP="00B03380">
            <w:pPr>
              <w:pStyle w:val="Default"/>
              <w:numPr>
                <w:ilvl w:val="1"/>
                <w:numId w:val="23"/>
              </w:numPr>
            </w:pPr>
            <w:r>
              <w:t>Crédit et caution</w:t>
            </w:r>
          </w:p>
          <w:p w14:paraId="72CA2975" w14:textId="77777777" w:rsidR="00B03380" w:rsidRDefault="00B03380" w:rsidP="00B03380">
            <w:pPr>
              <w:pStyle w:val="Default"/>
              <w:numPr>
                <w:ilvl w:val="1"/>
                <w:numId w:val="23"/>
              </w:numPr>
            </w:pPr>
            <w:r>
              <w:t>Assurance protection juridique</w:t>
            </w:r>
          </w:p>
          <w:p w14:paraId="50A55E0C" w14:textId="77777777" w:rsidR="00B03380" w:rsidRDefault="00B03380" w:rsidP="00B03380">
            <w:pPr>
              <w:pStyle w:val="Default"/>
              <w:numPr>
                <w:ilvl w:val="1"/>
                <w:numId w:val="23"/>
              </w:numPr>
            </w:pPr>
            <w:r>
              <w:t>Assistance</w:t>
            </w:r>
          </w:p>
          <w:p w14:paraId="7315C59A" w14:textId="77777777" w:rsidR="00B03380" w:rsidRDefault="00B03380" w:rsidP="00B03380">
            <w:pPr>
              <w:pStyle w:val="Default"/>
              <w:numPr>
                <w:ilvl w:val="1"/>
                <w:numId w:val="23"/>
              </w:numPr>
            </w:pPr>
            <w:r>
              <w:t>Pertes pécuniaires diverses</w:t>
            </w:r>
          </w:p>
          <w:p w14:paraId="254A9D95" w14:textId="77777777" w:rsidR="00B03380" w:rsidRDefault="00B03380" w:rsidP="00B03380">
            <w:pPr>
              <w:pStyle w:val="Default"/>
              <w:numPr>
                <w:ilvl w:val="0"/>
                <w:numId w:val="23"/>
              </w:numPr>
            </w:pPr>
            <w:r>
              <w:t>Engagements de réassurance non-vie proportionnels</w:t>
            </w:r>
          </w:p>
          <w:p w14:paraId="3A8C21B0" w14:textId="77777777" w:rsidR="00B03380" w:rsidRDefault="00B03380" w:rsidP="00B03380">
            <w:pPr>
              <w:pStyle w:val="Default"/>
              <w:numPr>
                <w:ilvl w:val="0"/>
                <w:numId w:val="23"/>
              </w:numPr>
            </w:pPr>
            <w:r>
              <w:t>Engagements de réassurance non-vie non proportionnels</w:t>
            </w:r>
          </w:p>
          <w:p w14:paraId="2CF53E7F" w14:textId="77777777" w:rsidR="00B03380" w:rsidRDefault="00B03380" w:rsidP="00B03380">
            <w:pPr>
              <w:pStyle w:val="Default"/>
              <w:numPr>
                <w:ilvl w:val="1"/>
                <w:numId w:val="23"/>
              </w:numPr>
            </w:pPr>
            <w:r>
              <w:t>Réassurance santé non proportionnelle</w:t>
            </w:r>
          </w:p>
          <w:p w14:paraId="576B54A5" w14:textId="77777777" w:rsidR="00B03380" w:rsidRDefault="00B03380" w:rsidP="00B03380">
            <w:pPr>
              <w:pStyle w:val="Default"/>
              <w:numPr>
                <w:ilvl w:val="1"/>
                <w:numId w:val="23"/>
              </w:numPr>
            </w:pPr>
            <w:r>
              <w:t>Réassurance responsabilité civile non proportionnelle</w:t>
            </w:r>
          </w:p>
          <w:p w14:paraId="4B9B14DC" w14:textId="77777777" w:rsidR="00B03380" w:rsidRDefault="00B03380" w:rsidP="00B03380">
            <w:pPr>
              <w:pStyle w:val="Default"/>
              <w:numPr>
                <w:ilvl w:val="0"/>
                <w:numId w:val="23"/>
              </w:numPr>
            </w:pPr>
            <w:r>
              <w:t>Engagements d'assurance vie</w:t>
            </w:r>
          </w:p>
          <w:p w14:paraId="177C0A60" w14:textId="77777777" w:rsidR="00B03380" w:rsidRDefault="00B03380" w:rsidP="00B03380">
            <w:pPr>
              <w:pStyle w:val="Default"/>
              <w:numPr>
                <w:ilvl w:val="1"/>
                <w:numId w:val="23"/>
              </w:numPr>
            </w:pPr>
            <w:r>
              <w:t>Assurance santé</w:t>
            </w:r>
          </w:p>
          <w:p w14:paraId="0CA6BF2C" w14:textId="77777777" w:rsidR="00B03380" w:rsidRDefault="00B03380" w:rsidP="00B03380">
            <w:pPr>
              <w:pStyle w:val="Default"/>
              <w:numPr>
                <w:ilvl w:val="1"/>
                <w:numId w:val="23"/>
              </w:numPr>
            </w:pPr>
            <w:r>
              <w:t>Assurance avec participation aux bénéfices</w:t>
            </w:r>
          </w:p>
          <w:p w14:paraId="7400BA98" w14:textId="77777777" w:rsidR="00B03380" w:rsidRDefault="00B03380" w:rsidP="00B03380">
            <w:pPr>
              <w:pStyle w:val="Default"/>
              <w:numPr>
                <w:ilvl w:val="1"/>
                <w:numId w:val="23"/>
              </w:numPr>
            </w:pPr>
            <w:r>
              <w:lastRenderedPageBreak/>
              <w:t>Assurance liée à des indices et à des unités de comptes</w:t>
            </w:r>
          </w:p>
          <w:p w14:paraId="5B036196" w14:textId="77777777" w:rsidR="00B03380" w:rsidRDefault="00B03380" w:rsidP="00B03380">
            <w:pPr>
              <w:pStyle w:val="Default"/>
              <w:numPr>
                <w:ilvl w:val="1"/>
                <w:numId w:val="23"/>
              </w:numPr>
            </w:pPr>
            <w:r>
              <w:t>Autre assurance vie</w:t>
            </w:r>
          </w:p>
          <w:p w14:paraId="2BC3A7D0" w14:textId="77777777" w:rsidR="00B03380" w:rsidRDefault="00B03380" w:rsidP="00B03380">
            <w:pPr>
              <w:pStyle w:val="Default"/>
              <w:numPr>
                <w:ilvl w:val="1"/>
                <w:numId w:val="23"/>
              </w:numPr>
            </w:pPr>
            <w:r>
              <w:t>Rentes issues de l'assurance non-vie autre liées à des engagements d'assurance santé</w:t>
            </w:r>
          </w:p>
          <w:p w14:paraId="0C0994C2" w14:textId="77777777" w:rsidR="00B03380" w:rsidRDefault="00B03380" w:rsidP="00B03380">
            <w:pPr>
              <w:pStyle w:val="Default"/>
              <w:numPr>
                <w:ilvl w:val="0"/>
                <w:numId w:val="23"/>
              </w:numPr>
            </w:pPr>
            <w:r>
              <w:t>Rentes issues de l'assurance non-vie autre que santé</w:t>
            </w:r>
          </w:p>
          <w:p w14:paraId="669C80CF" w14:textId="77777777" w:rsidR="00B03380" w:rsidRDefault="00B03380" w:rsidP="00B03380">
            <w:pPr>
              <w:pStyle w:val="Default"/>
              <w:numPr>
                <w:ilvl w:val="0"/>
                <w:numId w:val="23"/>
              </w:numPr>
            </w:pPr>
            <w:r>
              <w:t>Engagements de réassurance vie</w:t>
            </w:r>
          </w:p>
          <w:p w14:paraId="1D067718" w14:textId="21AF0776" w:rsidR="00B03380" w:rsidRDefault="00B03380" w:rsidP="00B03380">
            <w:pPr>
              <w:pStyle w:val="Default"/>
              <w:numPr>
                <w:ilvl w:val="1"/>
                <w:numId w:val="23"/>
              </w:numPr>
            </w:pPr>
            <w:r>
              <w:t>Réassurance santé</w:t>
            </w:r>
          </w:p>
          <w:p w14:paraId="451B1F34" w14:textId="4CB85BBD" w:rsidR="00551A55" w:rsidRPr="001373F1" w:rsidRDefault="00B03380" w:rsidP="000943A8">
            <w:pPr>
              <w:pStyle w:val="Default"/>
              <w:numPr>
                <w:ilvl w:val="1"/>
                <w:numId w:val="23"/>
              </w:numPr>
            </w:pPr>
            <w:r>
              <w:t>Réassurance vie</w:t>
            </w:r>
          </w:p>
        </w:tc>
      </w:tr>
      <w:tr w:rsidR="00551A55" w:rsidRPr="007F730B" w14:paraId="74C73E39" w14:textId="77777777" w:rsidTr="00551A55">
        <w:tc>
          <w:tcPr>
            <w:tcW w:w="747" w:type="pct"/>
            <w:tcBorders>
              <w:right w:val="single" w:sz="12" w:space="0" w:color="000000"/>
            </w:tcBorders>
            <w:vAlign w:val="center"/>
          </w:tcPr>
          <w:p w14:paraId="6D8D4751" w14:textId="77777777" w:rsidR="00551A55" w:rsidRDefault="00551A55" w:rsidP="00551A55">
            <w:pPr>
              <w:jc w:val="left"/>
              <w:rPr>
                <w:lang w:val="en-US"/>
              </w:rPr>
            </w:pPr>
            <w:r w:rsidRPr="002772D6">
              <w:lastRenderedPageBreak/>
              <w:t>Provisions techniques</w:t>
            </w:r>
            <w:r>
              <w:rPr>
                <w:rFonts w:ascii="Arial" w:hAnsi="Arial" w:cs="Arial"/>
                <w:sz w:val="20"/>
                <w:szCs w:val="20"/>
              </w:rPr>
              <w:t xml:space="preserve"> </w:t>
            </w:r>
          </w:p>
        </w:tc>
        <w:tc>
          <w:tcPr>
            <w:tcW w:w="742" w:type="pct"/>
            <w:tcBorders>
              <w:left w:val="single" w:sz="12" w:space="0" w:color="000000"/>
              <w:right w:val="single" w:sz="12" w:space="0" w:color="000000"/>
            </w:tcBorders>
            <w:vAlign w:val="center"/>
          </w:tcPr>
          <w:p w14:paraId="5FF5D4A0" w14:textId="4BABCC64" w:rsidR="00551A55" w:rsidRPr="003B1F67" w:rsidRDefault="00B83F99" w:rsidP="00551A55">
            <w:pPr>
              <w:jc w:val="left"/>
              <w:rPr>
                <w:lang w:val="en-US"/>
              </w:rPr>
            </w:pPr>
            <w:r>
              <w:rPr>
                <w:lang w:val="en-US"/>
              </w:rPr>
              <w:t>C0170</w:t>
            </w:r>
          </w:p>
        </w:tc>
        <w:tc>
          <w:tcPr>
            <w:tcW w:w="3511" w:type="pct"/>
            <w:tcBorders>
              <w:left w:val="single" w:sz="12" w:space="0" w:color="000000"/>
              <w:right w:val="single" w:sz="12" w:space="0" w:color="000000"/>
            </w:tcBorders>
            <w:vAlign w:val="center"/>
          </w:tcPr>
          <w:p w14:paraId="74EAF509" w14:textId="04124348" w:rsidR="00551A55" w:rsidRPr="007F730B" w:rsidRDefault="00551A55">
            <w:pPr>
              <w:jc w:val="left"/>
            </w:pPr>
            <w:r w:rsidRPr="007F730B">
              <w:t>Calcul des provisions techniques selon les norm</w:t>
            </w:r>
            <w:r>
              <w:t>es Solvabilité II (</w:t>
            </w:r>
            <w:r w:rsidR="00E812D1">
              <w:rPr>
                <w:i/>
              </w:rPr>
              <w:t>meilleure estimation</w:t>
            </w:r>
            <w:r>
              <w:t>)</w:t>
            </w:r>
            <w:r w:rsidRPr="007F730B">
              <w:t xml:space="preserve">. </w:t>
            </w:r>
          </w:p>
        </w:tc>
      </w:tr>
    </w:tbl>
    <w:p w14:paraId="6863C1B4" w14:textId="77777777" w:rsidR="0076211F" w:rsidRDefault="0076211F" w:rsidP="002A379C"/>
    <w:p w14:paraId="6863C3CC" w14:textId="77777777" w:rsidR="00E23148" w:rsidRPr="00604B0D" w:rsidRDefault="00E23148" w:rsidP="002A379C">
      <w:pPr>
        <w:sectPr w:rsidR="00E23148" w:rsidRPr="00604B0D" w:rsidSect="006C79DC">
          <w:headerReference w:type="default" r:id="rId14"/>
          <w:footerReference w:type="default" r:id="rId15"/>
          <w:headerReference w:type="first" r:id="rId16"/>
          <w:footerReference w:type="first" r:id="rId17"/>
          <w:pgSz w:w="11906" w:h="16838" w:code="9"/>
          <w:pgMar w:top="1134" w:right="1134" w:bottom="1701" w:left="1134" w:header="567" w:footer="851" w:gutter="0"/>
          <w:cols w:space="720"/>
          <w:titlePg/>
        </w:sectPr>
      </w:pPr>
    </w:p>
    <w:p w14:paraId="6863C3CD" w14:textId="77777777" w:rsidR="002A379C" w:rsidRPr="00F918F6" w:rsidRDefault="00F918F6" w:rsidP="00F25040">
      <w:pPr>
        <w:ind w:left="851" w:hanging="425"/>
        <w:jc w:val="left"/>
        <w:rPr>
          <w:rFonts w:ascii="Arial" w:hAnsi="Arial" w:cs="Arial"/>
          <w:sz w:val="32"/>
          <w:szCs w:val="32"/>
        </w:rPr>
      </w:pPr>
      <w:r>
        <w:rPr>
          <w:rFonts w:ascii="Arial" w:hAnsi="Arial" w:cs="Arial"/>
          <w:sz w:val="32"/>
          <w:szCs w:val="32"/>
        </w:rPr>
        <w:lastRenderedPageBreak/>
        <w:t>II</w:t>
      </w:r>
      <w:r>
        <w:rPr>
          <w:rFonts w:ascii="Arial" w:hAnsi="Arial" w:cs="Arial"/>
          <w:sz w:val="32"/>
          <w:szCs w:val="32"/>
        </w:rPr>
        <w:tab/>
      </w:r>
      <w:r w:rsidR="002A379C" w:rsidRPr="00F918F6">
        <w:rPr>
          <w:rFonts w:ascii="Arial" w:hAnsi="Arial" w:cs="Arial"/>
          <w:sz w:val="32"/>
          <w:szCs w:val="32"/>
        </w:rPr>
        <w:t>Tableaux</w:t>
      </w:r>
    </w:p>
    <w:p w14:paraId="6863C3CE" w14:textId="77777777" w:rsidR="002A379C" w:rsidRPr="00775EA8" w:rsidRDefault="002A379C" w:rsidP="002A379C"/>
    <w:p w14:paraId="6863C4F6" w14:textId="6CEC2555" w:rsidR="002A379C" w:rsidRDefault="00E812D1" w:rsidP="00B1708B">
      <w:pPr>
        <w:ind w:left="426"/>
        <w:jc w:val="left"/>
      </w:pPr>
      <w:r>
        <w:rPr>
          <w:noProof/>
          <w:lang w:eastAsia="fr-FR"/>
        </w:rPr>
        <mc:AlternateContent>
          <mc:Choice Requires="wps">
            <w:drawing>
              <wp:anchor distT="0" distB="0" distL="114300" distR="114300" simplePos="0" relativeHeight="251659264" behindDoc="0" locked="0" layoutInCell="1" allowOverlap="1" wp14:anchorId="3A6130EE" wp14:editId="32346A0A">
                <wp:simplePos x="0" y="0"/>
                <wp:positionH relativeFrom="column">
                  <wp:posOffset>9567809</wp:posOffset>
                </wp:positionH>
                <wp:positionV relativeFrom="paragraph">
                  <wp:posOffset>558800</wp:posOffset>
                </wp:positionV>
                <wp:extent cx="560382" cy="689657"/>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60382" cy="68965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5928CCC" w14:textId="77777777" w:rsidR="00E812D1" w:rsidRDefault="00E812D1">
                            <w:pPr>
                              <w:rPr>
                                <w:sz w:val="18"/>
                              </w:rPr>
                            </w:pPr>
                          </w:p>
                          <w:p w14:paraId="2781A912" w14:textId="1D3140E0" w:rsidR="00E812D1" w:rsidRPr="00820495" w:rsidRDefault="00E812D1" w:rsidP="00470679">
                            <w:pPr>
                              <w:jc w:val="center"/>
                              <w:rPr>
                                <w:sz w:val="16"/>
                              </w:rPr>
                            </w:pPr>
                            <w:r w:rsidRPr="00820495">
                              <w:rPr>
                                <w:sz w:val="16"/>
                              </w:rPr>
                              <w:t>Montant des rachats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6130EE" id="_x0000_t202" coordsize="21600,21600" o:spt="202" path="m,l,21600r21600,l21600,xe">
                <v:stroke joinstyle="miter"/>
                <v:path gradientshapeok="t" o:connecttype="rect"/>
              </v:shapetype>
              <v:shape id="Zone de texte 3" o:spid="_x0000_s1026" type="#_x0000_t202" style="position:absolute;left:0;text-align:left;margin-left:753.35pt;margin-top:44pt;width:44.1pt;height:5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" fillcolor="white [3201]" stroked="f" strokeweight=".5pt">
                <v:textbox>
                  <w:txbxContent>
                    <w:p w14:paraId="05928CCC" w14:textId="77777777" w:rsidR="00E812D1" w:rsidRDefault="00E812D1">
                      <w:pPr>
                        <w:rPr>
                          <w:sz w:val="18"/>
                        </w:rPr>
                      </w:pPr>
                    </w:p>
                    <w:p w14:paraId="2781A912" w14:textId="1D3140E0" w:rsidR="00E812D1" w:rsidRPr="00820495" w:rsidRDefault="00E812D1" w:rsidP="00470679">
                      <w:pPr>
                        <w:jc w:val="center"/>
                        <w:rPr>
                          <w:sz w:val="16"/>
                        </w:rPr>
                      </w:pPr>
                      <w:r w:rsidRPr="00820495">
                        <w:rPr>
                          <w:sz w:val="16"/>
                        </w:rPr>
                        <w:t>Montant des rachats</w:t>
                      </w:r>
                    </w:p>
                  </w:txbxContent>
                </v:textbox>
              </v:shape>
            </w:pict>
          </mc:Fallback>
        </mc:AlternateContent>
      </w:r>
      <w:r w:rsidR="005B6A59" w:rsidRPr="005B6A59">
        <w:rPr>
          <w:noProof/>
          <w:lang w:eastAsia="fr-FR"/>
        </w:rPr>
        <w:drawing>
          <wp:inline distT="0" distB="0" distL="0" distR="0" wp14:anchorId="64F87DB6" wp14:editId="2200090D">
            <wp:extent cx="9901555" cy="1506570"/>
            <wp:effectExtent l="0" t="0" r="444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1555" cy="1506570"/>
                    </a:xfrm>
                    <a:prstGeom prst="rect">
                      <a:avLst/>
                    </a:prstGeom>
                    <a:noFill/>
                    <a:ln>
                      <a:noFill/>
                    </a:ln>
                  </pic:spPr>
                </pic:pic>
              </a:graphicData>
            </a:graphic>
          </wp:inline>
        </w:drawing>
      </w:r>
    </w:p>
    <w:p w14:paraId="76680618" w14:textId="77777777" w:rsidR="005B6A59" w:rsidRDefault="005B6A59" w:rsidP="00B1708B">
      <w:pPr>
        <w:ind w:left="426"/>
        <w:jc w:val="left"/>
      </w:pPr>
    </w:p>
    <w:p w14:paraId="0FBEC6C6" w14:textId="7FC61C55" w:rsidR="005B6A59" w:rsidRPr="00775EA8" w:rsidRDefault="005B6A59" w:rsidP="00B1708B">
      <w:pPr>
        <w:ind w:left="426"/>
        <w:jc w:val="left"/>
      </w:pPr>
      <w:r w:rsidRPr="005B6A59">
        <w:rPr>
          <w:noProof/>
          <w:lang w:eastAsia="fr-FR"/>
        </w:rPr>
        <w:drawing>
          <wp:anchor distT="0" distB="0" distL="114300" distR="114300" simplePos="0" relativeHeight="251658240" behindDoc="0" locked="0" layoutInCell="1" allowOverlap="1" wp14:anchorId="1F132DAA" wp14:editId="6010CE45">
            <wp:simplePos x="0" y="0"/>
            <wp:positionH relativeFrom="column">
              <wp:align>left</wp:align>
            </wp:positionH>
            <wp:positionV relativeFrom="paragraph">
              <wp:align>top</wp:align>
            </wp:positionV>
            <wp:extent cx="2984500" cy="934720"/>
            <wp:effectExtent l="0" t="0" r="635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84500" cy="934720"/>
                    </a:xfrm>
                    <a:prstGeom prst="rect">
                      <a:avLst/>
                    </a:prstGeom>
                    <a:noFill/>
                    <a:ln>
                      <a:noFill/>
                    </a:ln>
                  </pic:spPr>
                </pic:pic>
              </a:graphicData>
            </a:graphic>
          </wp:anchor>
        </w:drawing>
      </w:r>
      <w:r>
        <w:br w:type="textWrapping" w:clear="all"/>
      </w:r>
    </w:p>
    <w:sectPr w:rsidR="005B6A59" w:rsidRPr="00775EA8" w:rsidSect="00422F75">
      <w:headerReference w:type="default" r:id="rId20"/>
      <w:footerReference w:type="default" r:id="rId21"/>
      <w:footerReference w:type="first" r:id="rId22"/>
      <w:pgSz w:w="16838" w:h="11906" w:orient="landscape" w:code="9"/>
      <w:pgMar w:top="1134" w:right="678" w:bottom="1134"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D5EB6" w14:textId="77777777" w:rsidR="00D112F5" w:rsidRDefault="00D112F5" w:rsidP="001B3C2B">
      <w:r>
        <w:separator/>
      </w:r>
    </w:p>
  </w:endnote>
  <w:endnote w:type="continuationSeparator" w:id="0">
    <w:p w14:paraId="111A4C07" w14:textId="77777777" w:rsidR="00D112F5" w:rsidRDefault="00D112F5"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A" w14:textId="37D1F0CA" w:rsidR="004D3C1D" w:rsidRDefault="004D3C1D" w:rsidP="006C79DC">
    <w:pPr>
      <w:pStyle w:val="Pieddepage"/>
      <w:tabs>
        <w:tab w:val="clear" w:pos="4536"/>
        <w:tab w:val="clear" w:pos="9072"/>
        <w:tab w:val="right" w:pos="9639"/>
        <w:tab w:val="center" w:pos="15451"/>
      </w:tabs>
    </w:pPr>
    <w:r>
      <w:t>Secrétariat général de l’Autorité de contrôle prudentiel</w:t>
    </w:r>
    <w:r w:rsidR="005B6A59">
      <w:t xml:space="preserve"> et de résolution</w:t>
    </w:r>
    <w:r>
      <w:tab/>
    </w:r>
    <w:r>
      <w:fldChar w:fldCharType="begin"/>
    </w:r>
    <w:r>
      <w:instrText xml:space="preserve"> PAGE  \* Arabic  \* MERGEFORMAT </w:instrText>
    </w:r>
    <w:r>
      <w:fldChar w:fldCharType="separate"/>
    </w:r>
    <w:r w:rsidR="000943A8">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C" w14:textId="77777777" w:rsidR="004D3C1D" w:rsidRPr="00703E34" w:rsidRDefault="004D3C1D" w:rsidP="00703E34">
    <w:pPr>
      <w:pStyle w:val="Pieddepag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2" w14:textId="776C8DF9"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rsidR="005B6A59">
      <w:t xml:space="preserve"> et de résolution</w:t>
    </w:r>
    <w:r>
      <w:tab/>
    </w:r>
    <w:sdt>
      <w:sdtPr>
        <w:id w:val="19669390"/>
        <w:docPartObj>
          <w:docPartGallery w:val="Page Numbers (Bottom of Page)"/>
          <w:docPartUnique/>
        </w:docPartObj>
      </w:sdtPr>
      <w:sdtEndPr/>
      <w:sdtContent>
        <w:r>
          <w:fldChar w:fldCharType="begin"/>
        </w:r>
        <w:r>
          <w:instrText xml:space="preserve"> PAGE   \* MERGEFORMAT </w:instrText>
        </w:r>
        <w:r>
          <w:fldChar w:fldCharType="separate"/>
        </w:r>
        <w:r w:rsidR="000943A8">
          <w:rPr>
            <w:noProof/>
          </w:rPr>
          <w:t>5</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3" w14:textId="77777777"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9669369"/>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67FE3" w14:textId="77777777" w:rsidR="00D112F5" w:rsidRDefault="00D112F5" w:rsidP="001B3C2B">
      <w:r>
        <w:separator/>
      </w:r>
    </w:p>
  </w:footnote>
  <w:footnote w:type="continuationSeparator" w:id="0">
    <w:p w14:paraId="44752CC6" w14:textId="77777777" w:rsidR="00D112F5" w:rsidRDefault="00D112F5"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9" w14:textId="3C12177C" w:rsidR="004D3C1D" w:rsidRPr="00B36ED6" w:rsidRDefault="004D3C1D" w:rsidP="006C79DC">
    <w:pPr>
      <w:pStyle w:val="En-tte"/>
      <w:tabs>
        <w:tab w:val="clear" w:pos="4536"/>
        <w:tab w:val="clear" w:pos="9072"/>
      </w:tabs>
    </w:pPr>
    <w:r>
      <w:t>Guide méthodologique</w:t>
    </w:r>
    <w:r w:rsidRPr="00EA2125">
      <w:t xml:space="preserve"> – Utilisation de l’état </w:t>
    </w:r>
    <w:r w:rsidR="005B6A59" w:rsidRPr="005B6A59">
      <w:t>de suivi de l’activité en substitution –FR.27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0B" w14:textId="77777777" w:rsidR="004D3C1D" w:rsidRPr="006C79DC" w:rsidRDefault="004D3C1D" w:rsidP="00703E34">
    <w:pPr>
      <w:pStyle w:val="En-tt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C511" w14:textId="4C764E26" w:rsidR="004D3C1D" w:rsidRPr="00774E7B" w:rsidRDefault="004D3C1D" w:rsidP="00703E34">
    <w:pPr>
      <w:pStyle w:val="En-tte"/>
      <w:tabs>
        <w:tab w:val="clear" w:pos="4536"/>
        <w:tab w:val="clear" w:pos="9072"/>
      </w:tabs>
    </w:pPr>
    <w:r>
      <w:t>Guide méthodologique</w:t>
    </w:r>
    <w:r w:rsidRPr="00EA2125">
      <w:t xml:space="preserve"> – Utilisation de l’état de </w:t>
    </w:r>
    <w:r w:rsidR="005B6A59">
      <w:t>suivi de l’activité en substitution</w:t>
    </w:r>
    <w:r w:rsidRPr="00EA2125">
      <w:t xml:space="preserve"> –</w:t>
    </w:r>
    <w:r w:rsidR="005B6A59">
      <w:t>FR.27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1"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4E7A67E2"/>
    <w:multiLevelType w:val="hybridMultilevel"/>
    <w:tmpl w:val="46A0E8A2"/>
    <w:lvl w:ilvl="0" w:tplc="3F5883FC">
      <w:numFmt w:val="bullet"/>
      <w:lvlText w:val="-"/>
      <w:lvlJc w:val="left"/>
      <w:pPr>
        <w:ind w:left="360" w:hanging="360"/>
      </w:pPr>
      <w:rPr>
        <w:rFonts w:ascii="Times New Roman" w:eastAsiaTheme="minorHAnsi"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5"/>
  </w:num>
  <w:num w:numId="2">
    <w:abstractNumId w:val="0"/>
  </w:num>
  <w:num w:numId="3">
    <w:abstractNumId w:val="2"/>
  </w:num>
  <w:num w:numId="4">
    <w:abstractNumId w:val="10"/>
  </w:num>
  <w:num w:numId="5">
    <w:abstractNumId w:val="15"/>
  </w:num>
  <w:num w:numId="6">
    <w:abstractNumId w:val="7"/>
  </w:num>
  <w:num w:numId="7">
    <w:abstractNumId w:val="4"/>
  </w:num>
  <w:num w:numId="8">
    <w:abstractNumId w:val="17"/>
  </w:num>
  <w:num w:numId="9">
    <w:abstractNumId w:val="16"/>
  </w:num>
  <w:num w:numId="10">
    <w:abstractNumId w:val="1"/>
  </w:num>
  <w:num w:numId="11">
    <w:abstractNumId w:val="6"/>
  </w:num>
  <w:num w:numId="12">
    <w:abstractNumId w:val="14"/>
  </w:num>
  <w:num w:numId="13">
    <w:abstractNumId w:val="20"/>
  </w:num>
  <w:num w:numId="14">
    <w:abstractNumId w:val="19"/>
  </w:num>
  <w:num w:numId="15">
    <w:abstractNumId w:val="22"/>
  </w:num>
  <w:num w:numId="16">
    <w:abstractNumId w:val="3"/>
  </w:num>
  <w:num w:numId="17">
    <w:abstractNumId w:val="21"/>
  </w:num>
  <w:num w:numId="18">
    <w:abstractNumId w:val="12"/>
  </w:num>
  <w:num w:numId="19">
    <w:abstractNumId w:val="8"/>
  </w:num>
  <w:num w:numId="20">
    <w:abstractNumId w:val="18"/>
  </w:num>
  <w:num w:numId="21">
    <w:abstractNumId w:val="11"/>
  </w:num>
  <w:num w:numId="22">
    <w:abstractNumId w:val="9"/>
  </w:num>
  <w:num w:numId="23">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attachedTemplate r:id="rId1"/>
  <w:trackRevisions/>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6CC"/>
    <w:rsid w:val="00000620"/>
    <w:rsid w:val="000140CB"/>
    <w:rsid w:val="00025C3B"/>
    <w:rsid w:val="00027C0B"/>
    <w:rsid w:val="000302C8"/>
    <w:rsid w:val="00044379"/>
    <w:rsid w:val="00081E9D"/>
    <w:rsid w:val="0008631A"/>
    <w:rsid w:val="00091A03"/>
    <w:rsid w:val="000943A8"/>
    <w:rsid w:val="000B1B3A"/>
    <w:rsid w:val="000B50E0"/>
    <w:rsid w:val="000E702B"/>
    <w:rsid w:val="000F1C2E"/>
    <w:rsid w:val="001057D4"/>
    <w:rsid w:val="001158F7"/>
    <w:rsid w:val="00161289"/>
    <w:rsid w:val="0019347F"/>
    <w:rsid w:val="001A42D0"/>
    <w:rsid w:val="001B3C00"/>
    <w:rsid w:val="001B3C2B"/>
    <w:rsid w:val="001D646A"/>
    <w:rsid w:val="001D7C42"/>
    <w:rsid w:val="00202053"/>
    <w:rsid w:val="00203F23"/>
    <w:rsid w:val="00211C2C"/>
    <w:rsid w:val="00212F47"/>
    <w:rsid w:val="00227AFA"/>
    <w:rsid w:val="0023690B"/>
    <w:rsid w:val="00243E84"/>
    <w:rsid w:val="00244779"/>
    <w:rsid w:val="0025503E"/>
    <w:rsid w:val="00262A92"/>
    <w:rsid w:val="002658F6"/>
    <w:rsid w:val="00273C45"/>
    <w:rsid w:val="00296814"/>
    <w:rsid w:val="00296B8E"/>
    <w:rsid w:val="002A379C"/>
    <w:rsid w:val="002A385B"/>
    <w:rsid w:val="002B4608"/>
    <w:rsid w:val="002B580C"/>
    <w:rsid w:val="002D266F"/>
    <w:rsid w:val="002F3708"/>
    <w:rsid w:val="003129A8"/>
    <w:rsid w:val="00314604"/>
    <w:rsid w:val="00316D83"/>
    <w:rsid w:val="00322550"/>
    <w:rsid w:val="00325225"/>
    <w:rsid w:val="00335E52"/>
    <w:rsid w:val="00336DF8"/>
    <w:rsid w:val="00350BA2"/>
    <w:rsid w:val="00355906"/>
    <w:rsid w:val="0036364D"/>
    <w:rsid w:val="00385009"/>
    <w:rsid w:val="003A63F7"/>
    <w:rsid w:val="003A71B9"/>
    <w:rsid w:val="003C25A3"/>
    <w:rsid w:val="003D04C2"/>
    <w:rsid w:val="003D72F0"/>
    <w:rsid w:val="00411C09"/>
    <w:rsid w:val="0041790D"/>
    <w:rsid w:val="00422F75"/>
    <w:rsid w:val="00435D31"/>
    <w:rsid w:val="00454B2D"/>
    <w:rsid w:val="00465641"/>
    <w:rsid w:val="00467E83"/>
    <w:rsid w:val="00470679"/>
    <w:rsid w:val="00473383"/>
    <w:rsid w:val="00497494"/>
    <w:rsid w:val="004A1026"/>
    <w:rsid w:val="004C2565"/>
    <w:rsid w:val="004D3431"/>
    <w:rsid w:val="004D3C1D"/>
    <w:rsid w:val="004D69AF"/>
    <w:rsid w:val="004E4CEB"/>
    <w:rsid w:val="004F172F"/>
    <w:rsid w:val="004F6D62"/>
    <w:rsid w:val="004F703D"/>
    <w:rsid w:val="005013DB"/>
    <w:rsid w:val="00507793"/>
    <w:rsid w:val="0051013C"/>
    <w:rsid w:val="00512B23"/>
    <w:rsid w:val="005171A6"/>
    <w:rsid w:val="00542D38"/>
    <w:rsid w:val="00550B52"/>
    <w:rsid w:val="00551A55"/>
    <w:rsid w:val="00572A0A"/>
    <w:rsid w:val="00572C00"/>
    <w:rsid w:val="005B6A59"/>
    <w:rsid w:val="005E57C9"/>
    <w:rsid w:val="005E58E2"/>
    <w:rsid w:val="005F0017"/>
    <w:rsid w:val="00604B0D"/>
    <w:rsid w:val="00605D0B"/>
    <w:rsid w:val="00611552"/>
    <w:rsid w:val="00621BBD"/>
    <w:rsid w:val="00660257"/>
    <w:rsid w:val="006812CA"/>
    <w:rsid w:val="0069408B"/>
    <w:rsid w:val="006C79DC"/>
    <w:rsid w:val="006D3D5B"/>
    <w:rsid w:val="006D5B51"/>
    <w:rsid w:val="006D6E5C"/>
    <w:rsid w:val="006E248A"/>
    <w:rsid w:val="006E2559"/>
    <w:rsid w:val="006F3D90"/>
    <w:rsid w:val="00703E34"/>
    <w:rsid w:val="00720A62"/>
    <w:rsid w:val="0072151C"/>
    <w:rsid w:val="007265CA"/>
    <w:rsid w:val="0073039C"/>
    <w:rsid w:val="0074170B"/>
    <w:rsid w:val="00742C51"/>
    <w:rsid w:val="0076211F"/>
    <w:rsid w:val="007661B9"/>
    <w:rsid w:val="00774E7B"/>
    <w:rsid w:val="00785456"/>
    <w:rsid w:val="007A228A"/>
    <w:rsid w:val="007A3845"/>
    <w:rsid w:val="007B3FB5"/>
    <w:rsid w:val="007C1CCA"/>
    <w:rsid w:val="007C3FB3"/>
    <w:rsid w:val="007D1061"/>
    <w:rsid w:val="007D27A7"/>
    <w:rsid w:val="007E7D4B"/>
    <w:rsid w:val="007F7629"/>
    <w:rsid w:val="00817886"/>
    <w:rsid w:val="00820495"/>
    <w:rsid w:val="008226DD"/>
    <w:rsid w:val="0082603B"/>
    <w:rsid w:val="00831CF0"/>
    <w:rsid w:val="008333D0"/>
    <w:rsid w:val="008337E7"/>
    <w:rsid w:val="0084083C"/>
    <w:rsid w:val="00857803"/>
    <w:rsid w:val="008604F1"/>
    <w:rsid w:val="00871241"/>
    <w:rsid w:val="00881098"/>
    <w:rsid w:val="0089460C"/>
    <w:rsid w:val="008A146D"/>
    <w:rsid w:val="008A1DE9"/>
    <w:rsid w:val="008C3D24"/>
    <w:rsid w:val="008E54CA"/>
    <w:rsid w:val="00904F63"/>
    <w:rsid w:val="0091238E"/>
    <w:rsid w:val="0091657B"/>
    <w:rsid w:val="00932EC7"/>
    <w:rsid w:val="009448BD"/>
    <w:rsid w:val="00944D8E"/>
    <w:rsid w:val="00950715"/>
    <w:rsid w:val="00956A9D"/>
    <w:rsid w:val="00966AC1"/>
    <w:rsid w:val="00981107"/>
    <w:rsid w:val="00985BD8"/>
    <w:rsid w:val="00993346"/>
    <w:rsid w:val="0099730D"/>
    <w:rsid w:val="009C08DE"/>
    <w:rsid w:val="009D7E47"/>
    <w:rsid w:val="009F4C63"/>
    <w:rsid w:val="00A1140F"/>
    <w:rsid w:val="00A13167"/>
    <w:rsid w:val="00A13EB8"/>
    <w:rsid w:val="00A33950"/>
    <w:rsid w:val="00A4413E"/>
    <w:rsid w:val="00A471AF"/>
    <w:rsid w:val="00A574D6"/>
    <w:rsid w:val="00A74034"/>
    <w:rsid w:val="00A74EBF"/>
    <w:rsid w:val="00AA075F"/>
    <w:rsid w:val="00AA4C01"/>
    <w:rsid w:val="00AB5BD3"/>
    <w:rsid w:val="00AC3A9A"/>
    <w:rsid w:val="00AE033D"/>
    <w:rsid w:val="00B03380"/>
    <w:rsid w:val="00B11D52"/>
    <w:rsid w:val="00B1708B"/>
    <w:rsid w:val="00B36ED6"/>
    <w:rsid w:val="00B552F1"/>
    <w:rsid w:val="00B83F99"/>
    <w:rsid w:val="00B8741D"/>
    <w:rsid w:val="00B9135F"/>
    <w:rsid w:val="00B966A6"/>
    <w:rsid w:val="00B97BC4"/>
    <w:rsid w:val="00C05EC5"/>
    <w:rsid w:val="00C108E0"/>
    <w:rsid w:val="00C21A8E"/>
    <w:rsid w:val="00C30054"/>
    <w:rsid w:val="00C405A2"/>
    <w:rsid w:val="00C57E1B"/>
    <w:rsid w:val="00C60C91"/>
    <w:rsid w:val="00C76012"/>
    <w:rsid w:val="00C832FC"/>
    <w:rsid w:val="00C953FF"/>
    <w:rsid w:val="00CA780A"/>
    <w:rsid w:val="00CB52DD"/>
    <w:rsid w:val="00CB61E4"/>
    <w:rsid w:val="00CB7920"/>
    <w:rsid w:val="00CB7C4D"/>
    <w:rsid w:val="00CC034F"/>
    <w:rsid w:val="00CC0CA7"/>
    <w:rsid w:val="00CC5034"/>
    <w:rsid w:val="00CE14D4"/>
    <w:rsid w:val="00CF51AE"/>
    <w:rsid w:val="00D112F5"/>
    <w:rsid w:val="00D17786"/>
    <w:rsid w:val="00D468D8"/>
    <w:rsid w:val="00D52967"/>
    <w:rsid w:val="00D672B8"/>
    <w:rsid w:val="00D84321"/>
    <w:rsid w:val="00DA1F8B"/>
    <w:rsid w:val="00DB682C"/>
    <w:rsid w:val="00DB6A71"/>
    <w:rsid w:val="00DC60A4"/>
    <w:rsid w:val="00DF2D66"/>
    <w:rsid w:val="00E02777"/>
    <w:rsid w:val="00E069DB"/>
    <w:rsid w:val="00E23148"/>
    <w:rsid w:val="00E41235"/>
    <w:rsid w:val="00E50825"/>
    <w:rsid w:val="00E7144C"/>
    <w:rsid w:val="00E71BB6"/>
    <w:rsid w:val="00E812D1"/>
    <w:rsid w:val="00E962E9"/>
    <w:rsid w:val="00EA7379"/>
    <w:rsid w:val="00EB0903"/>
    <w:rsid w:val="00EB3DFB"/>
    <w:rsid w:val="00EB559C"/>
    <w:rsid w:val="00EC16CC"/>
    <w:rsid w:val="00EC48DC"/>
    <w:rsid w:val="00EC6A4C"/>
    <w:rsid w:val="00EE1210"/>
    <w:rsid w:val="00EE3E9E"/>
    <w:rsid w:val="00EF7FE2"/>
    <w:rsid w:val="00F1117D"/>
    <w:rsid w:val="00F1593F"/>
    <w:rsid w:val="00F25040"/>
    <w:rsid w:val="00F45026"/>
    <w:rsid w:val="00F454B9"/>
    <w:rsid w:val="00F71853"/>
    <w:rsid w:val="00F86E6F"/>
    <w:rsid w:val="00F918F6"/>
    <w:rsid w:val="00FA4B45"/>
    <w:rsid w:val="00FB0A0B"/>
    <w:rsid w:val="00FC1ADC"/>
    <w:rsid w:val="00FE0E54"/>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63C199"/>
  <w15:docId w15:val="{169B5C66-D1CA-4993-8BAB-A905C6797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paragraph" w:customStyle="1" w:styleId="Default">
    <w:name w:val="Default"/>
    <w:rsid w:val="004F703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D03016.0492FCE0"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2.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3.xml><?xml version="1.0" encoding="utf-8"?>
<ds:datastoreItem xmlns:ds="http://schemas.openxmlformats.org/officeDocument/2006/customXml" ds:itemID="{8EB7BF8D-496C-4E77-BE3E-625F16BAD24E}">
  <ds:schemaRefs>
    <ds:schemaRef ds:uri="http://schemas.microsoft.com/office/2006/metadata/properties"/>
    <ds:schemaRef ds:uri="http://schemas.microsoft.com/office/infopath/2007/PartnerControls"/>
    <ds:schemaRef ds:uri="9f2ae251-2773-4602-9b3a-2eb350973e6a"/>
    <ds:schemaRef ds:uri="0c68a271-a416-418c-a255-eac631f72fcf"/>
  </ds:schemaRefs>
</ds:datastoreItem>
</file>

<file path=customXml/itemProps4.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365BF0-BCAE-4E5F-9855-FB1A8DF30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18</TotalTime>
  <Pages>5</Pages>
  <Words>881</Words>
  <Characters>4846</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WILKINSON Baptiste (UA 2775)</cp:lastModifiedBy>
  <cp:revision>4</cp:revision>
  <cp:lastPrinted>2015-02-26T09:53:00Z</cp:lastPrinted>
  <dcterms:created xsi:type="dcterms:W3CDTF">2020-09-02T09:09:00Z</dcterms:created>
  <dcterms:modified xsi:type="dcterms:W3CDTF">2020-10-13T13:41:00Z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