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5A575" w14:textId="0AB0A181" w:rsidR="000A09E5" w:rsidRPr="00EC230E" w:rsidRDefault="009F4DAB" w:rsidP="000276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</w:rPr>
      </w:pPr>
      <w:r w:rsidRPr="00EC230E">
        <w:rPr>
          <w:b/>
          <w:sz w:val="24"/>
        </w:rPr>
        <w:t>Mémento concernant</w:t>
      </w:r>
      <w:r w:rsidR="00027629" w:rsidRPr="00EC230E">
        <w:rPr>
          <w:b/>
          <w:sz w:val="24"/>
        </w:rPr>
        <w:t xml:space="preserve"> l’</w:t>
      </w:r>
      <w:r w:rsidR="00EE3F0E">
        <w:rPr>
          <w:b/>
          <w:sz w:val="24"/>
        </w:rPr>
        <w:t>exigence d’</w:t>
      </w:r>
      <w:r w:rsidR="00027629" w:rsidRPr="00EC230E">
        <w:rPr>
          <w:b/>
          <w:sz w:val="24"/>
        </w:rPr>
        <w:t xml:space="preserve">assurance </w:t>
      </w:r>
      <w:r w:rsidR="00067455">
        <w:rPr>
          <w:b/>
          <w:sz w:val="24"/>
        </w:rPr>
        <w:t>additionnelle</w:t>
      </w:r>
      <w:r w:rsidR="00067455" w:rsidRPr="00EC230E">
        <w:rPr>
          <w:b/>
          <w:sz w:val="24"/>
        </w:rPr>
        <w:t xml:space="preserve"> </w:t>
      </w:r>
      <w:r w:rsidR="00027629" w:rsidRPr="00EC230E">
        <w:rPr>
          <w:b/>
          <w:sz w:val="24"/>
        </w:rPr>
        <w:t>sur la qualité des données</w:t>
      </w:r>
    </w:p>
    <w:p w14:paraId="66A039A8" w14:textId="54242A5A" w:rsidR="00457B3D" w:rsidRPr="005B2EF1" w:rsidRDefault="00457B3D" w:rsidP="005B2EF1">
      <w:pPr>
        <w:spacing w:line="240" w:lineRule="auto"/>
        <w:jc w:val="both"/>
        <w:rPr>
          <w:color w:val="FF0000"/>
        </w:rPr>
      </w:pPr>
      <w:r w:rsidRPr="005B2EF1">
        <w:rPr>
          <w:b/>
          <w:color w:val="FF0000"/>
          <w:u w:val="single"/>
        </w:rPr>
        <w:t>Remarque liminaire</w:t>
      </w:r>
      <w:r w:rsidRPr="00CF3E80">
        <w:rPr>
          <w:b/>
          <w:color w:val="FF0000"/>
        </w:rPr>
        <w:t> :</w:t>
      </w:r>
      <w:r>
        <w:rPr>
          <w:color w:val="FF0000"/>
        </w:rPr>
        <w:t xml:space="preserve"> p</w:t>
      </w:r>
      <w:r w:rsidRPr="00CF3E80">
        <w:rPr>
          <w:color w:val="FF0000"/>
        </w:rPr>
        <w:t>our le cycle</w:t>
      </w:r>
      <w:r>
        <w:rPr>
          <w:color w:val="FF0000"/>
        </w:rPr>
        <w:t xml:space="preserve"> de contributions</w:t>
      </w:r>
      <w:r w:rsidRPr="00CF3E80">
        <w:rPr>
          <w:color w:val="FF0000"/>
        </w:rPr>
        <w:t xml:space="preserve"> 2025, le</w:t>
      </w:r>
      <w:r>
        <w:rPr>
          <w:color w:val="FF0000"/>
        </w:rPr>
        <w:t xml:space="preserve"> Conseil de résolution unique</w:t>
      </w:r>
      <w:r w:rsidRPr="00CF3E80">
        <w:rPr>
          <w:color w:val="FF0000"/>
        </w:rPr>
        <w:t xml:space="preserve"> </w:t>
      </w:r>
      <w:r>
        <w:rPr>
          <w:color w:val="FF0000"/>
        </w:rPr>
        <w:t>(</w:t>
      </w:r>
      <w:r w:rsidRPr="00CF3E80">
        <w:rPr>
          <w:color w:val="FF0000"/>
        </w:rPr>
        <w:t>CRU</w:t>
      </w:r>
      <w:r>
        <w:rPr>
          <w:color w:val="FF0000"/>
        </w:rPr>
        <w:t>)</w:t>
      </w:r>
      <w:r w:rsidRPr="00CF3E80">
        <w:rPr>
          <w:color w:val="FF0000"/>
        </w:rPr>
        <w:t xml:space="preserve"> a décidé d’</w:t>
      </w:r>
      <w:r w:rsidRPr="00CF3E80">
        <w:rPr>
          <w:b/>
          <w:color w:val="FF0000"/>
        </w:rPr>
        <w:t xml:space="preserve">exiger les assurances </w:t>
      </w:r>
      <w:r>
        <w:rPr>
          <w:b/>
          <w:color w:val="FF0000"/>
        </w:rPr>
        <w:t>additionnelles</w:t>
      </w:r>
      <w:r w:rsidRPr="00CF3E80">
        <w:rPr>
          <w:b/>
          <w:color w:val="FF0000"/>
        </w:rPr>
        <w:t xml:space="preserve"> uniquement en cas d’utilisation effective des données</w:t>
      </w:r>
      <w:r w:rsidRPr="00750E38">
        <w:rPr>
          <w:color w:val="FF0000"/>
        </w:rPr>
        <w:t xml:space="preserve"> </w:t>
      </w:r>
      <w:r w:rsidRPr="005B2EF1">
        <w:rPr>
          <w:b/>
          <w:color w:val="FF0000"/>
        </w:rPr>
        <w:t>afin de calculer et lever des contributions pour le cycle de contributions 2025</w:t>
      </w:r>
      <w:r w:rsidRPr="00750E38">
        <w:rPr>
          <w:color w:val="FF0000"/>
        </w:rPr>
        <w:t xml:space="preserve">. </w:t>
      </w:r>
      <w:r>
        <w:rPr>
          <w:color w:val="FF0000"/>
        </w:rPr>
        <w:t xml:space="preserve">En attendant la décision du CRU sur la levée de contributions pour le cycle 2025, </w:t>
      </w:r>
      <w:r w:rsidRPr="005B2EF1">
        <w:rPr>
          <w:b/>
          <w:color w:val="FF0000"/>
        </w:rPr>
        <w:t xml:space="preserve">ce mémento ne concerne que l’exigence d’assurance additionnelle pour les </w:t>
      </w:r>
      <w:r>
        <w:rPr>
          <w:b/>
          <w:color w:val="FF0000"/>
        </w:rPr>
        <w:t>corrections</w:t>
      </w:r>
      <w:r w:rsidRPr="005B2EF1">
        <w:rPr>
          <w:b/>
          <w:color w:val="FF0000"/>
        </w:rPr>
        <w:t xml:space="preserve"> des périodes de contribution 2016 à 2023</w:t>
      </w:r>
      <w:r>
        <w:rPr>
          <w:color w:val="FF0000"/>
        </w:rPr>
        <w:t xml:space="preserve">. </w:t>
      </w:r>
      <w:r w:rsidRPr="00750E38">
        <w:rPr>
          <w:color w:val="FF0000"/>
        </w:rPr>
        <w:t xml:space="preserve">  </w:t>
      </w:r>
    </w:p>
    <w:p w14:paraId="12D94A21" w14:textId="7FF14991" w:rsidR="00027629" w:rsidRPr="00EC3A14" w:rsidRDefault="00FF2B12" w:rsidP="00027629">
      <w:pPr>
        <w:pStyle w:val="Paragraphedeliste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Établissements concernés</w:t>
      </w:r>
    </w:p>
    <w:p w14:paraId="34FD988C" w14:textId="353080FF" w:rsidR="00027629" w:rsidRDefault="00027629" w:rsidP="00420978">
      <w:pPr>
        <w:jc w:val="both"/>
      </w:pPr>
      <w:r>
        <w:t>Les établissements de crédit et les entreprises d’investissement</w:t>
      </w:r>
      <w:r w:rsidR="00457B3D">
        <w:t>, qui ont fait une demande de correction sur un cycle précédent et</w:t>
      </w:r>
      <w:r>
        <w:t xml:space="preserve"> </w:t>
      </w:r>
      <w:r w:rsidR="00457B3D">
        <w:t xml:space="preserve">qui </w:t>
      </w:r>
      <w:r>
        <w:t xml:space="preserve">remplissent simultanément les </w:t>
      </w:r>
      <w:r w:rsidR="00003880">
        <w:t>3</w:t>
      </w:r>
      <w:r>
        <w:t xml:space="preserve"> conditions suivantes :</w:t>
      </w:r>
    </w:p>
    <w:p w14:paraId="7FD2146A" w14:textId="77777777" w:rsidR="00027629" w:rsidRDefault="00027629" w:rsidP="00420978">
      <w:pPr>
        <w:pStyle w:val="Paragraphedeliste"/>
        <w:numPr>
          <w:ilvl w:val="0"/>
          <w:numId w:val="2"/>
        </w:numPr>
        <w:jc w:val="both"/>
      </w:pPr>
      <w:r>
        <w:t>participent à la collecte de données sur les contributions au fonds de résolution unique (FRU)</w:t>
      </w:r>
      <w:r w:rsidR="00805AB3">
        <w:t> ;</w:t>
      </w:r>
    </w:p>
    <w:p w14:paraId="39661361" w14:textId="77777777" w:rsidR="00027629" w:rsidRDefault="00027629" w:rsidP="00420978">
      <w:pPr>
        <w:pStyle w:val="Paragraphedeliste"/>
        <w:numPr>
          <w:ilvl w:val="0"/>
          <w:numId w:val="2"/>
        </w:numPr>
        <w:jc w:val="both"/>
      </w:pPr>
      <w:r>
        <w:t>relèvent d’un groupe sous supervision directe de la BCE</w:t>
      </w:r>
      <w:r w:rsidR="00805AB3">
        <w:t> ;</w:t>
      </w:r>
    </w:p>
    <w:p w14:paraId="65C2C0DC" w14:textId="20D18AC6" w:rsidR="00EE3F0E" w:rsidRDefault="00027629" w:rsidP="00607183">
      <w:pPr>
        <w:pStyle w:val="Paragraphedeliste"/>
        <w:numPr>
          <w:ilvl w:val="0"/>
          <w:numId w:val="2"/>
        </w:numPr>
        <w:spacing w:line="240" w:lineRule="auto"/>
        <w:jc w:val="both"/>
      </w:pPr>
      <w:r>
        <w:t>ne sont pas éligibles aux contributions forfaitaires (la cellu</w:t>
      </w:r>
      <w:r w:rsidR="00DC0A7C">
        <w:t>le 2B2 prend la valeur « non »)</w:t>
      </w:r>
      <w:r w:rsidR="00720DF9">
        <w:t>,</w:t>
      </w:r>
    </w:p>
    <w:p w14:paraId="3A3BEA18" w14:textId="77777777" w:rsidR="00FA3522" w:rsidRDefault="00EE3F0E" w:rsidP="005B2EF1">
      <w:pPr>
        <w:spacing w:line="240" w:lineRule="auto"/>
        <w:jc w:val="both"/>
        <w:rPr>
          <w:ins w:id="0" w:author="FLORES Dimitri (SGACPR DR)" w:date="2024-10-10T09:42:00Z"/>
        </w:rPr>
      </w:pPr>
      <w:r w:rsidRPr="00607183">
        <w:rPr>
          <w:b/>
        </w:rPr>
        <w:t>OU</w:t>
      </w:r>
    </w:p>
    <w:p w14:paraId="6331A33F" w14:textId="3BFB7ECA" w:rsidR="00487529" w:rsidRDefault="00457B3D" w:rsidP="005B2EF1">
      <w:pPr>
        <w:spacing w:line="240" w:lineRule="auto"/>
        <w:jc w:val="both"/>
      </w:pPr>
      <w:del w:id="1" w:author="FLORES Dimitri (SGACPR DR)" w:date="2024-10-10T09:42:00Z">
        <w:r w:rsidDel="00FA3522">
          <w:delText xml:space="preserve"> </w:delText>
        </w:r>
      </w:del>
      <w:r>
        <w:t xml:space="preserve">qui </w:t>
      </w:r>
      <w:r w:rsidR="00D232CB">
        <w:t>sont</w:t>
      </w:r>
      <w:r w:rsidR="00DC0A7C">
        <w:t xml:space="preserve"> éligibles à la contribution forfaitaire (</w:t>
      </w:r>
      <w:r>
        <w:t xml:space="preserve">la </w:t>
      </w:r>
      <w:r w:rsidR="00067455">
        <w:t xml:space="preserve">cellule </w:t>
      </w:r>
      <w:r w:rsidR="00DC0A7C">
        <w:t>2B2</w:t>
      </w:r>
      <w:r w:rsidR="005B2EF1">
        <w:t xml:space="preserve"> </w:t>
      </w:r>
      <w:r>
        <w:t>prend la valeur « </w:t>
      </w:r>
      <w:r w:rsidR="00DC0A7C">
        <w:t>oui</w:t>
      </w:r>
      <w:r>
        <w:t> »</w:t>
      </w:r>
      <w:r w:rsidR="00DC0A7C">
        <w:t>)</w:t>
      </w:r>
      <w:r w:rsidR="00067455">
        <w:t xml:space="preserve">, </w:t>
      </w:r>
      <w:r w:rsidR="00D232CB">
        <w:t>ils</w:t>
      </w:r>
      <w:r w:rsidR="00DC0A7C">
        <w:t xml:space="preserve"> ont demandé un calcul alternatif de leur contribution (</w:t>
      </w:r>
      <w:r>
        <w:t xml:space="preserve">la </w:t>
      </w:r>
      <w:r w:rsidR="00067455">
        <w:t xml:space="preserve">cellule </w:t>
      </w:r>
      <w:r w:rsidR="00DC0A7C">
        <w:t xml:space="preserve">2B3 </w:t>
      </w:r>
      <w:r>
        <w:t>prend la valeur « o</w:t>
      </w:r>
      <w:r w:rsidR="00DC0A7C">
        <w:t>ui</w:t>
      </w:r>
      <w:r>
        <w:t> »</w:t>
      </w:r>
      <w:r w:rsidR="00DC0A7C">
        <w:t>)</w:t>
      </w:r>
      <w:r w:rsidR="00720DF9">
        <w:t>.</w:t>
      </w:r>
    </w:p>
    <w:p w14:paraId="5D82FB68" w14:textId="77777777" w:rsidR="00160E83" w:rsidRDefault="00160E83" w:rsidP="00160E83">
      <w:pPr>
        <w:pStyle w:val="Paragraphedeliste"/>
        <w:spacing w:line="240" w:lineRule="auto"/>
        <w:jc w:val="both"/>
      </w:pPr>
    </w:p>
    <w:p w14:paraId="15157D87" w14:textId="5FD82B11" w:rsidR="00160E83" w:rsidRPr="00160E83" w:rsidRDefault="00027629" w:rsidP="00160E83">
      <w:pPr>
        <w:pStyle w:val="Paragraphedeliste"/>
        <w:numPr>
          <w:ilvl w:val="0"/>
          <w:numId w:val="1"/>
        </w:numPr>
        <w:rPr>
          <w:b/>
          <w:u w:val="single"/>
        </w:rPr>
      </w:pPr>
      <w:r w:rsidRPr="00EC3A14">
        <w:rPr>
          <w:b/>
          <w:u w:val="single"/>
        </w:rPr>
        <w:t>Obligations à remplir</w:t>
      </w:r>
    </w:p>
    <w:p w14:paraId="784A2EEC" w14:textId="4607B893" w:rsidR="00500F7B" w:rsidRDefault="005A4A6D" w:rsidP="00571D57">
      <w:pPr>
        <w:jc w:val="both"/>
      </w:pPr>
      <w:r>
        <w:t xml:space="preserve">Concernant la procédure des assurances </w:t>
      </w:r>
      <w:r w:rsidR="00467EC0">
        <w:t>additionnelle</w:t>
      </w:r>
      <w:r w:rsidR="00EC49B6">
        <w:t>s</w:t>
      </w:r>
      <w:r w:rsidR="00457B3D" w:rsidRPr="00457B3D">
        <w:t xml:space="preserve"> </w:t>
      </w:r>
      <w:r w:rsidR="00457B3D">
        <w:t xml:space="preserve">pour les </w:t>
      </w:r>
      <w:r w:rsidR="00210F2F">
        <w:t xml:space="preserve">corrections </w:t>
      </w:r>
      <w:r w:rsidR="00457B3D">
        <w:t>des périodes de contribution 2016-2023</w:t>
      </w:r>
      <w:r>
        <w:t xml:space="preserve">, </w:t>
      </w:r>
      <w:r w:rsidRPr="00F3533F">
        <w:rPr>
          <w:b/>
        </w:rPr>
        <w:t>seule la procédure convenue (</w:t>
      </w:r>
      <w:r w:rsidRPr="00F3533F">
        <w:rPr>
          <w:b/>
          <w:i/>
          <w:iCs/>
        </w:rPr>
        <w:t>AUP</w:t>
      </w:r>
      <w:r w:rsidRPr="00F3533F">
        <w:rPr>
          <w:b/>
        </w:rPr>
        <w:t xml:space="preserve">) validée par un auditeur </w:t>
      </w:r>
      <w:r w:rsidR="00361070" w:rsidRPr="00F3533F">
        <w:rPr>
          <w:b/>
        </w:rPr>
        <w:t xml:space="preserve">est </w:t>
      </w:r>
      <w:r w:rsidRPr="00F3533F">
        <w:rPr>
          <w:b/>
        </w:rPr>
        <w:t>acceptée par le CRU.</w:t>
      </w:r>
      <w:r w:rsidR="00EC49B6" w:rsidRPr="00EC49B6">
        <w:t xml:space="preserve"> </w:t>
      </w:r>
    </w:p>
    <w:p w14:paraId="672190D4" w14:textId="25F3AB94" w:rsidR="00500F7B" w:rsidRDefault="00EC49B6" w:rsidP="005B2EF1">
      <w:pPr>
        <w:spacing w:after="120"/>
        <w:jc w:val="both"/>
      </w:pPr>
      <w:r>
        <w:t xml:space="preserve">Une assurance additionnelle doit être remise </w:t>
      </w:r>
      <w:r w:rsidRPr="00F3533F">
        <w:rPr>
          <w:b/>
          <w:u w:val="single"/>
        </w:rPr>
        <w:t xml:space="preserve">si la demande de correction porte sur une donnée soumise </w:t>
      </w:r>
      <w:r>
        <w:rPr>
          <w:b/>
          <w:u w:val="single"/>
        </w:rPr>
        <w:t xml:space="preserve">initialement </w:t>
      </w:r>
      <w:r w:rsidRPr="00F3533F">
        <w:rPr>
          <w:b/>
          <w:u w:val="single"/>
        </w:rPr>
        <w:t xml:space="preserve">à assurance </w:t>
      </w:r>
      <w:r w:rsidRPr="0022513F">
        <w:rPr>
          <w:b/>
          <w:u w:val="single"/>
        </w:rPr>
        <w:t>additionnelle</w:t>
      </w:r>
      <w:r>
        <w:t xml:space="preserve">. </w:t>
      </w:r>
      <w:r w:rsidR="00500F7B" w:rsidRPr="00604507">
        <w:t xml:space="preserve">À titre d’exception, un auditeur n’est pas tenu de fournir un (nouveau) rapport relatif </w:t>
      </w:r>
      <w:r w:rsidR="00500F7B">
        <w:t>à la</w:t>
      </w:r>
      <w:r w:rsidR="00500F7B" w:rsidRPr="00604507">
        <w:t xml:space="preserve"> donnée retraité</w:t>
      </w:r>
      <w:r w:rsidR="00500F7B">
        <w:t>e</w:t>
      </w:r>
      <w:r w:rsidR="00500F7B" w:rsidRPr="00604507">
        <w:t xml:space="preserve"> dans les conditions</w:t>
      </w:r>
      <w:r w:rsidR="0086495C">
        <w:t xml:space="preserve"> cumulatives</w:t>
      </w:r>
      <w:r w:rsidR="00500F7B" w:rsidRPr="00604507">
        <w:t xml:space="preserve"> suivantes</w:t>
      </w:r>
      <w:r w:rsidR="00500F7B">
        <w:t> </w:t>
      </w:r>
      <w:r w:rsidR="00500F7B" w:rsidRPr="00604507">
        <w:t xml:space="preserve">: </w:t>
      </w:r>
    </w:p>
    <w:p w14:paraId="0DBE0111" w14:textId="30A25019" w:rsidR="00500F7B" w:rsidRDefault="0086495C" w:rsidP="005B2EF1">
      <w:pPr>
        <w:pStyle w:val="Paragraphedeliste"/>
        <w:numPr>
          <w:ilvl w:val="0"/>
          <w:numId w:val="2"/>
        </w:numPr>
        <w:spacing w:after="120"/>
        <w:contextualSpacing w:val="0"/>
        <w:jc w:val="both"/>
      </w:pPr>
      <w:r w:rsidRPr="00604507">
        <w:t>L</w:t>
      </w:r>
      <w:r>
        <w:t xml:space="preserve">a correction </w:t>
      </w:r>
      <w:r w:rsidR="00500F7B" w:rsidRPr="00604507">
        <w:t xml:space="preserve">est </w:t>
      </w:r>
      <w:r w:rsidRPr="00604507">
        <w:t>du</w:t>
      </w:r>
      <w:r>
        <w:t>e</w:t>
      </w:r>
      <w:r w:rsidR="00500F7B" w:rsidRPr="00604507">
        <w:t xml:space="preserve"> à la suite du rapport d’un auditeur, établi lors d’un cycle précédent, dans lequel l</w:t>
      </w:r>
      <w:r w:rsidR="00500F7B">
        <w:t>a</w:t>
      </w:r>
      <w:r w:rsidR="00500F7B" w:rsidRPr="00604507">
        <w:t xml:space="preserve"> donnée erroné</w:t>
      </w:r>
      <w:r w:rsidR="00500F7B">
        <w:t>e</w:t>
      </w:r>
      <w:r w:rsidR="00500F7B" w:rsidRPr="00604507">
        <w:t xml:space="preserve"> a été identifié</w:t>
      </w:r>
      <w:r w:rsidR="00500F7B">
        <w:t>e</w:t>
      </w:r>
      <w:r w:rsidR="00500F7B" w:rsidRPr="00604507">
        <w:t xml:space="preserve">, et </w:t>
      </w:r>
    </w:p>
    <w:p w14:paraId="4D3B99CE" w14:textId="3599E9B2" w:rsidR="00500F7B" w:rsidRDefault="00500F7B" w:rsidP="005B2EF1">
      <w:pPr>
        <w:pStyle w:val="Paragraphedeliste"/>
        <w:numPr>
          <w:ilvl w:val="0"/>
          <w:numId w:val="2"/>
        </w:numPr>
        <w:spacing w:after="120"/>
        <w:contextualSpacing w:val="0"/>
        <w:jc w:val="both"/>
      </w:pPr>
      <w:r w:rsidRPr="00604507">
        <w:t>le rapport dudit auditeur mentionnait expressément l’ancien chiffre et la nouvelle valeur devant être présentés à nouveau aux fins de calcul d</w:t>
      </w:r>
      <w:r w:rsidR="0086495C">
        <w:t>e la correction</w:t>
      </w:r>
      <w:r w:rsidRPr="00604507">
        <w:t xml:space="preserve">, et </w:t>
      </w:r>
    </w:p>
    <w:p w14:paraId="02884942" w14:textId="1AB113D5" w:rsidR="00500F7B" w:rsidRDefault="00500F7B" w:rsidP="00500F7B">
      <w:pPr>
        <w:pStyle w:val="Paragraphedeliste"/>
        <w:numPr>
          <w:ilvl w:val="0"/>
          <w:numId w:val="2"/>
        </w:numPr>
        <w:jc w:val="both"/>
      </w:pPr>
      <w:r w:rsidRPr="00604507">
        <w:t xml:space="preserve">ce rapport est joint au </w:t>
      </w:r>
      <w:r>
        <w:t>formulaire de remise des données</w:t>
      </w:r>
      <w:r w:rsidRPr="00604507">
        <w:t xml:space="preserve"> </w:t>
      </w:r>
      <w:r w:rsidR="0086495C">
        <w:t>corrigé.</w:t>
      </w:r>
    </w:p>
    <w:p w14:paraId="48CB1036" w14:textId="79ED8715" w:rsidR="005A4A6D" w:rsidRDefault="00210F2F" w:rsidP="00571D57">
      <w:pPr>
        <w:jc w:val="both"/>
        <w:rPr>
          <w:b/>
        </w:rPr>
      </w:pPr>
      <w:r>
        <w:t xml:space="preserve">Enfin, il convient de noter qu’une assurance additionnelle sous la forme d’une AUP </w:t>
      </w:r>
      <w:r w:rsidRPr="00604507">
        <w:t xml:space="preserve">est requise </w:t>
      </w:r>
      <w:r w:rsidRPr="005B2EF1">
        <w:rPr>
          <w:b/>
        </w:rPr>
        <w:t xml:space="preserve">lorsqu’une donnée doit être </w:t>
      </w:r>
      <w:r>
        <w:rPr>
          <w:b/>
        </w:rPr>
        <w:t>corrigée</w:t>
      </w:r>
      <w:r w:rsidRPr="005B2EF1">
        <w:rPr>
          <w:b/>
        </w:rPr>
        <w:t xml:space="preserve"> à la suite d’un exercice de vérification des données supplémentaire (ADVE) effectué par le CRU</w:t>
      </w:r>
      <w:r>
        <w:t xml:space="preserve"> uniquement</w:t>
      </w:r>
      <w:r w:rsidRPr="00604507">
        <w:t xml:space="preserve"> lorsque ce point de données est concerné par l’assurance</w:t>
      </w:r>
      <w:r>
        <w:t xml:space="preserve"> additionnelle</w:t>
      </w:r>
      <w:r w:rsidRPr="00604507">
        <w:t>.</w:t>
      </w:r>
    </w:p>
    <w:p w14:paraId="76EACDF1" w14:textId="5034F53D" w:rsidR="00EC49B6" w:rsidRDefault="005B3A45" w:rsidP="005B3A45">
      <w:pPr>
        <w:jc w:val="both"/>
      </w:pPr>
      <w:r>
        <w:t>Une documentation détaillée a été préparée par le CRU. Elle est disponible</w:t>
      </w:r>
      <w:r w:rsidR="00EE3F0E" w:rsidRPr="00EE3F0E">
        <w:t xml:space="preserve"> </w:t>
      </w:r>
      <w:r w:rsidR="00EE3F0E">
        <w:t>en français dans le fichier « </w:t>
      </w:r>
      <w:r w:rsidR="000D6BFA" w:rsidRPr="000D6BFA">
        <w:rPr>
          <w:i/>
        </w:rPr>
        <w:t>Additional Assurance requirements 2025_FR</w:t>
      </w:r>
      <w:r w:rsidR="00EE3F0E">
        <w:t xml:space="preserve"> » et </w:t>
      </w:r>
      <w:r>
        <w:t xml:space="preserve">en anglais dans le fichier </w:t>
      </w:r>
      <w:r w:rsidRPr="007C5D2E">
        <w:t>« </w:t>
      </w:r>
      <w:r w:rsidR="000D6BFA" w:rsidRPr="000D6BFA">
        <w:rPr>
          <w:i/>
        </w:rPr>
        <w:t>SRB_ES_2024_31 - ANNEX II - 2025 Additional Assurance requirements</w:t>
      </w:r>
      <w:r>
        <w:t xml:space="preserve"> </w:t>
      </w:r>
      <w:r w:rsidRPr="007C5D2E">
        <w:t>»</w:t>
      </w:r>
      <w:r>
        <w:t>.</w:t>
      </w:r>
    </w:p>
    <w:p w14:paraId="295ACB94" w14:textId="1365A3E3" w:rsidR="000D5626" w:rsidRDefault="00027629" w:rsidP="00571D57">
      <w:pPr>
        <w:jc w:val="both"/>
      </w:pPr>
      <w:r>
        <w:t>Les établissements concernés doivent</w:t>
      </w:r>
      <w:r w:rsidR="00AD30B6">
        <w:t xml:space="preserve"> </w:t>
      </w:r>
      <w:r w:rsidR="00CB0885">
        <w:t>remplir l</w:t>
      </w:r>
      <w:r w:rsidR="005B3A45">
        <w:t>’annexe I du</w:t>
      </w:r>
      <w:r w:rsidR="00AD30B6">
        <w:t xml:space="preserve"> document </w:t>
      </w:r>
      <w:r w:rsidR="001C7197">
        <w:t>«</w:t>
      </w:r>
      <w:r w:rsidR="0074746E">
        <w:t xml:space="preserve"> </w:t>
      </w:r>
      <w:r w:rsidR="000D6BFA" w:rsidRPr="000D6BFA">
        <w:rPr>
          <w:i/>
        </w:rPr>
        <w:t>Additional Assurance requirements 2025_FR</w:t>
      </w:r>
      <w:r w:rsidR="0074746E">
        <w:rPr>
          <w:i/>
        </w:rPr>
        <w:t xml:space="preserve"> </w:t>
      </w:r>
      <w:r w:rsidR="00AD30B6">
        <w:t>»</w:t>
      </w:r>
      <w:r w:rsidR="00CB0885">
        <w:t xml:space="preserve"> afin de</w:t>
      </w:r>
      <w:r w:rsidR="00AD30B6">
        <w:t xml:space="preserve"> </w:t>
      </w:r>
      <w:r w:rsidR="00822849">
        <w:t>f</w:t>
      </w:r>
      <w:r>
        <w:t xml:space="preserve">ournir une attestation d’un auditeur indépendant attestant de la mise </w:t>
      </w:r>
      <w:r>
        <w:lastRenderedPageBreak/>
        <w:t xml:space="preserve">en œuvre effective d’une procédure convenue répondant aux conditions décrites </w:t>
      </w:r>
      <w:r w:rsidR="000A0856">
        <w:t>dans le</w:t>
      </w:r>
      <w:r>
        <w:t xml:space="preserve"> document</w:t>
      </w:r>
      <w:r w:rsidR="00BF3C48" w:rsidRPr="00BF3C48">
        <w:t xml:space="preserve"> </w:t>
      </w:r>
      <w:r w:rsidR="00BF3C48">
        <w:t xml:space="preserve">ainsi que </w:t>
      </w:r>
      <w:r w:rsidR="00124DE9">
        <w:t xml:space="preserve">fournir un </w:t>
      </w:r>
      <w:r w:rsidR="00BF3C48" w:rsidRPr="00F3533F">
        <w:rPr>
          <w:b/>
        </w:rPr>
        <w:t>rapport</w:t>
      </w:r>
      <w:r w:rsidR="00BF3C48" w:rsidRPr="00195CA9">
        <w:rPr>
          <w:b/>
        </w:rPr>
        <w:t xml:space="preserve"> sur les constatations de fait</w:t>
      </w:r>
      <w:r w:rsidR="00BF3C48" w:rsidRPr="00F3533F">
        <w:t>,</w:t>
      </w:r>
      <w:r w:rsidR="00BF3C48" w:rsidRPr="00195CA9">
        <w:rPr>
          <w:b/>
        </w:rPr>
        <w:t xml:space="preserve"> </w:t>
      </w:r>
      <w:r w:rsidR="00BF3C48">
        <w:t>détaillant</w:t>
      </w:r>
      <w:r w:rsidR="00BF3C48" w:rsidRPr="00AE419F">
        <w:t xml:space="preserve"> la nature et l’étendue du </w:t>
      </w:r>
      <w:r w:rsidR="00BF3C48" w:rsidRPr="00131BB8">
        <w:t>travail effectué</w:t>
      </w:r>
      <w:r w:rsidR="00124DE9">
        <w:t xml:space="preserve"> et répondant aux exigences mentionnées dans l’annexe II de ce même document</w:t>
      </w:r>
      <w:r w:rsidR="005B3A45">
        <w:t>.</w:t>
      </w:r>
    </w:p>
    <w:p w14:paraId="06A3C28A" w14:textId="5BDA1C8B" w:rsidR="00E846F0" w:rsidRPr="00F3533F" w:rsidRDefault="00195CA9" w:rsidP="00571D57">
      <w:pPr>
        <w:jc w:val="both"/>
        <w:rPr>
          <w:b/>
        </w:rPr>
      </w:pPr>
      <w:r>
        <w:rPr>
          <w:b/>
        </w:rPr>
        <w:t>Le cas échéant, le CRU se réserve le droit d’exiger des établissements</w:t>
      </w:r>
      <w:r w:rsidR="007A6C78" w:rsidRPr="00F3533F">
        <w:rPr>
          <w:b/>
        </w:rPr>
        <w:t xml:space="preserve"> </w:t>
      </w:r>
      <w:r>
        <w:rPr>
          <w:b/>
        </w:rPr>
        <w:t xml:space="preserve">la </w:t>
      </w:r>
      <w:r w:rsidR="007A6C78" w:rsidRPr="00F3533F">
        <w:rPr>
          <w:b/>
        </w:rPr>
        <w:t>lettre de mission</w:t>
      </w:r>
      <w:r>
        <w:rPr>
          <w:b/>
        </w:rPr>
        <w:t xml:space="preserve">, </w:t>
      </w:r>
      <w:r w:rsidRPr="007A6C78">
        <w:t>énumérant toutes les procédures à exécuter p</w:t>
      </w:r>
      <w:r>
        <w:t>ar l’auditeur</w:t>
      </w:r>
      <w:r w:rsidRPr="00131BB8">
        <w:t>.</w:t>
      </w:r>
    </w:p>
    <w:p w14:paraId="421A49AA" w14:textId="6F8150CD" w:rsidR="0061265A" w:rsidRPr="00F3533F" w:rsidRDefault="00195CA9" w:rsidP="00571D57">
      <w:pPr>
        <w:jc w:val="both"/>
      </w:pPr>
      <w:r>
        <w:t>C</w:t>
      </w:r>
      <w:r w:rsidR="005B3A45">
        <w:t>oncernant la lettre de mission,</w:t>
      </w:r>
      <w:r w:rsidR="007A6C78" w:rsidRPr="007A6C78">
        <w:t xml:space="preserve"> il est présumé que l’auditeur et l’établissement suivront l’exemple illustré à l’annexe 1 de la </w:t>
      </w:r>
      <w:r w:rsidR="007A6C78" w:rsidRPr="00F3533F">
        <w:rPr>
          <w:i/>
        </w:rPr>
        <w:t>Norme internationale de services connexes 4400</w:t>
      </w:r>
      <w:r w:rsidR="00EE3F0E">
        <w:rPr>
          <w:i/>
        </w:rPr>
        <w:t xml:space="preserve"> (révisée)</w:t>
      </w:r>
      <w:r w:rsidR="007A6C78" w:rsidRPr="00F3533F">
        <w:rPr>
          <w:i/>
        </w:rPr>
        <w:t xml:space="preserve"> sur les missions de procédures convenues relatives aux informations financières.</w:t>
      </w:r>
    </w:p>
    <w:p w14:paraId="0027B1A7" w14:textId="4785CC33" w:rsidR="00131BB8" w:rsidRDefault="005B3A45" w:rsidP="00F3533F">
      <w:pPr>
        <w:contextualSpacing/>
        <w:jc w:val="both"/>
      </w:pPr>
      <w:r>
        <w:t xml:space="preserve">Concernant le rapport sur les constations de fait, </w:t>
      </w:r>
      <w:r w:rsidR="00467EC0">
        <w:t>l’</w:t>
      </w:r>
      <w:r w:rsidR="00E846F0" w:rsidRPr="00AE419F">
        <w:t>annexe II</w:t>
      </w:r>
      <w:r w:rsidR="00566E57">
        <w:t xml:space="preserve"> du document </w:t>
      </w:r>
      <w:r w:rsidR="00566E57" w:rsidRPr="00566E57">
        <w:t xml:space="preserve">« </w:t>
      </w:r>
      <w:r w:rsidR="000D6BFA" w:rsidRPr="000D6BFA">
        <w:rPr>
          <w:i/>
        </w:rPr>
        <w:t>Additional Assurance requirements 2025_FR</w:t>
      </w:r>
      <w:r w:rsidR="00566E57" w:rsidRPr="00566E57">
        <w:rPr>
          <w:i/>
        </w:rPr>
        <w:t xml:space="preserve"> </w:t>
      </w:r>
      <w:r w:rsidR="00566E57" w:rsidRPr="00566E57">
        <w:t>»</w:t>
      </w:r>
      <w:r w:rsidR="00E846F0" w:rsidRPr="00AE419F">
        <w:t xml:space="preserve"> </w:t>
      </w:r>
      <w:r w:rsidR="00467EC0">
        <w:t xml:space="preserve">fournit </w:t>
      </w:r>
      <w:r w:rsidR="00E846F0" w:rsidRPr="00AE419F">
        <w:t>une liste d’ex</w:t>
      </w:r>
      <w:r w:rsidR="00E846F0">
        <w:t xml:space="preserve">igences minimales applicables à ce rapport. Le CRU se réfère également à </w:t>
      </w:r>
      <w:r w:rsidR="00E846F0" w:rsidRPr="00AE419F">
        <w:t>l’exemple illustré à l’</w:t>
      </w:r>
      <w:r w:rsidR="00E846F0" w:rsidRPr="00AE419F">
        <w:rPr>
          <w:i/>
          <w:szCs w:val="18"/>
        </w:rPr>
        <w:t>annexe 2 de la Norme internationale de services connexes 4400 sur les missions de procédures convenues relatives aux informations financières</w:t>
      </w:r>
      <w:r w:rsidR="00E846F0" w:rsidRPr="00AE419F">
        <w:t>.</w:t>
      </w:r>
      <w:bookmarkStart w:id="2" w:name="_Sign-off"/>
      <w:bookmarkEnd w:id="2"/>
    </w:p>
    <w:p w14:paraId="0FE46196" w14:textId="77777777" w:rsidR="0071762C" w:rsidRPr="00131BB8" w:rsidRDefault="0071762C" w:rsidP="00F3533F">
      <w:pPr>
        <w:contextualSpacing/>
        <w:jc w:val="both"/>
      </w:pPr>
    </w:p>
    <w:p w14:paraId="6762569C" w14:textId="083D84CD" w:rsidR="009F0115" w:rsidRDefault="009F4DAB" w:rsidP="00146EFF">
      <w:pPr>
        <w:pStyle w:val="Paragraphedeliste"/>
        <w:keepNext/>
        <w:numPr>
          <w:ilvl w:val="0"/>
          <w:numId w:val="1"/>
        </w:numPr>
        <w:rPr>
          <w:b/>
          <w:u w:val="single"/>
        </w:rPr>
      </w:pPr>
      <w:r w:rsidRPr="00EC3A14">
        <w:rPr>
          <w:b/>
          <w:u w:val="single"/>
        </w:rPr>
        <w:t>Détail des obligations</w:t>
      </w:r>
    </w:p>
    <w:p w14:paraId="55204C2A" w14:textId="7FB7BEC2" w:rsidR="009F0115" w:rsidRDefault="009F0115" w:rsidP="00146EFF">
      <w:pPr>
        <w:keepNext/>
        <w:spacing w:after="0" w:line="240" w:lineRule="auto"/>
        <w:jc w:val="both"/>
      </w:pPr>
      <w:r>
        <w:t>Les procédures</w:t>
      </w:r>
      <w:r w:rsidR="00147E45">
        <w:t xml:space="preserve"> d’attestation</w:t>
      </w:r>
      <w:r>
        <w:t xml:space="preserve"> </w:t>
      </w:r>
      <w:r w:rsidRPr="00AE419F">
        <w:t xml:space="preserve">couvrent les dépôts couverts, l’ajustement des instruments dérivés, les passifs liés à l’intragroupe, au </w:t>
      </w:r>
      <w:r w:rsidR="000D5811">
        <w:t>S</w:t>
      </w:r>
      <w:r w:rsidR="000D5811" w:rsidRPr="00AE419F">
        <w:t>ystè</w:t>
      </w:r>
      <w:r w:rsidR="000D5811">
        <w:t>me de protection institutionnel (SPI)</w:t>
      </w:r>
      <w:r w:rsidR="000D5811">
        <w:rPr>
          <w:rStyle w:val="Appelnotedebasdep"/>
        </w:rPr>
        <w:footnoteReference w:id="1"/>
      </w:r>
      <w:r w:rsidRPr="00AE419F">
        <w:t xml:space="preserve"> et aux prêts de</w:t>
      </w:r>
      <w:r w:rsidR="00467EC0">
        <w:t xml:space="preserve"> banques publiques de </w:t>
      </w:r>
      <w:r w:rsidRPr="00AE419F">
        <w:t xml:space="preserve"> développement qui remplissent les conditions pour être déduits conformément </w:t>
      </w:r>
      <w:r w:rsidR="00D232CB">
        <w:t xml:space="preserve">au paragraphe 1 de </w:t>
      </w:r>
      <w:r w:rsidRPr="00AE419F">
        <w:t>l’article 5 du règlement délégué (UE) de la Commission</w:t>
      </w:r>
      <w:r w:rsidR="00D232CB">
        <w:t xml:space="preserve"> européenne</w:t>
      </w:r>
      <w:r w:rsidRPr="00AE419F">
        <w:t xml:space="preserve"> (le «règlement délégué»), et </w:t>
      </w:r>
      <w:r w:rsidRPr="00A42BA6">
        <w:t>les fonds propres</w:t>
      </w:r>
      <w:r w:rsidRPr="00AE419F">
        <w:t xml:space="preserve"> (</w:t>
      </w:r>
      <w:r w:rsidR="00D232CB">
        <w:rPr>
          <w:i/>
          <w:szCs w:val="18"/>
        </w:rPr>
        <w:t>pour</w:t>
      </w:r>
      <w:r w:rsidRPr="00AE419F">
        <w:rPr>
          <w:i/>
          <w:szCs w:val="18"/>
        </w:rPr>
        <w:t xml:space="preserve"> les établissements qui bénéficient d’une dérogation de l’autorité compétente pour </w:t>
      </w:r>
      <w:r w:rsidR="00D232CB">
        <w:rPr>
          <w:i/>
          <w:szCs w:val="18"/>
        </w:rPr>
        <w:t>communiquer l</w:t>
      </w:r>
      <w:r w:rsidRPr="00AE419F">
        <w:rPr>
          <w:i/>
          <w:szCs w:val="18"/>
        </w:rPr>
        <w:t>es fonds propres au niveau individuel</w:t>
      </w:r>
      <w:r w:rsidRPr="00AE419F">
        <w:t>).</w:t>
      </w:r>
    </w:p>
    <w:p w14:paraId="22B4735D" w14:textId="77777777" w:rsidR="0071762C" w:rsidRDefault="0071762C" w:rsidP="00F3533F">
      <w:pPr>
        <w:spacing w:after="0" w:line="240" w:lineRule="auto"/>
        <w:jc w:val="both"/>
      </w:pPr>
    </w:p>
    <w:p w14:paraId="31242229" w14:textId="77777777" w:rsidR="009F0115" w:rsidRPr="00AE419F" w:rsidRDefault="009F0115" w:rsidP="00F3533F">
      <w:pPr>
        <w:spacing w:after="0" w:line="240" w:lineRule="auto"/>
        <w:jc w:val="both"/>
        <w:rPr>
          <w:rFonts w:eastAsia="Calibri" w:cstheme="minorHAnsi"/>
          <w:szCs w:val="18"/>
        </w:rPr>
      </w:pPr>
    </w:p>
    <w:p w14:paraId="38913C7B" w14:textId="61532588" w:rsidR="00027629" w:rsidRPr="00EC3A14" w:rsidRDefault="00027629" w:rsidP="00027629">
      <w:pPr>
        <w:pStyle w:val="Paragraphedeliste"/>
        <w:numPr>
          <w:ilvl w:val="0"/>
          <w:numId w:val="1"/>
        </w:numPr>
        <w:rPr>
          <w:b/>
          <w:u w:val="single"/>
        </w:rPr>
      </w:pPr>
      <w:r w:rsidRPr="00EC3A14">
        <w:rPr>
          <w:b/>
          <w:u w:val="single"/>
        </w:rPr>
        <w:t xml:space="preserve">Modalités de </w:t>
      </w:r>
      <w:r w:rsidR="00EC3A14">
        <w:rPr>
          <w:b/>
          <w:u w:val="single"/>
        </w:rPr>
        <w:t>transmission</w:t>
      </w:r>
      <w:r w:rsidRPr="00EC3A14">
        <w:rPr>
          <w:b/>
          <w:u w:val="single"/>
        </w:rPr>
        <w:t xml:space="preserve"> des attestations à l’ACPR</w:t>
      </w:r>
    </w:p>
    <w:p w14:paraId="7B963EFF" w14:textId="127DAB8E" w:rsidR="00521289" w:rsidRDefault="00F305D0" w:rsidP="00521289">
      <w:pPr>
        <w:jc w:val="both"/>
        <w:rPr>
          <w:b/>
        </w:rPr>
      </w:pPr>
      <w:r>
        <w:t xml:space="preserve">Pour les </w:t>
      </w:r>
      <w:r w:rsidR="00A173DE">
        <w:t xml:space="preserve">corrections </w:t>
      </w:r>
      <w:r>
        <w:t xml:space="preserve">des périodes de contributions 2016-2023, </w:t>
      </w:r>
      <w:r w:rsidR="00CF3E80">
        <w:t>l’établissement d</w:t>
      </w:r>
      <w:r w:rsidR="00EC49B6">
        <w:t>oit</w:t>
      </w:r>
      <w:r w:rsidR="00CF3E80">
        <w:t xml:space="preserve"> </w:t>
      </w:r>
      <w:r w:rsidR="009F4DAB">
        <w:t xml:space="preserve">faire parvenir </w:t>
      </w:r>
      <w:r w:rsidR="009F4DAB" w:rsidRPr="00D56C80">
        <w:rPr>
          <w:b/>
          <w:u w:val="single"/>
        </w:rPr>
        <w:t xml:space="preserve">un </w:t>
      </w:r>
      <w:r w:rsidR="00BF3C48">
        <w:rPr>
          <w:b/>
          <w:u w:val="single"/>
        </w:rPr>
        <w:t xml:space="preserve">même </w:t>
      </w:r>
      <w:r w:rsidR="009F4DAB" w:rsidRPr="00D56C80">
        <w:rPr>
          <w:b/>
          <w:u w:val="single"/>
        </w:rPr>
        <w:t>fichier</w:t>
      </w:r>
      <w:r w:rsidR="00715947">
        <w:rPr>
          <w:b/>
          <w:u w:val="single"/>
        </w:rPr>
        <w:t xml:space="preserve"> </w:t>
      </w:r>
      <w:r w:rsidR="0066214D">
        <w:rPr>
          <w:b/>
          <w:u w:val="single"/>
        </w:rPr>
        <w:t>e-</w:t>
      </w:r>
      <w:r w:rsidR="009F4DAB" w:rsidRPr="00D56C80">
        <w:rPr>
          <w:b/>
          <w:u w:val="single"/>
        </w:rPr>
        <w:t>pdf</w:t>
      </w:r>
      <w:r w:rsidR="009F4DAB" w:rsidRPr="00195CA9">
        <w:rPr>
          <w:b/>
          <w:u w:val="single"/>
        </w:rPr>
        <w:t xml:space="preserve"> </w:t>
      </w:r>
      <w:r>
        <w:rPr>
          <w:b/>
          <w:u w:val="single"/>
        </w:rPr>
        <w:t xml:space="preserve">contenant </w:t>
      </w:r>
      <w:r w:rsidR="009F4DAB" w:rsidRPr="00195CA9">
        <w:rPr>
          <w:b/>
          <w:u w:val="single"/>
        </w:rPr>
        <w:t xml:space="preserve">l’attestation </w:t>
      </w:r>
      <w:r w:rsidR="000A0856" w:rsidRPr="00D56C80">
        <w:rPr>
          <w:b/>
          <w:u w:val="single"/>
        </w:rPr>
        <w:t>daté</w:t>
      </w:r>
      <w:r w:rsidR="000D5626" w:rsidRPr="00D56C80">
        <w:rPr>
          <w:b/>
          <w:u w:val="single"/>
        </w:rPr>
        <w:t>e</w:t>
      </w:r>
      <w:r w:rsidR="000A0856" w:rsidRPr="00D56C80">
        <w:rPr>
          <w:b/>
          <w:u w:val="single"/>
        </w:rPr>
        <w:t xml:space="preserve"> et </w:t>
      </w:r>
      <w:r w:rsidR="009F4DAB" w:rsidRPr="00F204ED">
        <w:rPr>
          <w:b/>
          <w:u w:val="single"/>
        </w:rPr>
        <w:t>signé</w:t>
      </w:r>
      <w:r w:rsidR="000D5626" w:rsidRPr="00F204ED">
        <w:rPr>
          <w:b/>
          <w:u w:val="single"/>
        </w:rPr>
        <w:t>e</w:t>
      </w:r>
      <w:r w:rsidR="00225269">
        <w:rPr>
          <w:b/>
          <w:u w:val="single"/>
        </w:rPr>
        <w:t xml:space="preserve"> </w:t>
      </w:r>
      <w:r w:rsidR="007966A4">
        <w:rPr>
          <w:b/>
          <w:u w:val="single"/>
        </w:rPr>
        <w:t>par les auditeurs</w:t>
      </w:r>
      <w:r w:rsidR="00C16690">
        <w:rPr>
          <w:b/>
          <w:u w:val="single"/>
        </w:rPr>
        <w:t>,</w:t>
      </w:r>
      <w:r w:rsidR="00566E57">
        <w:rPr>
          <w:b/>
          <w:u w:val="single"/>
        </w:rPr>
        <w:t xml:space="preserve"> </w:t>
      </w:r>
      <w:r w:rsidR="00BF3C48">
        <w:rPr>
          <w:b/>
          <w:u w:val="single"/>
        </w:rPr>
        <w:t>le rapport sur les constations de fait</w:t>
      </w:r>
      <w:r w:rsidR="00124DE9">
        <w:rPr>
          <w:b/>
          <w:u w:val="single"/>
        </w:rPr>
        <w:t>.</w:t>
      </w:r>
      <w:r w:rsidR="00521289" w:rsidRPr="00521289">
        <w:rPr>
          <w:b/>
        </w:rPr>
        <w:t xml:space="preserve"> </w:t>
      </w:r>
    </w:p>
    <w:p w14:paraId="36CA1CB1" w14:textId="3872C4FF" w:rsidR="000A0856" w:rsidRDefault="00521289" w:rsidP="00420978">
      <w:pPr>
        <w:jc w:val="both"/>
        <w:rPr>
          <w:b/>
        </w:rPr>
      </w:pPr>
      <w:r w:rsidRPr="00571D57">
        <w:rPr>
          <w:b/>
        </w:rPr>
        <w:t>Le nom du fichier doit respecter la nomenclature de dénomination suivante : MFI Code_LEI Code_AUP_ YEAR RST (exemple : FR30001</w:t>
      </w:r>
      <w:r>
        <w:rPr>
          <w:b/>
        </w:rPr>
        <w:t>_LEIC0ODE123465789_AUP_2018</w:t>
      </w:r>
      <w:r w:rsidRPr="00571D57">
        <w:rPr>
          <w:b/>
        </w:rPr>
        <w:t>.pdf</w:t>
      </w:r>
      <w:r>
        <w:rPr>
          <w:b/>
        </w:rPr>
        <w:t xml:space="preserve"> pour une demande de correction portant sur 2018). </w:t>
      </w:r>
    </w:p>
    <w:p w14:paraId="25FC47B3" w14:textId="5FF95AB3" w:rsidR="00500F7B" w:rsidRPr="00500F7B" w:rsidRDefault="00500F7B" w:rsidP="00420978">
      <w:pPr>
        <w:contextualSpacing/>
        <w:jc w:val="both"/>
      </w:pPr>
      <w:r w:rsidRPr="00F3533F">
        <w:t xml:space="preserve">Il faudra également </w:t>
      </w:r>
      <w:r w:rsidRPr="0078651A">
        <w:t>faire</w:t>
      </w:r>
      <w:r w:rsidRPr="00487529">
        <w:t xml:space="preserve"> attention à bien cocher </w:t>
      </w:r>
      <w:r>
        <w:t xml:space="preserve">avec la lettre « x » minuscule </w:t>
      </w:r>
      <w:r w:rsidRPr="00487529">
        <w:t>la case correspondante à la campagne concernée par la demande de correction</w:t>
      </w:r>
      <w:r>
        <w:t xml:space="preserve"> (dans notre exemple, </w:t>
      </w:r>
      <w:r>
        <w:rPr>
          <w:szCs w:val="18"/>
          <w:lang w:val="fr-BE"/>
        </w:rPr>
        <w:t>□</w:t>
      </w:r>
      <w:r w:rsidRPr="00AE419F">
        <w:rPr>
          <w:szCs w:val="18"/>
          <w:lang w:val="fr-BE"/>
        </w:rPr>
        <w:t xml:space="preserve"> </w:t>
      </w:r>
      <w:r w:rsidRPr="00AE419F">
        <w:t>Cycle de contributions ex ante 2018</w:t>
      </w:r>
      <w:r>
        <w:t>)</w:t>
      </w:r>
      <w:r w:rsidRPr="00487529">
        <w:t>.</w:t>
      </w:r>
    </w:p>
    <w:p w14:paraId="66080910" w14:textId="7A2B0F45" w:rsidR="00077EC6" w:rsidRDefault="009F4DAB">
      <w:pPr>
        <w:jc w:val="both"/>
        <w:rPr>
          <w:rStyle w:val="Lienhypertexte"/>
        </w:rPr>
      </w:pPr>
      <w:r w:rsidRPr="000D5626">
        <w:t xml:space="preserve">Le fichier </w:t>
      </w:r>
      <w:r w:rsidR="00CF3E80">
        <w:t>devra</w:t>
      </w:r>
      <w:r w:rsidR="00CF3E80" w:rsidRPr="000D5626">
        <w:t xml:space="preserve"> </w:t>
      </w:r>
      <w:r w:rsidRPr="000D5626">
        <w:t xml:space="preserve">être </w:t>
      </w:r>
      <w:r w:rsidR="00EC49B6">
        <w:t xml:space="preserve">transmis </w:t>
      </w:r>
      <w:r w:rsidR="00EC49B6" w:rsidRPr="00146EFF">
        <w:rPr>
          <w:b/>
          <w:u w:val="single"/>
        </w:rPr>
        <w:t>exclusivement par courriel</w:t>
      </w:r>
      <w:r w:rsidR="00EC49B6">
        <w:t xml:space="preserve"> à l’ACPR, à l’adresse suivante : </w:t>
      </w:r>
      <w:hyperlink r:id="rId8" w:history="1">
        <w:r w:rsidR="00EC49B6" w:rsidRPr="008348A0">
          <w:rPr>
            <w:rStyle w:val="Lienhypertexte"/>
          </w:rPr>
          <w:t>2707</w:t>
        </w:r>
        <w:r w:rsidR="00EC49B6" w:rsidRPr="008348A0">
          <w:rPr>
            <w:rStyle w:val="Lienhypertexte"/>
          </w:rPr>
          <w:noBreakHyphen/>
          <w:t>contributions</w:t>
        </w:r>
        <w:r w:rsidR="00EC49B6" w:rsidRPr="008348A0">
          <w:rPr>
            <w:rStyle w:val="Lienhypertexte"/>
          </w:rPr>
          <w:noBreakHyphen/>
          <w:t>ut@acpr.banque-france.fr</w:t>
        </w:r>
      </w:hyperlink>
      <w:r w:rsidR="00077EC6">
        <w:rPr>
          <w:rStyle w:val="Lienhypertexte"/>
        </w:rPr>
        <w:t>.</w:t>
      </w:r>
    </w:p>
    <w:p w14:paraId="03C7517B" w14:textId="3B1B2C4E" w:rsidR="00BD254B" w:rsidRDefault="00077EC6" w:rsidP="00BC4B83">
      <w:pPr>
        <w:jc w:val="both"/>
      </w:pPr>
      <w:r>
        <w:rPr>
          <w:rStyle w:val="Lienhypertexte"/>
        </w:rPr>
        <w:t>Parallèlement à cet envoi par courriel, la maquette corrective devra être remise</w:t>
      </w:r>
      <w:r w:rsidR="0066353B">
        <w:rPr>
          <w:rStyle w:val="Lienhypertexte"/>
        </w:rPr>
        <w:t xml:space="preserve"> simultanément</w:t>
      </w:r>
      <w:r w:rsidR="00EC49B6">
        <w:t xml:space="preserve"> </w:t>
      </w:r>
      <w:r w:rsidR="00EC3A14" w:rsidRPr="000D5626">
        <w:t xml:space="preserve">dans </w:t>
      </w:r>
      <w:r w:rsidR="00EC3A14" w:rsidRPr="000D5626">
        <w:rPr>
          <w:b/>
        </w:rPr>
        <w:t>Onegate</w:t>
      </w:r>
      <w:r w:rsidR="00EC3A14" w:rsidRPr="000D5626">
        <w:t xml:space="preserve"> – Domaine </w:t>
      </w:r>
      <w:r w:rsidR="00EC3A14" w:rsidRPr="000D5626">
        <w:rPr>
          <w:b/>
        </w:rPr>
        <w:t>FDR</w:t>
      </w:r>
      <w:r w:rsidR="00EC3A14" w:rsidRPr="000D5626">
        <w:t xml:space="preserve"> – Rapport </w:t>
      </w:r>
      <w:r w:rsidR="00EC3B60" w:rsidRPr="000D5626">
        <w:rPr>
          <w:b/>
        </w:rPr>
        <w:t>ASSUR_AD</w:t>
      </w:r>
      <w:r w:rsidR="00EC3A14" w:rsidRPr="000D5626">
        <w:rPr>
          <w:b/>
        </w:rPr>
        <w:t>I</w:t>
      </w:r>
      <w:r w:rsidR="00EC3A14" w:rsidRPr="000D5626">
        <w:t xml:space="preserve"> qui</w:t>
      </w:r>
      <w:r w:rsidR="00650B82" w:rsidRPr="000D5626">
        <w:t xml:space="preserve"> </w:t>
      </w:r>
      <w:r w:rsidR="000D5626">
        <w:t>sera</w:t>
      </w:r>
      <w:r w:rsidR="000D5626" w:rsidRPr="000D5626">
        <w:t xml:space="preserve"> </w:t>
      </w:r>
      <w:r w:rsidR="00EC3A14" w:rsidRPr="000D5626">
        <w:t xml:space="preserve">ouvert à partir du </w:t>
      </w:r>
      <w:r w:rsidR="00CF3E80">
        <w:rPr>
          <w:b/>
        </w:rPr>
        <w:t>4</w:t>
      </w:r>
      <w:r w:rsidR="00CF3E80" w:rsidRPr="000D5626">
        <w:rPr>
          <w:b/>
        </w:rPr>
        <w:t> </w:t>
      </w:r>
      <w:r w:rsidR="00EC3A14" w:rsidRPr="000D5626">
        <w:rPr>
          <w:b/>
        </w:rPr>
        <w:t xml:space="preserve">novembre </w:t>
      </w:r>
      <w:r w:rsidR="00566E57">
        <w:rPr>
          <w:b/>
        </w:rPr>
        <w:t>202</w:t>
      </w:r>
      <w:r w:rsidR="000D6BFA">
        <w:rPr>
          <w:b/>
        </w:rPr>
        <w:t>4</w:t>
      </w:r>
      <w:r w:rsidR="00A173DE">
        <w:rPr>
          <w:b/>
        </w:rPr>
        <w:t xml:space="preserve"> </w:t>
      </w:r>
      <w:r w:rsidR="00C16690">
        <w:rPr>
          <w:b/>
        </w:rPr>
        <w:t xml:space="preserve">jusqu’au 15 </w:t>
      </w:r>
      <w:r>
        <w:rPr>
          <w:b/>
        </w:rPr>
        <w:t>janvier 2024</w:t>
      </w:r>
      <w:r w:rsidR="00C74586">
        <w:rPr>
          <w:b/>
        </w:rPr>
        <w:t>.</w:t>
      </w:r>
      <w:r w:rsidR="006B588E" w:rsidRPr="006B588E">
        <w:t xml:space="preserve"> </w:t>
      </w:r>
      <w:r w:rsidR="006B588E" w:rsidRPr="00571D57">
        <w:rPr>
          <w:b/>
        </w:rPr>
        <w:t xml:space="preserve">Le nom du fichier </w:t>
      </w:r>
      <w:r w:rsidR="00CF3E80">
        <w:rPr>
          <w:b/>
        </w:rPr>
        <w:t xml:space="preserve">devra </w:t>
      </w:r>
      <w:r w:rsidR="00EE7040">
        <w:rPr>
          <w:b/>
        </w:rPr>
        <w:t>débuter avec le CIB de l’établissement afin que la remise sur Onegate soit bien prise en compte</w:t>
      </w:r>
      <w:r w:rsidR="00CE2D01">
        <w:rPr>
          <w:b/>
        </w:rPr>
        <w:t xml:space="preserve"> </w:t>
      </w:r>
      <w:r w:rsidR="00CE2D01" w:rsidRPr="00F3533F">
        <w:t>(par exemple 30001.pdf)</w:t>
      </w:r>
      <w:r w:rsidR="006B588E" w:rsidRPr="00F3533F">
        <w:t>.</w:t>
      </w:r>
    </w:p>
    <w:p w14:paraId="5CC7E75F" w14:textId="629BE5E8" w:rsidR="006B059D" w:rsidRDefault="006B059D" w:rsidP="005B2EF1">
      <w:pPr>
        <w:jc w:val="both"/>
        <w:rPr>
          <w:rStyle w:val="Lienhypertexte"/>
        </w:rPr>
      </w:pPr>
      <w:r>
        <w:lastRenderedPageBreak/>
        <w:t xml:space="preserve">En cas de </w:t>
      </w:r>
      <w:r w:rsidR="00CE2D01">
        <w:t>questions</w:t>
      </w:r>
      <w:r>
        <w:t>, veuillez prendre contact</w:t>
      </w:r>
      <w:r w:rsidR="00147E45">
        <w:t xml:space="preserve"> avec l’ACPR</w:t>
      </w:r>
      <w:r>
        <w:t xml:space="preserve"> à l’adresse suivante</w:t>
      </w:r>
      <w:r w:rsidR="00CE2D01">
        <w:t> :</w:t>
      </w:r>
      <w:r w:rsidR="00F305D0">
        <w:t xml:space="preserve"> </w:t>
      </w:r>
      <w:hyperlink r:id="rId9" w:history="1">
        <w:r w:rsidRPr="008348A0">
          <w:rPr>
            <w:rStyle w:val="Lienhypertexte"/>
          </w:rPr>
          <w:t>2707</w:t>
        </w:r>
        <w:r w:rsidRPr="008348A0">
          <w:rPr>
            <w:rStyle w:val="Lienhypertexte"/>
          </w:rPr>
          <w:noBreakHyphen/>
          <w:t>contributions</w:t>
        </w:r>
        <w:r w:rsidRPr="008348A0">
          <w:rPr>
            <w:rStyle w:val="Lienhypertexte"/>
          </w:rPr>
          <w:noBreakHyphen/>
          <w:t>ut@acpr.banque-france.fr</w:t>
        </w:r>
      </w:hyperlink>
    </w:p>
    <w:p w14:paraId="32E0C095" w14:textId="77777777" w:rsidR="0071762C" w:rsidRPr="00F3533F" w:rsidDel="00FA3522" w:rsidRDefault="0071762C" w:rsidP="00F3533F">
      <w:pPr>
        <w:jc w:val="center"/>
        <w:rPr>
          <w:del w:id="3" w:author="FLORES Dimitri (SGACPR DR)" w:date="2024-10-10T09:45:00Z"/>
        </w:rPr>
      </w:pPr>
    </w:p>
    <w:p w14:paraId="56B64C06" w14:textId="4524DFA4" w:rsidR="009F2D08" w:rsidRPr="00F3533F" w:rsidRDefault="009F2D08" w:rsidP="009F2D08"/>
    <w:p w14:paraId="2A8F6B3B" w14:textId="4E332D4A" w:rsidR="009F2D08" w:rsidRDefault="008602A6" w:rsidP="009F2D08">
      <w:pPr>
        <w:pStyle w:val="Paragraphedeliste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Modalités d’</w:t>
      </w:r>
      <w:r w:rsidR="009F2D08">
        <w:rPr>
          <w:b/>
          <w:u w:val="single"/>
        </w:rPr>
        <w:t>élaboration du do</w:t>
      </w:r>
      <w:r w:rsidR="008B4D29">
        <w:rPr>
          <w:b/>
          <w:u w:val="single"/>
        </w:rPr>
        <w:t>cument</w:t>
      </w:r>
    </w:p>
    <w:p w14:paraId="3C3EB6DF" w14:textId="5CB8D676" w:rsidR="009F2D08" w:rsidRPr="009F2D08" w:rsidRDefault="009F2D08" w:rsidP="0066214D">
      <w:pPr>
        <w:jc w:val="both"/>
      </w:pPr>
      <w:r w:rsidRPr="009F2D08">
        <w:t>La direction de la résolution de l’</w:t>
      </w:r>
      <w:r>
        <w:t xml:space="preserve">ACPR a </w:t>
      </w:r>
      <w:r w:rsidR="00D03A99">
        <w:t xml:space="preserve">relevé lors des collectes précédentes des pratiques qui ne permettaient pas un traitement optimal des </w:t>
      </w:r>
      <w:r w:rsidR="00D03A99" w:rsidRPr="00D03A99">
        <w:t xml:space="preserve">documents d’assurance </w:t>
      </w:r>
      <w:r w:rsidR="00210F2F">
        <w:t>additionnelle</w:t>
      </w:r>
      <w:r w:rsidR="00D03A99">
        <w:t xml:space="preserve">. À cet </w:t>
      </w:r>
      <w:r w:rsidR="008602A6">
        <w:t xml:space="preserve">effet, </w:t>
      </w:r>
      <w:r w:rsidR="008602A6" w:rsidRPr="00D03A99">
        <w:t>il</w:t>
      </w:r>
      <w:r w:rsidR="00D03A99">
        <w:t xml:space="preserve"> convient que les établissements remettants respectent les règles suivantes et s’assurent </w:t>
      </w:r>
      <w:r w:rsidR="0066214D">
        <w:t xml:space="preserve">que les cabinets d’audit mandatés pour cet exercice </w:t>
      </w:r>
      <w:r w:rsidR="008602A6">
        <w:t xml:space="preserve">les </w:t>
      </w:r>
      <w:r w:rsidR="0066214D">
        <w:t xml:space="preserve">suivent </w:t>
      </w:r>
      <w:r w:rsidR="008602A6">
        <w:t xml:space="preserve">également </w:t>
      </w:r>
      <w:r>
        <w:t>:</w:t>
      </w:r>
    </w:p>
    <w:p w14:paraId="56381556" w14:textId="3C0B01C0" w:rsidR="0066214D" w:rsidRPr="00D84193" w:rsidRDefault="0066214D" w:rsidP="0066214D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b/>
          <w:i/>
        </w:rPr>
      </w:pPr>
      <w:r w:rsidRPr="00D84193">
        <w:rPr>
          <w:b/>
          <w:i/>
        </w:rPr>
        <w:t>Seul le format e-PDF est toléré</w:t>
      </w:r>
    </w:p>
    <w:p w14:paraId="32706BAA" w14:textId="77777777" w:rsidR="0066214D" w:rsidRDefault="0066214D" w:rsidP="0066214D">
      <w:pPr>
        <w:spacing w:after="0" w:line="240" w:lineRule="auto"/>
        <w:jc w:val="both"/>
      </w:pPr>
    </w:p>
    <w:p w14:paraId="4D3B5091" w14:textId="2E0B0C74" w:rsidR="008602A6" w:rsidRDefault="00210F2F" w:rsidP="0066214D">
      <w:pPr>
        <w:spacing w:after="0" w:line="240" w:lineRule="auto"/>
        <w:jc w:val="both"/>
      </w:pPr>
      <w:r>
        <w:t>Le</w:t>
      </w:r>
      <w:r w:rsidR="00E04FAC">
        <w:t xml:space="preserve"> document d’assurance </w:t>
      </w:r>
      <w:r>
        <w:t xml:space="preserve">additionnelle doit être remis </w:t>
      </w:r>
      <w:r w:rsidR="008602A6">
        <w:t>au format e-PDF</w:t>
      </w:r>
      <w:r w:rsidR="00BA1A8B">
        <w:t>,</w:t>
      </w:r>
      <w:r w:rsidR="008602A6">
        <w:t xml:space="preserve"> établi en convertissant la maquette remplie à l’aide d’un traitement de texte.  L</w:t>
      </w:r>
      <w:r w:rsidR="00D84193">
        <w:t xml:space="preserve">es documents d’assurance </w:t>
      </w:r>
      <w:r w:rsidR="00BA1A8B">
        <w:t>additionnelle</w:t>
      </w:r>
      <w:r w:rsidR="007966A4">
        <w:t xml:space="preserve"> </w:t>
      </w:r>
      <w:r w:rsidR="00D84193">
        <w:t>scannés ou ne respectant pas le format attendu</w:t>
      </w:r>
      <w:r w:rsidR="008602A6">
        <w:t xml:space="preserve"> seront rejetés</w:t>
      </w:r>
      <w:r w:rsidR="00D84193">
        <w:t>.</w:t>
      </w:r>
      <w:r w:rsidR="0066214D">
        <w:t xml:space="preserve"> </w:t>
      </w:r>
    </w:p>
    <w:p w14:paraId="39D964A1" w14:textId="77777777" w:rsidR="008602A6" w:rsidRDefault="008602A6" w:rsidP="0066214D">
      <w:pPr>
        <w:spacing w:after="0" w:line="240" w:lineRule="auto"/>
        <w:jc w:val="both"/>
      </w:pPr>
    </w:p>
    <w:p w14:paraId="1D005B2D" w14:textId="78E99AE6" w:rsidR="0066214D" w:rsidRDefault="00D84193" w:rsidP="0066214D">
      <w:pPr>
        <w:spacing w:after="0" w:line="240" w:lineRule="auto"/>
        <w:jc w:val="both"/>
      </w:pPr>
      <w:r>
        <w:t>Dans le cas où</w:t>
      </w:r>
      <w:r w:rsidR="0066214D">
        <w:t xml:space="preserve"> le remplissage du modèle utilisé pour les </w:t>
      </w:r>
      <w:r w:rsidR="00BA1A8B">
        <w:t>AUP</w:t>
      </w:r>
      <w:r>
        <w:t xml:space="preserve"> se ferait</w:t>
      </w:r>
      <w:r w:rsidR="0066214D">
        <w:t xml:space="preserve"> à l’aide de l’application Word, il </w:t>
      </w:r>
      <w:r>
        <w:t>conviendrait</w:t>
      </w:r>
      <w:r w:rsidR="0066214D">
        <w:t xml:space="preserve"> d’exporter le document en </w:t>
      </w:r>
      <w:r w:rsidR="008602A6">
        <w:t>e-</w:t>
      </w:r>
      <w:r w:rsidR="0066214D">
        <w:t>PDF au préalable comme suit :</w:t>
      </w:r>
    </w:p>
    <w:p w14:paraId="4F135160" w14:textId="77777777" w:rsidR="00D84193" w:rsidRPr="0066214D" w:rsidRDefault="00D84193" w:rsidP="0066214D">
      <w:pPr>
        <w:spacing w:after="0" w:line="240" w:lineRule="auto"/>
        <w:jc w:val="both"/>
        <w:rPr>
          <w:b/>
        </w:rPr>
      </w:pPr>
    </w:p>
    <w:p w14:paraId="14A8CAC9" w14:textId="51007784" w:rsidR="0066214D" w:rsidRDefault="00D84193" w:rsidP="0066214D">
      <w:pPr>
        <w:spacing w:after="0" w:line="240" w:lineRule="auto"/>
        <w:jc w:val="both"/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37A4418A" wp14:editId="19F490FF">
            <wp:simplePos x="0" y="0"/>
            <wp:positionH relativeFrom="column">
              <wp:posOffset>337004</wp:posOffset>
            </wp:positionH>
            <wp:positionV relativeFrom="paragraph">
              <wp:posOffset>56515</wp:posOffset>
            </wp:positionV>
            <wp:extent cx="4857610" cy="1759586"/>
            <wp:effectExtent l="0" t="0" r="635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536" cy="17606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FE9F02" w14:textId="099C6CA4" w:rsidR="0066214D" w:rsidRDefault="0066214D" w:rsidP="0066214D">
      <w:pPr>
        <w:spacing w:after="0" w:line="240" w:lineRule="auto"/>
        <w:jc w:val="both"/>
      </w:pPr>
    </w:p>
    <w:p w14:paraId="71629352" w14:textId="4A57EC57" w:rsidR="009F2D08" w:rsidRDefault="009F2D08" w:rsidP="0066214D">
      <w:pPr>
        <w:spacing w:after="0" w:line="240" w:lineRule="auto"/>
      </w:pPr>
    </w:p>
    <w:p w14:paraId="3D2E59B5" w14:textId="77777777" w:rsidR="009F2D08" w:rsidRDefault="009F2D08" w:rsidP="009F2D08">
      <w:pPr>
        <w:spacing w:after="0" w:line="240" w:lineRule="auto"/>
      </w:pPr>
    </w:p>
    <w:p w14:paraId="0CA2E26E" w14:textId="77777777" w:rsidR="009F2D08" w:rsidRDefault="009F2D08" w:rsidP="009F2D08">
      <w:pPr>
        <w:spacing w:after="0" w:line="240" w:lineRule="auto"/>
      </w:pPr>
    </w:p>
    <w:p w14:paraId="17B0B9DC" w14:textId="77777777" w:rsidR="009F2D08" w:rsidRDefault="009F2D08" w:rsidP="009F2D08">
      <w:pPr>
        <w:spacing w:after="0" w:line="240" w:lineRule="auto"/>
      </w:pPr>
    </w:p>
    <w:p w14:paraId="05D8ECB7" w14:textId="77777777" w:rsidR="009F2D08" w:rsidRDefault="009F2D08" w:rsidP="009F2D08">
      <w:pPr>
        <w:spacing w:after="0" w:line="240" w:lineRule="auto"/>
      </w:pPr>
    </w:p>
    <w:p w14:paraId="3FA6EF45" w14:textId="77777777" w:rsidR="009F2D08" w:rsidRDefault="009F2D08" w:rsidP="009F2D08">
      <w:pPr>
        <w:spacing w:after="0" w:line="240" w:lineRule="auto"/>
      </w:pPr>
    </w:p>
    <w:p w14:paraId="6D4C2C6F" w14:textId="77777777" w:rsidR="009F2D08" w:rsidRDefault="009F2D08" w:rsidP="009F2D08">
      <w:pPr>
        <w:spacing w:after="0" w:line="240" w:lineRule="auto"/>
      </w:pPr>
    </w:p>
    <w:p w14:paraId="17480AED" w14:textId="29FFA4DC" w:rsidR="009F2D08" w:rsidRDefault="009F2D08" w:rsidP="009F2D08"/>
    <w:p w14:paraId="071315B5" w14:textId="77777777" w:rsidR="00D84193" w:rsidRDefault="00D84193" w:rsidP="00D84193">
      <w:pPr>
        <w:spacing w:after="0" w:line="240" w:lineRule="auto"/>
        <w:jc w:val="both"/>
      </w:pPr>
    </w:p>
    <w:p w14:paraId="41D7DEE5" w14:textId="34E864D0" w:rsidR="009F2D08" w:rsidRDefault="00607183" w:rsidP="005B2EF1">
      <w:pPr>
        <w:jc w:val="both"/>
      </w:pPr>
      <w:r>
        <w:br w:type="page"/>
      </w:r>
      <w:r w:rsidR="00D84193">
        <w:lastRenderedPageBreak/>
        <w:t>I</w:t>
      </w:r>
      <w:r w:rsidR="0066214D">
        <w:t>l convient d’</w:t>
      </w:r>
      <w:r w:rsidR="009F2D08">
        <w:t xml:space="preserve">utiliser </w:t>
      </w:r>
      <w:r w:rsidR="0066214D">
        <w:t>l’application Adobe Acrobat pour apposer toute signature</w:t>
      </w:r>
      <w:r w:rsidR="00D84193">
        <w:t xml:space="preserve"> ou paraphe. La fonctionnalité suivante vous permettra d’éviter toute signature manuscrite nécessitant un scan des documents :</w:t>
      </w:r>
    </w:p>
    <w:p w14:paraId="118EC4E5" w14:textId="5B8B4F7F" w:rsidR="009F2D08" w:rsidRDefault="009F2D08" w:rsidP="009F2D08">
      <w:pPr>
        <w:pStyle w:val="Paragraphedeliste"/>
        <w:ind w:left="1440"/>
      </w:pPr>
    </w:p>
    <w:p w14:paraId="4C3E68D4" w14:textId="381A25E6" w:rsidR="00D84193" w:rsidRPr="00607183" w:rsidRDefault="00D84193" w:rsidP="00607183">
      <w:pPr>
        <w:pStyle w:val="Paragraphedeliste"/>
        <w:ind w:left="1440"/>
      </w:pP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33730C79" wp14:editId="4DE57503">
            <wp:simplePos x="0" y="0"/>
            <wp:positionH relativeFrom="column">
              <wp:posOffset>153594</wp:posOffset>
            </wp:positionH>
            <wp:positionV relativeFrom="paragraph">
              <wp:posOffset>38100</wp:posOffset>
            </wp:positionV>
            <wp:extent cx="5022176" cy="1908176"/>
            <wp:effectExtent l="0" t="0" r="762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176" cy="19081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86AC57" w14:textId="601ABAE7" w:rsidR="00D84193" w:rsidRDefault="00612CF9" w:rsidP="002B2C6F">
      <w:pPr>
        <w:pStyle w:val="Paragraphedeliste"/>
        <w:numPr>
          <w:ilvl w:val="0"/>
          <w:numId w:val="9"/>
        </w:numPr>
        <w:spacing w:after="0" w:line="240" w:lineRule="auto"/>
        <w:rPr>
          <w:b/>
          <w:i/>
        </w:rPr>
      </w:pPr>
      <w:r>
        <w:rPr>
          <w:b/>
          <w:i/>
        </w:rPr>
        <w:t>La rédaction</w:t>
      </w:r>
      <w:r w:rsidR="00D84193">
        <w:rPr>
          <w:b/>
          <w:i/>
        </w:rPr>
        <w:t xml:space="preserve"> du document doit se faire en français uniquement</w:t>
      </w:r>
      <w:r>
        <w:rPr>
          <w:b/>
          <w:i/>
        </w:rPr>
        <w:t>.</w:t>
      </w:r>
    </w:p>
    <w:p w14:paraId="7C811BA9" w14:textId="2B342094" w:rsidR="00755624" w:rsidRDefault="00755624" w:rsidP="00755624">
      <w:pPr>
        <w:spacing w:after="0" w:line="240" w:lineRule="auto"/>
        <w:rPr>
          <w:b/>
          <w:i/>
        </w:rPr>
      </w:pPr>
    </w:p>
    <w:p w14:paraId="09D290C1" w14:textId="527051C2" w:rsidR="00755624" w:rsidRPr="00755624" w:rsidRDefault="00BB4CCF" w:rsidP="00755624">
      <w:pPr>
        <w:spacing w:after="0" w:line="240" w:lineRule="auto"/>
        <w:jc w:val="both"/>
      </w:pPr>
      <w:r>
        <w:t>Il convient d’</w:t>
      </w:r>
      <w:r w:rsidR="00755624" w:rsidRPr="00755624">
        <w:t>utiliser l</w:t>
      </w:r>
      <w:r w:rsidR="001769A5">
        <w:t>a maquette du</w:t>
      </w:r>
      <w:r w:rsidR="00755624" w:rsidRPr="00755624">
        <w:t xml:space="preserve"> document</w:t>
      </w:r>
      <w:r w:rsidR="001769A5">
        <w:t xml:space="preserve"> </w:t>
      </w:r>
      <w:r w:rsidR="00F76440">
        <w:t>d’AUP</w:t>
      </w:r>
      <w:r w:rsidR="001769A5">
        <w:t xml:space="preserve"> dénommé « </w:t>
      </w:r>
      <w:r w:rsidR="000D6BFA" w:rsidRPr="000D6BFA">
        <w:rPr>
          <w:i/>
        </w:rPr>
        <w:t>Additional Assurance requirements 2025_FR</w:t>
      </w:r>
      <w:r w:rsidR="001769A5">
        <w:t> » sous le format Word et</w:t>
      </w:r>
      <w:r w:rsidR="00755624" w:rsidRPr="00755624">
        <w:t xml:space="preserve"> publié en langue française</w:t>
      </w:r>
      <w:r>
        <w:t xml:space="preserve"> </w:t>
      </w:r>
      <w:r w:rsidR="001769A5">
        <w:t>puis</w:t>
      </w:r>
      <w:r>
        <w:t xml:space="preserve"> de </w:t>
      </w:r>
      <w:r w:rsidRPr="00607183">
        <w:t>l</w:t>
      </w:r>
      <w:r w:rsidR="00DE1EEB" w:rsidRPr="00607183">
        <w:t>a</w:t>
      </w:r>
      <w:r>
        <w:t xml:space="preserve"> compléter en français</w:t>
      </w:r>
      <w:r w:rsidR="00755624" w:rsidRPr="00755624">
        <w:t>.</w:t>
      </w:r>
    </w:p>
    <w:p w14:paraId="667554A5" w14:textId="77777777" w:rsidR="00D84193" w:rsidRPr="00D84193" w:rsidRDefault="00D84193" w:rsidP="00D84193">
      <w:pPr>
        <w:spacing w:after="0" w:line="240" w:lineRule="auto"/>
        <w:rPr>
          <w:b/>
          <w:i/>
        </w:rPr>
      </w:pPr>
    </w:p>
    <w:p w14:paraId="293D5D85" w14:textId="7C70C0C2" w:rsidR="009F2D08" w:rsidRDefault="00612CF9" w:rsidP="00612CF9">
      <w:pPr>
        <w:pStyle w:val="Paragraphedeliste"/>
        <w:numPr>
          <w:ilvl w:val="0"/>
          <w:numId w:val="9"/>
        </w:numPr>
        <w:spacing w:after="0" w:line="240" w:lineRule="auto"/>
        <w:rPr>
          <w:b/>
          <w:i/>
        </w:rPr>
      </w:pPr>
      <w:r>
        <w:rPr>
          <w:b/>
          <w:i/>
        </w:rPr>
        <w:t>L</w:t>
      </w:r>
      <w:r w:rsidR="00BB4CCF">
        <w:rPr>
          <w:b/>
          <w:i/>
        </w:rPr>
        <w:t xml:space="preserve">e remplissage </w:t>
      </w:r>
      <w:r>
        <w:rPr>
          <w:b/>
          <w:i/>
        </w:rPr>
        <w:t>du document doit se faire à l’aide de polices génériques.</w:t>
      </w:r>
    </w:p>
    <w:p w14:paraId="2C60BACB" w14:textId="755CCCAD" w:rsidR="00612CF9" w:rsidRPr="00612CF9" w:rsidRDefault="00612CF9" w:rsidP="00612CF9">
      <w:pPr>
        <w:spacing w:after="0" w:line="240" w:lineRule="auto"/>
        <w:rPr>
          <w:b/>
          <w:i/>
        </w:rPr>
      </w:pPr>
    </w:p>
    <w:p w14:paraId="32398F36" w14:textId="39FD6348" w:rsidR="009F2D08" w:rsidRDefault="00612CF9" w:rsidP="00612CF9">
      <w:pPr>
        <w:spacing w:after="0" w:line="240" w:lineRule="auto"/>
        <w:jc w:val="both"/>
      </w:pPr>
      <w:r>
        <w:t xml:space="preserve">Il convient d’utiliser pour l’ensemble du document uniquement </w:t>
      </w:r>
      <w:r w:rsidR="009F2D08">
        <w:t>de</w:t>
      </w:r>
      <w:r>
        <w:t>s</w:t>
      </w:r>
      <w:r w:rsidR="009F2D08">
        <w:t xml:space="preserve"> polices </w:t>
      </w:r>
      <w:r w:rsidR="007E4882">
        <w:t>à</w:t>
      </w:r>
      <w:r w:rsidR="009F2D08">
        <w:t xml:space="preserve"> caractères génériques </w:t>
      </w:r>
      <w:r>
        <w:t xml:space="preserve">comme </w:t>
      </w:r>
      <w:r w:rsidR="009F2D08" w:rsidRPr="00607183">
        <w:rPr>
          <w:i/>
        </w:rPr>
        <w:t>A</w:t>
      </w:r>
      <w:r w:rsidRPr="00607183">
        <w:rPr>
          <w:i/>
        </w:rPr>
        <w:t>rial</w:t>
      </w:r>
      <w:r>
        <w:t xml:space="preserve">, </w:t>
      </w:r>
      <w:r w:rsidRPr="00607183">
        <w:rPr>
          <w:i/>
        </w:rPr>
        <w:t>TimesNewRoman</w:t>
      </w:r>
      <w:r>
        <w:t xml:space="preserve">, </w:t>
      </w:r>
      <w:r w:rsidRPr="00607183">
        <w:rPr>
          <w:i/>
        </w:rPr>
        <w:t>Calibri</w:t>
      </w:r>
      <w:r>
        <w:t>, etc</w:t>
      </w:r>
      <w:r w:rsidR="009F2D08">
        <w:t xml:space="preserve">. </w:t>
      </w:r>
      <w:r>
        <w:t xml:space="preserve">Toute utilisation de police personnalisée propre à certains établissements ou cabinets d’audit est </w:t>
      </w:r>
      <w:r w:rsidR="00404AD3">
        <w:t xml:space="preserve">à </w:t>
      </w:r>
      <w:r>
        <w:t>proscri</w:t>
      </w:r>
      <w:r w:rsidR="00404AD3">
        <w:t>re</w:t>
      </w:r>
      <w:r>
        <w:t xml:space="preserve"> pour l’élaboration des documents d’assurance </w:t>
      </w:r>
      <w:r w:rsidR="00F76440">
        <w:t>additionnelle</w:t>
      </w:r>
      <w:r>
        <w:t>.</w:t>
      </w:r>
      <w:r w:rsidR="009F2D08">
        <w:t xml:space="preserve"> </w:t>
      </w:r>
    </w:p>
    <w:p w14:paraId="3C0FAD9C" w14:textId="77777777" w:rsidR="00612CF9" w:rsidRDefault="00612CF9" w:rsidP="009F2D08">
      <w:pPr>
        <w:spacing w:after="0" w:line="240" w:lineRule="auto"/>
      </w:pPr>
    </w:p>
    <w:p w14:paraId="375D288B" w14:textId="7319044A" w:rsidR="009F2D08" w:rsidRPr="00612CF9" w:rsidRDefault="00612CF9" w:rsidP="00612CF9">
      <w:pPr>
        <w:pStyle w:val="Paragraphedeliste"/>
        <w:numPr>
          <w:ilvl w:val="0"/>
          <w:numId w:val="9"/>
        </w:numPr>
        <w:spacing w:after="0" w:line="240" w:lineRule="auto"/>
        <w:rPr>
          <w:b/>
          <w:i/>
        </w:rPr>
      </w:pPr>
      <w:r w:rsidRPr="00612CF9">
        <w:rPr>
          <w:b/>
          <w:i/>
        </w:rPr>
        <w:t>Uniformisation des coches utilisées pour</w:t>
      </w:r>
      <w:r w:rsidR="009F2D08" w:rsidRPr="00612CF9">
        <w:rPr>
          <w:b/>
          <w:i/>
        </w:rPr>
        <w:t xml:space="preserve"> </w:t>
      </w:r>
      <w:r w:rsidRPr="00612CF9">
        <w:rPr>
          <w:b/>
          <w:i/>
        </w:rPr>
        <w:t>la colonne Oui/Non/Sans objet :</w:t>
      </w:r>
    </w:p>
    <w:p w14:paraId="0290A123" w14:textId="77777777" w:rsidR="00612CF9" w:rsidRDefault="00612CF9" w:rsidP="00612CF9">
      <w:pPr>
        <w:spacing w:after="0" w:line="240" w:lineRule="auto"/>
      </w:pPr>
    </w:p>
    <w:p w14:paraId="04A4EDE4" w14:textId="6884B525" w:rsidR="00CB4627" w:rsidRDefault="00CB4627" w:rsidP="007E4882">
      <w:pPr>
        <w:spacing w:after="0" w:line="240" w:lineRule="auto"/>
        <w:jc w:val="both"/>
      </w:pPr>
      <w:r w:rsidRPr="00CB4627"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253862BC" wp14:editId="7057E532">
            <wp:simplePos x="0" y="0"/>
            <wp:positionH relativeFrom="column">
              <wp:posOffset>2024380</wp:posOffset>
            </wp:positionH>
            <wp:positionV relativeFrom="paragraph">
              <wp:posOffset>434340</wp:posOffset>
            </wp:positionV>
            <wp:extent cx="781050" cy="1586865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586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2CF9">
        <w:t>Il convient d’utiliser la lettre « x » minuscule pour la coche de</w:t>
      </w:r>
      <w:r w:rsidR="009F2D08">
        <w:t xml:space="preserve"> la case sélectionnée</w:t>
      </w:r>
      <w:r w:rsidR="00612CF9">
        <w:t xml:space="preserve"> </w:t>
      </w:r>
      <w:r>
        <w:t>« </w:t>
      </w:r>
      <w:r w:rsidRPr="00607183">
        <w:rPr>
          <w:i/>
        </w:rPr>
        <w:t>Oui</w:t>
      </w:r>
      <w:r>
        <w:t> », « </w:t>
      </w:r>
      <w:r w:rsidRPr="00607183">
        <w:rPr>
          <w:i/>
        </w:rPr>
        <w:t>Non</w:t>
      </w:r>
      <w:r>
        <w:t> », ou « </w:t>
      </w:r>
      <w:r w:rsidR="00612CF9" w:rsidRPr="00607183">
        <w:rPr>
          <w:i/>
        </w:rPr>
        <w:t>Sans objet</w:t>
      </w:r>
      <w:r>
        <w:t> ».</w:t>
      </w:r>
    </w:p>
    <w:p w14:paraId="4E134B42" w14:textId="77777777" w:rsidR="003309D9" w:rsidRDefault="003309D9" w:rsidP="003309D9">
      <w:pPr>
        <w:spacing w:after="0" w:line="240" w:lineRule="auto"/>
      </w:pPr>
    </w:p>
    <w:p w14:paraId="77E64D1C" w14:textId="69117A3B" w:rsidR="003309D9" w:rsidRDefault="003309D9" w:rsidP="00755624">
      <w:pPr>
        <w:spacing w:after="0" w:line="240" w:lineRule="auto"/>
        <w:jc w:val="both"/>
      </w:pPr>
      <w:r>
        <w:t xml:space="preserve">La sélection de la case « </w:t>
      </w:r>
      <w:r w:rsidRPr="00755624">
        <w:rPr>
          <w:i/>
        </w:rPr>
        <w:t>Oui</w:t>
      </w:r>
      <w:r>
        <w:t xml:space="preserve"> » signifie</w:t>
      </w:r>
      <w:r w:rsidR="00755624">
        <w:t xml:space="preserve"> qu’un écart a été détecté par les auditeurs après avoir suivi la procédure de rapprochement décrite à la ligne correspondante de la colonne « </w:t>
      </w:r>
      <w:r w:rsidR="00755624" w:rsidRPr="00755624">
        <w:rPr>
          <w:i/>
        </w:rPr>
        <w:t>Procédure</w:t>
      </w:r>
      <w:r w:rsidR="00755624">
        <w:t> ». T</w:t>
      </w:r>
      <w:del w:id="4" w:author="FLORES Dimitri (SGACPR DR)" w:date="2024-10-10T09:46:00Z">
        <w:r w:rsidR="00755624" w:rsidDel="00FA3522">
          <w:delText>oute</w:delText>
        </w:r>
        <w:r w:rsidDel="00FA3522">
          <w:delText xml:space="preserve"> </w:delText>
        </w:r>
        <w:r w:rsidR="00755624" w:rsidDel="00FA3522">
          <w:delText>t</w:delText>
        </w:r>
      </w:del>
      <w:bookmarkStart w:id="5" w:name="_GoBack"/>
      <w:bookmarkEnd w:id="5"/>
      <w:r w:rsidR="00755624">
        <w:t>out</w:t>
      </w:r>
      <w:r>
        <w:t xml:space="preserve"> écart</w:t>
      </w:r>
      <w:r w:rsidR="00755624">
        <w:t xml:space="preserve"> soulevé par les auditeurs</w:t>
      </w:r>
      <w:r>
        <w:t xml:space="preserve"> doit être </w:t>
      </w:r>
      <w:r w:rsidR="00755624">
        <w:t xml:space="preserve">retranscrit </w:t>
      </w:r>
      <w:r w:rsidR="00DE1EEB" w:rsidRPr="00607183">
        <w:t>et expliqué</w:t>
      </w:r>
      <w:r w:rsidR="00DE1EEB">
        <w:t xml:space="preserve"> </w:t>
      </w:r>
      <w:r w:rsidR="00755624">
        <w:t>dans la case</w:t>
      </w:r>
      <w:r w:rsidR="007E4882">
        <w:t xml:space="preserve"> </w:t>
      </w:r>
      <w:r w:rsidR="007E4882" w:rsidRPr="007E4882">
        <w:t>prévue à cet effet</w:t>
      </w:r>
      <w:r w:rsidR="007E4882">
        <w:t xml:space="preserve"> et</w:t>
      </w:r>
      <w:r w:rsidR="00755624">
        <w:t xml:space="preserve"> dénommée « </w:t>
      </w:r>
      <w:r w:rsidR="00755624" w:rsidRPr="00755624">
        <w:rPr>
          <w:i/>
        </w:rPr>
        <w:t>Description des constations factuelles ou/et commentaires</w:t>
      </w:r>
      <w:r w:rsidR="00755624">
        <w:t> »</w:t>
      </w:r>
      <w:r>
        <w:t>.</w:t>
      </w:r>
    </w:p>
    <w:p w14:paraId="077787EB" w14:textId="77777777" w:rsidR="00755624" w:rsidRDefault="00755624" w:rsidP="00755624">
      <w:pPr>
        <w:spacing w:after="0" w:line="240" w:lineRule="auto"/>
        <w:jc w:val="both"/>
      </w:pPr>
    </w:p>
    <w:p w14:paraId="4E00DF78" w14:textId="6BB47DED" w:rsidR="003309D9" w:rsidRDefault="003309D9" w:rsidP="00755624">
      <w:pPr>
        <w:spacing w:after="0" w:line="240" w:lineRule="auto"/>
        <w:jc w:val="both"/>
      </w:pPr>
      <w:r>
        <w:t xml:space="preserve">La sélection de la case « </w:t>
      </w:r>
      <w:r w:rsidRPr="00755624">
        <w:rPr>
          <w:i/>
        </w:rPr>
        <w:t>Non</w:t>
      </w:r>
      <w:r>
        <w:t xml:space="preserve"> » signifie </w:t>
      </w:r>
      <w:r w:rsidR="005F112D">
        <w:t xml:space="preserve">que les constatations factuelles ou observations soulevées par les auditeurs n’appellent </w:t>
      </w:r>
      <w:r w:rsidR="005C2AB3">
        <w:t>pas de corrections de données</w:t>
      </w:r>
      <w:r w:rsidR="00026776">
        <w:t xml:space="preserve">, </w:t>
      </w:r>
      <w:r w:rsidR="005C2AB3">
        <w:t xml:space="preserve">en d’autres termes </w:t>
      </w:r>
      <w:r w:rsidR="00026776">
        <w:t>qu’</w:t>
      </w:r>
      <w:r>
        <w:t xml:space="preserve">aucun écart </w:t>
      </w:r>
      <w:r w:rsidR="00755624">
        <w:t xml:space="preserve">n’a été </w:t>
      </w:r>
      <w:r w:rsidR="00755624">
        <w:lastRenderedPageBreak/>
        <w:t>détecté par les auditeurs après avoir suivi la procédure de rapprochement décrite à la ligne correspondante de la colonne « </w:t>
      </w:r>
      <w:r w:rsidR="00755624" w:rsidRPr="00755624">
        <w:rPr>
          <w:i/>
        </w:rPr>
        <w:t>Procédure</w:t>
      </w:r>
      <w:r w:rsidR="00755624">
        <w:t> »</w:t>
      </w:r>
      <w:r>
        <w:t>.</w:t>
      </w:r>
    </w:p>
    <w:p w14:paraId="5DA6B92C" w14:textId="77777777" w:rsidR="00755624" w:rsidRDefault="00755624" w:rsidP="00755624">
      <w:pPr>
        <w:spacing w:after="0" w:line="240" w:lineRule="auto"/>
        <w:jc w:val="both"/>
      </w:pPr>
    </w:p>
    <w:p w14:paraId="47674A42" w14:textId="3487ED48" w:rsidR="003309D9" w:rsidRDefault="003309D9" w:rsidP="00755624">
      <w:pPr>
        <w:spacing w:after="0" w:line="240" w:lineRule="auto"/>
        <w:jc w:val="both"/>
      </w:pPr>
      <w:r>
        <w:t xml:space="preserve">La sélection de la case « </w:t>
      </w:r>
      <w:r w:rsidRPr="00755624">
        <w:rPr>
          <w:i/>
        </w:rPr>
        <w:t>Sans objet</w:t>
      </w:r>
      <w:r>
        <w:t xml:space="preserve"> » signifie que la procédure</w:t>
      </w:r>
      <w:r w:rsidR="00755624">
        <w:t xml:space="preserve"> de rapprochement décrite à la ligne correspondante de la colonne « </w:t>
      </w:r>
      <w:r w:rsidR="00755624" w:rsidRPr="00755624">
        <w:rPr>
          <w:i/>
        </w:rPr>
        <w:t>Procédure</w:t>
      </w:r>
      <w:r w:rsidR="00755624">
        <w:t> »</w:t>
      </w:r>
      <w:r>
        <w:t xml:space="preserve"> n’est pas applicable à l’établissement.</w:t>
      </w:r>
    </w:p>
    <w:p w14:paraId="4D631AB0" w14:textId="77777777" w:rsidR="00CB4627" w:rsidRDefault="00CB4627" w:rsidP="00CB4627">
      <w:pPr>
        <w:spacing w:after="0" w:line="240" w:lineRule="auto"/>
      </w:pPr>
    </w:p>
    <w:p w14:paraId="148E41C9" w14:textId="4A019FFE" w:rsidR="003309D9" w:rsidRPr="003309D9" w:rsidRDefault="003309D9" w:rsidP="003309D9">
      <w:pPr>
        <w:pStyle w:val="Paragraphedeliste"/>
        <w:numPr>
          <w:ilvl w:val="0"/>
          <w:numId w:val="9"/>
        </w:numPr>
        <w:rPr>
          <w:b/>
          <w:i/>
        </w:rPr>
      </w:pPr>
      <w:r w:rsidRPr="00612CF9">
        <w:rPr>
          <w:b/>
          <w:i/>
        </w:rPr>
        <w:t xml:space="preserve">Uniformisation </w:t>
      </w:r>
      <w:r>
        <w:rPr>
          <w:b/>
          <w:i/>
        </w:rPr>
        <w:t xml:space="preserve">de la forme </w:t>
      </w:r>
      <w:r w:rsidRPr="00612CF9">
        <w:rPr>
          <w:b/>
          <w:i/>
        </w:rPr>
        <w:t xml:space="preserve">des </w:t>
      </w:r>
      <w:r>
        <w:rPr>
          <w:b/>
          <w:i/>
        </w:rPr>
        <w:t>saisies en cas d’erreurs</w:t>
      </w:r>
      <w:r w:rsidRPr="00612CF9">
        <w:rPr>
          <w:b/>
          <w:i/>
        </w:rPr>
        <w:t> </w:t>
      </w:r>
      <w:r>
        <w:rPr>
          <w:b/>
          <w:i/>
        </w:rPr>
        <w:t>détectées par les auditeurs :</w:t>
      </w:r>
    </w:p>
    <w:p w14:paraId="7A86AF7F" w14:textId="064FED27" w:rsidR="003309D9" w:rsidRDefault="00855609" w:rsidP="00855609">
      <w:pPr>
        <w:spacing w:after="0" w:line="240" w:lineRule="auto"/>
        <w:jc w:val="both"/>
      </w:pPr>
      <w:r>
        <w:t>E</w:t>
      </w:r>
      <w:r w:rsidR="00755624">
        <w:t xml:space="preserve">n cas d’erreurs détectées par les auditeurs, </w:t>
      </w:r>
      <w:r w:rsidR="004E7842">
        <w:t>la case « </w:t>
      </w:r>
      <w:r w:rsidR="004E7842" w:rsidRPr="00607183">
        <w:rPr>
          <w:i/>
        </w:rPr>
        <w:t>Oui</w:t>
      </w:r>
      <w:r w:rsidR="004E7842">
        <w:t xml:space="preserve"> » doit être cochée et </w:t>
      </w:r>
      <w:r w:rsidR="00755624">
        <w:t>l</w:t>
      </w:r>
      <w:r w:rsidR="003309D9">
        <w:t>es éléments saisis dans la case dénommée « </w:t>
      </w:r>
      <w:r w:rsidR="003309D9" w:rsidRPr="00607183">
        <w:rPr>
          <w:i/>
        </w:rPr>
        <w:t>Description des constations factuelles ou/et commentaires</w:t>
      </w:r>
      <w:r w:rsidR="003309D9">
        <w:t> »</w:t>
      </w:r>
      <w:r w:rsidR="00755624">
        <w:t xml:space="preserve"> doivent comprendre :</w:t>
      </w:r>
    </w:p>
    <w:p w14:paraId="63AF910B" w14:textId="709026F1" w:rsidR="009F2D08" w:rsidRDefault="00C23F5A" w:rsidP="005B2EF1">
      <w:pPr>
        <w:pStyle w:val="Paragraphedeliste"/>
        <w:numPr>
          <w:ilvl w:val="1"/>
          <w:numId w:val="7"/>
        </w:numPr>
        <w:spacing w:after="0" w:line="240" w:lineRule="auto"/>
        <w:contextualSpacing w:val="0"/>
        <w:jc w:val="both"/>
      </w:pPr>
      <w:r>
        <w:t>Le champ concerné par l’erreur ;</w:t>
      </w:r>
    </w:p>
    <w:p w14:paraId="0EBC38AA" w14:textId="6D5FFEB9" w:rsidR="00C23F5A" w:rsidRDefault="00C23F5A" w:rsidP="005B2EF1">
      <w:pPr>
        <w:pStyle w:val="Paragraphedeliste"/>
        <w:numPr>
          <w:ilvl w:val="1"/>
          <w:numId w:val="7"/>
        </w:numPr>
        <w:spacing w:after="0" w:line="240" w:lineRule="auto"/>
        <w:contextualSpacing w:val="0"/>
        <w:jc w:val="both"/>
      </w:pPr>
      <w:r>
        <w:t>Le montant erroné/à corriger en euros ;</w:t>
      </w:r>
    </w:p>
    <w:p w14:paraId="615C4BEE" w14:textId="6788BE11" w:rsidR="009F2D08" w:rsidRDefault="00C23F5A" w:rsidP="005B2EF1">
      <w:pPr>
        <w:pStyle w:val="Paragraphedeliste"/>
        <w:numPr>
          <w:ilvl w:val="1"/>
          <w:numId w:val="7"/>
        </w:numPr>
        <w:spacing w:after="0" w:line="240" w:lineRule="auto"/>
        <w:contextualSpacing w:val="0"/>
        <w:jc w:val="both"/>
      </w:pPr>
      <w:r>
        <w:t>L</w:t>
      </w:r>
      <w:r w:rsidR="009F2D08">
        <w:t xml:space="preserve">e montant </w:t>
      </w:r>
      <w:r w:rsidR="00404AD3" w:rsidRPr="00404AD3">
        <w:t xml:space="preserve">en euros </w:t>
      </w:r>
      <w:r>
        <w:t>que l’établissement aurait dû saisir initialement</w:t>
      </w:r>
      <w:r w:rsidR="00855609">
        <w:t xml:space="preserve"> (montant corrigé)</w:t>
      </w:r>
      <w:r>
        <w:t> ;</w:t>
      </w:r>
    </w:p>
    <w:p w14:paraId="2CD9C9BF" w14:textId="6005E7BE" w:rsidR="009F2D08" w:rsidRDefault="00C23F5A" w:rsidP="005B2EF1">
      <w:pPr>
        <w:pStyle w:val="Paragraphedeliste"/>
        <w:numPr>
          <w:ilvl w:val="1"/>
          <w:numId w:val="7"/>
        </w:numPr>
        <w:spacing w:after="0" w:line="240" w:lineRule="auto"/>
        <w:contextualSpacing w:val="0"/>
        <w:jc w:val="both"/>
      </w:pPr>
      <w:r>
        <w:t>L</w:t>
      </w:r>
      <w:r w:rsidR="00404AD3">
        <w:t>a raison expliquant</w:t>
      </w:r>
      <w:r>
        <w:t xml:space="preserve"> l’erreur détectée.</w:t>
      </w:r>
    </w:p>
    <w:p w14:paraId="79E30501" w14:textId="794BCAB8" w:rsidR="004E7842" w:rsidRDefault="009F2D08" w:rsidP="005B2EF1">
      <w:pPr>
        <w:jc w:val="both"/>
      </w:pPr>
      <w:r>
        <w:t xml:space="preserve"> </w:t>
      </w:r>
    </w:p>
    <w:sectPr w:rsidR="004E7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92AF7" w14:textId="77777777" w:rsidR="00D17C55" w:rsidRDefault="00D17C55" w:rsidP="00D97D40">
      <w:pPr>
        <w:spacing w:after="0" w:line="240" w:lineRule="auto"/>
      </w:pPr>
      <w:r>
        <w:separator/>
      </w:r>
    </w:p>
  </w:endnote>
  <w:endnote w:type="continuationSeparator" w:id="0">
    <w:p w14:paraId="5B236698" w14:textId="77777777" w:rsidR="00D17C55" w:rsidRDefault="00D17C55" w:rsidP="00D97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9ECE9" w14:textId="77777777" w:rsidR="00D17C55" w:rsidRDefault="00D17C55" w:rsidP="00D97D40">
      <w:pPr>
        <w:spacing w:after="0" w:line="240" w:lineRule="auto"/>
      </w:pPr>
      <w:r>
        <w:separator/>
      </w:r>
    </w:p>
  </w:footnote>
  <w:footnote w:type="continuationSeparator" w:id="0">
    <w:p w14:paraId="3659B2E0" w14:textId="77777777" w:rsidR="00D17C55" w:rsidRDefault="00D17C55" w:rsidP="00D97D40">
      <w:pPr>
        <w:spacing w:after="0" w:line="240" w:lineRule="auto"/>
      </w:pPr>
      <w:r>
        <w:continuationSeparator/>
      </w:r>
    </w:p>
  </w:footnote>
  <w:footnote w:id="1">
    <w:p w14:paraId="0672350A" w14:textId="45BEE428" w:rsidR="000D5811" w:rsidRDefault="000D5811">
      <w:pPr>
        <w:pStyle w:val="Notedebasdepage"/>
      </w:pPr>
      <w:r>
        <w:rPr>
          <w:rStyle w:val="Appelnotedebasdep"/>
        </w:rPr>
        <w:footnoteRef/>
      </w:r>
      <w:r w:rsidR="00EC230E">
        <w:t xml:space="preserve"> Les </w:t>
      </w:r>
      <w:r>
        <w:t>déduction</w:t>
      </w:r>
      <w:r w:rsidR="00EC230E">
        <w:t>s liées au</w:t>
      </w:r>
      <w:r>
        <w:t xml:space="preserve"> Système de protection institutionnel ne trouve</w:t>
      </w:r>
      <w:r w:rsidR="00EC230E">
        <w:t>nt</w:t>
      </w:r>
      <w:r>
        <w:t xml:space="preserve"> pas à s’appliquer en France.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F75D3"/>
    <w:multiLevelType w:val="hybridMultilevel"/>
    <w:tmpl w:val="0E7023E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30B0B"/>
    <w:multiLevelType w:val="hybridMultilevel"/>
    <w:tmpl w:val="EBB4F186"/>
    <w:lvl w:ilvl="0" w:tplc="C568C7A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00022"/>
    <w:multiLevelType w:val="hybridMultilevel"/>
    <w:tmpl w:val="19065C9C"/>
    <w:lvl w:ilvl="0" w:tplc="BBCE708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15C5A"/>
    <w:multiLevelType w:val="hybridMultilevel"/>
    <w:tmpl w:val="396AF02A"/>
    <w:lvl w:ilvl="0" w:tplc="DE0ADCB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D1D58"/>
    <w:multiLevelType w:val="hybridMultilevel"/>
    <w:tmpl w:val="FA6A78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65C3F"/>
    <w:multiLevelType w:val="hybridMultilevel"/>
    <w:tmpl w:val="582619D8"/>
    <w:lvl w:ilvl="0" w:tplc="C63457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C3E66"/>
    <w:multiLevelType w:val="hybridMultilevel"/>
    <w:tmpl w:val="7F14BBDE"/>
    <w:lvl w:ilvl="0" w:tplc="3D16F3F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F3CC1"/>
    <w:multiLevelType w:val="hybridMultilevel"/>
    <w:tmpl w:val="03A42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F4A0E"/>
    <w:multiLevelType w:val="hybridMultilevel"/>
    <w:tmpl w:val="0E7023E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A6570E"/>
    <w:multiLevelType w:val="hybridMultilevel"/>
    <w:tmpl w:val="173E2B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D86284"/>
    <w:multiLevelType w:val="hybridMultilevel"/>
    <w:tmpl w:val="695C5926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9"/>
  </w:num>
  <w:num w:numId="5">
    <w:abstractNumId w:val="7"/>
  </w:num>
  <w:num w:numId="6">
    <w:abstractNumId w:val="8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</w:num>
  <w:num w:numId="9">
    <w:abstractNumId w:val="10"/>
  </w:num>
  <w:num w:numId="10">
    <w:abstractNumId w:val="2"/>
  </w:num>
  <w:num w:numId="1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LORES Dimitri (SGACPR DR)">
    <w15:presenceInfo w15:providerId="AD" w15:userId="S-1-5-21-2813002294-2535755234-2662097098-1661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ctiveWritingStyle w:appName="MSWord" w:lang="fr-FR" w:vendorID="64" w:dllVersion="131078" w:nlCheck="1" w:checkStyle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629"/>
    <w:rsid w:val="00003880"/>
    <w:rsid w:val="00026776"/>
    <w:rsid w:val="00027629"/>
    <w:rsid w:val="0005754C"/>
    <w:rsid w:val="00067455"/>
    <w:rsid w:val="00077EC6"/>
    <w:rsid w:val="000A0856"/>
    <w:rsid w:val="000A09E5"/>
    <w:rsid w:val="000D3D5C"/>
    <w:rsid w:val="000D5626"/>
    <w:rsid w:val="000D5811"/>
    <w:rsid w:val="000D6BFA"/>
    <w:rsid w:val="00124DE9"/>
    <w:rsid w:val="00131BB8"/>
    <w:rsid w:val="00135593"/>
    <w:rsid w:val="00146EFF"/>
    <w:rsid w:val="00147E45"/>
    <w:rsid w:val="00160E83"/>
    <w:rsid w:val="00175C75"/>
    <w:rsid w:val="001769A5"/>
    <w:rsid w:val="0018711B"/>
    <w:rsid w:val="00195CA9"/>
    <w:rsid w:val="001C7197"/>
    <w:rsid w:val="001D1721"/>
    <w:rsid w:val="00210F2F"/>
    <w:rsid w:val="0022513F"/>
    <w:rsid w:val="00225269"/>
    <w:rsid w:val="002A67DC"/>
    <w:rsid w:val="002C22CD"/>
    <w:rsid w:val="002C5BE3"/>
    <w:rsid w:val="00301D68"/>
    <w:rsid w:val="00307079"/>
    <w:rsid w:val="00311129"/>
    <w:rsid w:val="00326E32"/>
    <w:rsid w:val="003309D9"/>
    <w:rsid w:val="00330C83"/>
    <w:rsid w:val="00341B4A"/>
    <w:rsid w:val="00351D0B"/>
    <w:rsid w:val="00361070"/>
    <w:rsid w:val="00362264"/>
    <w:rsid w:val="0039050A"/>
    <w:rsid w:val="00404AD3"/>
    <w:rsid w:val="00410B7D"/>
    <w:rsid w:val="00412FA6"/>
    <w:rsid w:val="00420978"/>
    <w:rsid w:val="00457B3D"/>
    <w:rsid w:val="00467EC0"/>
    <w:rsid w:val="00487529"/>
    <w:rsid w:val="004A5412"/>
    <w:rsid w:val="004C35D3"/>
    <w:rsid w:val="004E7842"/>
    <w:rsid w:val="00500F7B"/>
    <w:rsid w:val="00521289"/>
    <w:rsid w:val="00543EC6"/>
    <w:rsid w:val="0055450C"/>
    <w:rsid w:val="00566E57"/>
    <w:rsid w:val="00571D57"/>
    <w:rsid w:val="00573518"/>
    <w:rsid w:val="005A4A6D"/>
    <w:rsid w:val="005B0A6E"/>
    <w:rsid w:val="005B2EF1"/>
    <w:rsid w:val="005B3A45"/>
    <w:rsid w:val="005C2AB3"/>
    <w:rsid w:val="005F112D"/>
    <w:rsid w:val="00603EF7"/>
    <w:rsid w:val="00604507"/>
    <w:rsid w:val="00607183"/>
    <w:rsid w:val="0061265A"/>
    <w:rsid w:val="00612CF9"/>
    <w:rsid w:val="00650B82"/>
    <w:rsid w:val="00652C2C"/>
    <w:rsid w:val="0066214D"/>
    <w:rsid w:val="0066353B"/>
    <w:rsid w:val="00687456"/>
    <w:rsid w:val="006B059D"/>
    <w:rsid w:val="006B588E"/>
    <w:rsid w:val="006C32BC"/>
    <w:rsid w:val="006C74F8"/>
    <w:rsid w:val="006D2170"/>
    <w:rsid w:val="006E4B86"/>
    <w:rsid w:val="00715947"/>
    <w:rsid w:val="0071762C"/>
    <w:rsid w:val="00720DF9"/>
    <w:rsid w:val="0074746E"/>
    <w:rsid w:val="00755624"/>
    <w:rsid w:val="00780A31"/>
    <w:rsid w:val="0078651A"/>
    <w:rsid w:val="007966A4"/>
    <w:rsid w:val="007A6C78"/>
    <w:rsid w:val="007C4E93"/>
    <w:rsid w:val="007C5D2E"/>
    <w:rsid w:val="007E4882"/>
    <w:rsid w:val="00805AB3"/>
    <w:rsid w:val="00817818"/>
    <w:rsid w:val="00822849"/>
    <w:rsid w:val="00855609"/>
    <w:rsid w:val="008602A6"/>
    <w:rsid w:val="0086495C"/>
    <w:rsid w:val="008B4D29"/>
    <w:rsid w:val="008C5FC7"/>
    <w:rsid w:val="008E4919"/>
    <w:rsid w:val="00937C21"/>
    <w:rsid w:val="00980304"/>
    <w:rsid w:val="009F0115"/>
    <w:rsid w:val="009F106E"/>
    <w:rsid w:val="009F2D08"/>
    <w:rsid w:val="009F4DAB"/>
    <w:rsid w:val="009F5DAD"/>
    <w:rsid w:val="00A173DE"/>
    <w:rsid w:val="00A42BA6"/>
    <w:rsid w:val="00A45F34"/>
    <w:rsid w:val="00AD30B6"/>
    <w:rsid w:val="00B254AF"/>
    <w:rsid w:val="00B46049"/>
    <w:rsid w:val="00B97A38"/>
    <w:rsid w:val="00BA1A8B"/>
    <w:rsid w:val="00BB4CCF"/>
    <w:rsid w:val="00BC4B83"/>
    <w:rsid w:val="00BD1528"/>
    <w:rsid w:val="00BD254B"/>
    <w:rsid w:val="00BE2104"/>
    <w:rsid w:val="00BF3C48"/>
    <w:rsid w:val="00BF67C2"/>
    <w:rsid w:val="00C16690"/>
    <w:rsid w:val="00C23F5A"/>
    <w:rsid w:val="00C74586"/>
    <w:rsid w:val="00C8165B"/>
    <w:rsid w:val="00C82B28"/>
    <w:rsid w:val="00CB0885"/>
    <w:rsid w:val="00CB4627"/>
    <w:rsid w:val="00CE0B3F"/>
    <w:rsid w:val="00CE2D01"/>
    <w:rsid w:val="00CF3E80"/>
    <w:rsid w:val="00CF46B8"/>
    <w:rsid w:val="00D03A99"/>
    <w:rsid w:val="00D17C55"/>
    <w:rsid w:val="00D232CB"/>
    <w:rsid w:val="00D25D87"/>
    <w:rsid w:val="00D41069"/>
    <w:rsid w:val="00D44829"/>
    <w:rsid w:val="00D56C80"/>
    <w:rsid w:val="00D75791"/>
    <w:rsid w:val="00D84193"/>
    <w:rsid w:val="00D97D40"/>
    <w:rsid w:val="00DC0A7C"/>
    <w:rsid w:val="00DE1EEB"/>
    <w:rsid w:val="00E04FAC"/>
    <w:rsid w:val="00E6622C"/>
    <w:rsid w:val="00E714F6"/>
    <w:rsid w:val="00E846F0"/>
    <w:rsid w:val="00EC230E"/>
    <w:rsid w:val="00EC3A14"/>
    <w:rsid w:val="00EC3B60"/>
    <w:rsid w:val="00EC49B6"/>
    <w:rsid w:val="00EE3F0E"/>
    <w:rsid w:val="00EE7040"/>
    <w:rsid w:val="00F16BF2"/>
    <w:rsid w:val="00F204ED"/>
    <w:rsid w:val="00F244C4"/>
    <w:rsid w:val="00F305D0"/>
    <w:rsid w:val="00F3307E"/>
    <w:rsid w:val="00F3533F"/>
    <w:rsid w:val="00F412EC"/>
    <w:rsid w:val="00F51231"/>
    <w:rsid w:val="00F76440"/>
    <w:rsid w:val="00FA3522"/>
    <w:rsid w:val="00FF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579EA"/>
  <w15:docId w15:val="{11D42478-614B-474E-949F-711BA920D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76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4DA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0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0978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8228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2284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2284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228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22849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D97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7D40"/>
  </w:style>
  <w:style w:type="paragraph" w:styleId="Pieddepage">
    <w:name w:val="footer"/>
    <w:basedOn w:val="Normal"/>
    <w:link w:val="PieddepageCar"/>
    <w:uiPriority w:val="99"/>
    <w:unhideWhenUsed/>
    <w:rsid w:val="00D97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7D40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D581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D581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D58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707contributionsut@acpr.banque-france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2707contributionsut@acpr.banque-france.fr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5B23E-E2CA-49AC-A15F-496D53474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1437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Jean-Baptiste Feller</dc:creator>
  <cp:lastModifiedBy>FLORES Dimitri (SGACPR DR)</cp:lastModifiedBy>
  <cp:revision>19</cp:revision>
  <dcterms:created xsi:type="dcterms:W3CDTF">2024-10-04T12:55:00Z</dcterms:created>
  <dcterms:modified xsi:type="dcterms:W3CDTF">2024-10-10T07:46:00Z</dcterms:modified>
</cp:coreProperties>
</file>