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DB" w:rsidRDefault="00B022DB" w:rsidP="00570B0E">
      <w:pPr>
        <w:spacing w:after="0"/>
        <w:jc w:val="both"/>
      </w:pPr>
    </w:p>
    <w:p w:rsidR="00B022DB" w:rsidRDefault="002A2E82" w:rsidP="00B022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8CCE4" w:themeFill="accent1" w:themeFillTint="66"/>
        <w:spacing w:after="26"/>
        <w:ind w:right="87"/>
        <w:jc w:val="center"/>
        <w:rPr>
          <w:rFonts w:eastAsia="Arial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Banque</w:t>
      </w:r>
      <w:r w:rsidR="00B022DB">
        <w:rPr>
          <w:rFonts w:eastAsia="Arial" w:cstheme="minorHAnsi"/>
          <w:b/>
          <w:sz w:val="32"/>
          <w:szCs w:val="32"/>
        </w:rPr>
        <w:t xml:space="preserve"> :</w:t>
      </w:r>
    </w:p>
    <w:p w:rsidR="00B022DB" w:rsidRDefault="00B022DB" w:rsidP="00B022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8CCE4" w:themeFill="accent1" w:themeFillTint="66"/>
        <w:spacing w:after="26"/>
        <w:ind w:right="87"/>
        <w:jc w:val="center"/>
        <w:rPr>
          <w:rFonts w:eastAsia="Arial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D</w:t>
      </w:r>
      <w:r w:rsidRPr="006D6267">
        <w:rPr>
          <w:rFonts w:eastAsia="Arial" w:cstheme="minorHAnsi"/>
          <w:b/>
          <w:sz w:val="32"/>
          <w:szCs w:val="32"/>
        </w:rPr>
        <w:t>émarc</w:t>
      </w:r>
      <w:r>
        <w:rPr>
          <w:rFonts w:eastAsia="Arial" w:cstheme="minorHAnsi"/>
          <w:b/>
          <w:sz w:val="32"/>
          <w:szCs w:val="32"/>
        </w:rPr>
        <w:t>hes à accomplir pour remettre le</w:t>
      </w:r>
      <w:r w:rsidRPr="006D6267">
        <w:rPr>
          <w:rFonts w:eastAsia="Arial" w:cstheme="minorHAnsi"/>
          <w:b/>
          <w:sz w:val="32"/>
          <w:szCs w:val="32"/>
        </w:rPr>
        <w:t xml:space="preserve"> reporting à l’ACPR</w:t>
      </w:r>
    </w:p>
    <w:p w:rsidR="00B022DB" w:rsidRDefault="00B022DB" w:rsidP="00B022D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8CCE4" w:themeFill="accent1" w:themeFillTint="66"/>
        <w:spacing w:after="60"/>
        <w:ind w:right="87"/>
        <w:jc w:val="center"/>
        <w:rPr>
          <w:rFonts w:cstheme="minorHAnsi"/>
        </w:rPr>
      </w:pPr>
      <w:r>
        <w:rPr>
          <w:rFonts w:cstheme="minorHAnsi"/>
        </w:rPr>
        <w:t>Version de 01/2024</w:t>
      </w:r>
    </w:p>
    <w:p w:rsidR="00B022DB" w:rsidRDefault="00B022DB" w:rsidP="00570B0E">
      <w:pPr>
        <w:spacing w:after="0"/>
        <w:jc w:val="both"/>
      </w:pPr>
    </w:p>
    <w:p w:rsidR="00B022DB" w:rsidRPr="00D51A15" w:rsidRDefault="00B022DB" w:rsidP="00570B0E">
      <w:pPr>
        <w:spacing w:after="0"/>
        <w:jc w:val="both"/>
      </w:pPr>
    </w:p>
    <w:p w:rsidR="00DF7FEB" w:rsidRDefault="00DF7FEB" w:rsidP="00570B0E">
      <w:pPr>
        <w:spacing w:after="0"/>
        <w:jc w:val="both"/>
      </w:pPr>
      <w:r w:rsidRPr="006D6267">
        <w:t>Les documents comptables et prudentiels doivent être remis par télétransmission au fo</w:t>
      </w:r>
      <w:r w:rsidR="0089403F" w:rsidRPr="006D6267">
        <w:t xml:space="preserve">rmat XBRL </w:t>
      </w:r>
      <w:r w:rsidR="00C636EB" w:rsidRPr="006D6267">
        <w:t xml:space="preserve">ou bureautique </w:t>
      </w:r>
      <w:r w:rsidR="0089403F" w:rsidRPr="006D6267">
        <w:t xml:space="preserve">sur le portail </w:t>
      </w:r>
      <w:r w:rsidR="006D6267" w:rsidRPr="006D6267">
        <w:t>OneGate</w:t>
      </w:r>
      <w:r w:rsidRPr="006D6267">
        <w:t xml:space="preserve"> de la Banque de France</w:t>
      </w:r>
      <w:r w:rsidR="0041377D" w:rsidRPr="006D6267">
        <w:t xml:space="preserve"> ; </w:t>
      </w:r>
      <w:r w:rsidR="00B22154" w:rsidRPr="006D6267">
        <w:t xml:space="preserve">les instructions ACPR précisent si </w:t>
      </w:r>
      <w:r w:rsidR="0041377D" w:rsidRPr="006D6267">
        <w:t>c</w:t>
      </w:r>
      <w:r w:rsidR="005E2772" w:rsidRPr="006D6267">
        <w:t>es documents doivent être signés</w:t>
      </w:r>
      <w:r w:rsidR="0041377D" w:rsidRPr="006D6267">
        <w:t xml:space="preserve"> électroniquement</w:t>
      </w:r>
      <w:r w:rsidR="008D086B" w:rsidRPr="006D6267">
        <w:t>.</w:t>
      </w:r>
    </w:p>
    <w:p w:rsidR="00570B0E" w:rsidRPr="006D6267" w:rsidRDefault="00570B0E" w:rsidP="00570B0E">
      <w:pPr>
        <w:spacing w:after="0"/>
        <w:jc w:val="both"/>
      </w:pPr>
    </w:p>
    <w:p w:rsidR="00983EDD" w:rsidRPr="006D6267" w:rsidRDefault="006D4A33" w:rsidP="00570B0E">
      <w:pPr>
        <w:spacing w:after="0"/>
        <w:jc w:val="both"/>
      </w:pPr>
      <w:bookmarkStart w:id="0" w:name="_GoBack"/>
      <w:r w:rsidRPr="006D6267">
        <w:t>Vous trouverez sur</w:t>
      </w:r>
      <w:r w:rsidR="002A2E82">
        <w:t xml:space="preserve"> </w:t>
      </w:r>
      <w:hyperlink r:id="rId8" w:history="1">
        <w:r w:rsidR="002A2E82">
          <w:rPr>
            <w:rStyle w:val="Lienhypertexte"/>
          </w:rPr>
          <w:t>esurfi-banque.banque-france.fr</w:t>
        </w:r>
      </w:hyperlink>
      <w:r w:rsidR="002A2E82">
        <w:t xml:space="preserve"> </w:t>
      </w:r>
      <w:r w:rsidR="00882A61" w:rsidRPr="006D6267">
        <w:t>une description de</w:t>
      </w:r>
      <w:r w:rsidR="00120E40" w:rsidRPr="006D6267">
        <w:t>s</w:t>
      </w:r>
      <w:r w:rsidR="00882A61" w:rsidRPr="006D6267">
        <w:t xml:space="preserve"> états à remettre</w:t>
      </w:r>
      <w:r w:rsidR="00570B0E">
        <w:t xml:space="preserve"> dans le</w:t>
      </w:r>
      <w:r w:rsidR="00E95C92">
        <w:t>s</w:t>
      </w:r>
      <w:r w:rsidR="00570B0E">
        <w:t xml:space="preserve"> menu</w:t>
      </w:r>
      <w:r w:rsidR="00E95C92">
        <w:t>s</w:t>
      </w:r>
      <w:r w:rsidR="00570B0E">
        <w:t xml:space="preserve"> </w:t>
      </w:r>
      <w:r w:rsidR="00570B0E" w:rsidRPr="00570B0E">
        <w:t xml:space="preserve">« </w:t>
      </w:r>
      <w:r w:rsidR="00E95C92">
        <w:t>Système de remise / Tableaux</w:t>
      </w:r>
      <w:r w:rsidR="00295C86">
        <w:t xml:space="preserve"> » du site e-Surfi Banque</w:t>
      </w:r>
      <w:r w:rsidR="00570B0E">
        <w:t xml:space="preserve"> ; </w:t>
      </w:r>
      <w:r w:rsidR="00882A61" w:rsidRPr="006D6267">
        <w:t>ainsi que les différents guides utilisateurs et guides techniques à consulter pour mettre en place la télétransmission.</w:t>
      </w:r>
    </w:p>
    <w:bookmarkEnd w:id="0"/>
    <w:p w:rsidR="00570B0E" w:rsidRDefault="00570B0E" w:rsidP="00570B0E">
      <w:pPr>
        <w:spacing w:after="0"/>
        <w:jc w:val="both"/>
      </w:pPr>
    </w:p>
    <w:p w:rsidR="00316CA1" w:rsidRDefault="00120E40" w:rsidP="00570B0E">
      <w:pPr>
        <w:spacing w:after="0"/>
        <w:jc w:val="both"/>
      </w:pPr>
      <w:r w:rsidRPr="006D6267">
        <w:t xml:space="preserve">Nous vous invitons à consulter </w:t>
      </w:r>
      <w:r w:rsidR="002D117E">
        <w:t>sur e-S</w:t>
      </w:r>
      <w:r w:rsidR="00316CA1">
        <w:t xml:space="preserve">urfi </w:t>
      </w:r>
      <w:r w:rsidR="002A2E82">
        <w:t>banque</w:t>
      </w:r>
      <w:r w:rsidR="002D117E">
        <w:t xml:space="preserve"> </w:t>
      </w:r>
      <w:r w:rsidRPr="006D6267">
        <w:t xml:space="preserve">régulièrement les sections </w:t>
      </w:r>
      <w:r w:rsidR="00316CA1">
        <w:t>suivantes :</w:t>
      </w:r>
    </w:p>
    <w:p w:rsidR="00316CA1" w:rsidRPr="00316CA1" w:rsidRDefault="00120E40" w:rsidP="00316CA1">
      <w:pPr>
        <w:pStyle w:val="Paragraphedeliste"/>
        <w:numPr>
          <w:ilvl w:val="0"/>
          <w:numId w:val="8"/>
        </w:numPr>
        <w:spacing w:after="0"/>
        <w:jc w:val="both"/>
      </w:pPr>
      <w:r w:rsidRPr="00316CA1">
        <w:t>Dernière actualités</w:t>
      </w:r>
      <w:r w:rsidR="00316CA1" w:rsidRPr="00316CA1">
        <w:t>-&gt;</w:t>
      </w:r>
      <w:r w:rsidRPr="00316CA1">
        <w:t>Toutes les actualités</w:t>
      </w:r>
    </w:p>
    <w:p w:rsidR="00316CA1" w:rsidRDefault="00E95C92" w:rsidP="00316CA1">
      <w:pPr>
        <w:pStyle w:val="Paragraphedeliste"/>
        <w:spacing w:after="0"/>
        <w:jc w:val="both"/>
        <w:rPr>
          <w:rStyle w:val="Lienhypertexte"/>
        </w:rPr>
      </w:pPr>
      <w:hyperlink r:id="rId9" w:history="1">
        <w:r w:rsidR="002A2E82">
          <w:rPr>
            <w:rStyle w:val="Lienhypertexte"/>
          </w:rPr>
          <w:t>Actualités | eSurfi Banque (banque-france.fr)</w:t>
        </w:r>
      </w:hyperlink>
    </w:p>
    <w:p w:rsidR="00316CA1" w:rsidRPr="00316CA1" w:rsidRDefault="00316CA1" w:rsidP="00316CA1">
      <w:pPr>
        <w:pStyle w:val="Paragraphedeliste"/>
        <w:numPr>
          <w:ilvl w:val="0"/>
          <w:numId w:val="8"/>
        </w:numPr>
        <w:spacing w:after="0"/>
        <w:jc w:val="both"/>
        <w:rPr>
          <w:color w:val="0000FF" w:themeColor="hyperlink"/>
          <w:u w:val="single"/>
        </w:rPr>
      </w:pPr>
      <w:r>
        <w:t>Accès rapide-&gt;</w:t>
      </w:r>
      <w:r w:rsidR="002A2E82">
        <w:t>Informations T</w:t>
      </w:r>
      <w:r w:rsidR="00120E40" w:rsidRPr="00316CA1">
        <w:t>echnique</w:t>
      </w:r>
      <w:r w:rsidR="002A2E82">
        <w:t>s</w:t>
      </w:r>
      <w:r w:rsidRPr="00316CA1">
        <w:t>-&gt;</w:t>
      </w:r>
      <w:r>
        <w:t>En savoir plus</w:t>
      </w:r>
    </w:p>
    <w:p w:rsidR="00120E40" w:rsidRPr="006D6267" w:rsidRDefault="00E95C92" w:rsidP="00316CA1">
      <w:pPr>
        <w:pStyle w:val="Paragraphedeliste"/>
        <w:spacing w:after="0"/>
        <w:jc w:val="both"/>
      </w:pPr>
      <w:hyperlink r:id="rId10" w:history="1">
        <w:r w:rsidR="002A2E82">
          <w:rPr>
            <w:rStyle w:val="Lienhypertexte"/>
          </w:rPr>
          <w:t>Informations Techniques | eSurfi Banque (banque-france.fr)</w:t>
        </w:r>
      </w:hyperlink>
    </w:p>
    <w:p w:rsidR="00120E40" w:rsidRDefault="00120E40" w:rsidP="00570B0E">
      <w:pPr>
        <w:spacing w:after="0"/>
        <w:jc w:val="both"/>
      </w:pPr>
    </w:p>
    <w:p w:rsidR="00F20F0D" w:rsidRDefault="00F20F0D" w:rsidP="00570B0E">
      <w:pPr>
        <w:spacing w:after="0"/>
        <w:jc w:val="both"/>
      </w:pPr>
      <w:r>
        <w:t>Nous portons à votre attention que les démarches ci-dessous peuvent prendre un certain temps</w:t>
      </w:r>
      <w:r w:rsidR="00A5563A">
        <w:t xml:space="preserve"> </w:t>
      </w:r>
      <w:r>
        <w:t>de traitement ; nous vous demandons donc de prendre en compte ce délai pour vous conformer aux exigences du reporting à l’ACPR.</w:t>
      </w:r>
    </w:p>
    <w:p w:rsidR="00F3442A" w:rsidRDefault="00F3442A" w:rsidP="00570B0E">
      <w:pPr>
        <w:spacing w:after="0"/>
        <w:jc w:val="both"/>
      </w:pPr>
      <w:r>
        <w:t xml:space="preserve">Veuillez noter également que toutes les démarches mentionnées dans ce document ne concernent pas tous les établissements. Par exemple si </w:t>
      </w:r>
      <w:r w:rsidR="00E83BBE">
        <w:t>la signature n’est pas exigée</w:t>
      </w:r>
      <w:r>
        <w:t>, vous n’avez pas besoin de certificat de signature. De même, si le format du reporting à envoyer est au format bureautique, vous n’avez pas besoin d’un outil XBRL. Dans tous les cas, les autres démarches sont indispensables pour pouvoir envoyer votre reporting à l’ACPR.</w:t>
      </w:r>
    </w:p>
    <w:p w:rsidR="00B022DB" w:rsidRDefault="00B022DB" w:rsidP="00570B0E">
      <w:pPr>
        <w:spacing w:after="0"/>
        <w:jc w:val="both"/>
      </w:pPr>
    </w:p>
    <w:p w:rsidR="00570B0E" w:rsidRDefault="00570B0E" w:rsidP="00570B0E">
      <w:pPr>
        <w:spacing w:after="0"/>
        <w:jc w:val="center"/>
      </w:pPr>
      <w:r>
        <w:t>***</w:t>
      </w:r>
    </w:p>
    <w:p w:rsidR="009E4667" w:rsidRDefault="009E4667" w:rsidP="00B022DB">
      <w:pPr>
        <w:spacing w:after="0"/>
        <w:jc w:val="both"/>
      </w:pPr>
    </w:p>
    <w:p w:rsidR="00882A61" w:rsidRPr="006D6267" w:rsidRDefault="006D6267" w:rsidP="00120E40">
      <w:pPr>
        <w:jc w:val="both"/>
      </w:pPr>
      <w:r w:rsidRPr="006D6267">
        <w:t>Afin de procéder au dépôt des remises</w:t>
      </w:r>
      <w:r w:rsidR="00882A61" w:rsidRPr="006D6267">
        <w:t xml:space="preserve">, </w:t>
      </w:r>
      <w:r w:rsidRPr="006D6267">
        <w:t xml:space="preserve">les </w:t>
      </w:r>
      <w:r w:rsidR="00E36638">
        <w:t>établissements</w:t>
      </w:r>
      <w:r w:rsidRPr="006D6267">
        <w:t xml:space="preserve"> remettants doivent procéder aux </w:t>
      </w:r>
      <w:r w:rsidR="00882A61" w:rsidRPr="006D6267">
        <w:t>démarches suivantes :</w:t>
      </w:r>
    </w:p>
    <w:p w:rsidR="00882A61" w:rsidRPr="006D6267" w:rsidRDefault="00C265E7" w:rsidP="00C265E7">
      <w:pPr>
        <w:pStyle w:val="Paragraphedeliste"/>
        <w:numPr>
          <w:ilvl w:val="0"/>
          <w:numId w:val="7"/>
        </w:numPr>
        <w:jc w:val="both"/>
      </w:pPr>
      <w:r>
        <w:rPr>
          <w:b/>
        </w:rPr>
        <w:t xml:space="preserve">Accréditation </w:t>
      </w:r>
      <w:r w:rsidR="008E4756">
        <w:rPr>
          <w:b/>
        </w:rPr>
        <w:t>au portail des remettants</w:t>
      </w:r>
      <w:r w:rsidR="0089403F" w:rsidRPr="00C265E7">
        <w:rPr>
          <w:b/>
        </w:rPr>
        <w:t xml:space="preserve"> O</w:t>
      </w:r>
      <w:r w:rsidR="006D6267" w:rsidRPr="00C265E7">
        <w:rPr>
          <w:b/>
        </w:rPr>
        <w:t>neGate</w:t>
      </w:r>
    </w:p>
    <w:p w:rsidR="00882A61" w:rsidRPr="006D6267" w:rsidRDefault="0089403F" w:rsidP="00B022DB">
      <w:pPr>
        <w:spacing w:after="0"/>
        <w:jc w:val="both"/>
      </w:pPr>
      <w:r w:rsidRPr="006D6267">
        <w:t xml:space="preserve">Vous </w:t>
      </w:r>
      <w:r w:rsidR="00AA3B1C" w:rsidRPr="006D6267">
        <w:t xml:space="preserve">devez </w:t>
      </w:r>
      <w:r w:rsidR="006D4A33" w:rsidRPr="006D6267">
        <w:t xml:space="preserve">accréditer à </w:t>
      </w:r>
      <w:r w:rsidR="006D6267" w:rsidRPr="006D6267">
        <w:t>OneGate</w:t>
      </w:r>
      <w:r w:rsidRPr="006D6267">
        <w:t xml:space="preserve"> des personnes physiques</w:t>
      </w:r>
      <w:r w:rsidR="00F119D0" w:rsidRPr="006D6267">
        <w:t>,</w:t>
      </w:r>
      <w:r w:rsidRPr="006D6267">
        <w:t xml:space="preserve"> qui pourront y déposer des fichiers et assurer le suivi des remises</w:t>
      </w:r>
      <w:r w:rsidR="001F0C5A" w:rsidRPr="006D6267">
        <w:t>.</w:t>
      </w:r>
    </w:p>
    <w:p w:rsidR="005D2BE8" w:rsidRPr="006D6267" w:rsidRDefault="0089403F" w:rsidP="002929D8">
      <w:pPr>
        <w:pStyle w:val="Paragraphedeliste"/>
        <w:numPr>
          <w:ilvl w:val="0"/>
          <w:numId w:val="8"/>
        </w:numPr>
        <w:spacing w:after="0"/>
        <w:jc w:val="both"/>
      </w:pPr>
      <w:r w:rsidRPr="006D6267">
        <w:t xml:space="preserve">Les demandes d’accréditation à </w:t>
      </w:r>
      <w:r w:rsidR="006D6267" w:rsidRPr="006D6267">
        <w:t>OneGate</w:t>
      </w:r>
      <w:r w:rsidRPr="006D6267">
        <w:t xml:space="preserve"> se font en </w:t>
      </w:r>
      <w:r w:rsidR="00AA3B1C" w:rsidRPr="006D6267">
        <w:t xml:space="preserve">ligne en se connectant au portail </w:t>
      </w:r>
      <w:r w:rsidR="006D6267" w:rsidRPr="006D6267">
        <w:t>OneGate</w:t>
      </w:r>
      <w:r w:rsidRPr="006D6267">
        <w:t>. Vous trouverez le</w:t>
      </w:r>
      <w:r w:rsidR="009862E1" w:rsidRPr="006D6267">
        <w:t>s précisions nécessaires dans le document intitulé</w:t>
      </w:r>
      <w:r w:rsidRPr="006D6267">
        <w:t xml:space="preserve"> </w:t>
      </w:r>
      <w:r w:rsidR="00120E40" w:rsidRPr="002929D8">
        <w:rPr>
          <w:b/>
        </w:rPr>
        <w:t>Guide du remettant</w:t>
      </w:r>
      <w:r w:rsidR="002929D8" w:rsidRPr="002929D8">
        <w:rPr>
          <w:b/>
        </w:rPr>
        <w:t xml:space="preserve"> OneGate</w:t>
      </w:r>
      <w:r w:rsidR="008E4756">
        <w:t xml:space="preserve"> </w:t>
      </w:r>
      <w:hyperlink r:id="rId11" w:history="1">
        <w:r w:rsidR="00E83BBE" w:rsidRPr="00E83BBE">
          <w:rPr>
            <w:rStyle w:val="Lienhypertexte"/>
          </w:rPr>
          <w:t>https://www.banque-france.fr/fr/statistiques/outils-statistiques/espace-declarants/portail-onegate</w:t>
        </w:r>
      </w:hyperlink>
    </w:p>
    <w:p w:rsidR="005050D0" w:rsidRPr="006D6267" w:rsidRDefault="005050D0" w:rsidP="00570B0E">
      <w:pPr>
        <w:spacing w:after="0"/>
        <w:jc w:val="both"/>
      </w:pPr>
    </w:p>
    <w:p w:rsidR="001F0C5A" w:rsidRDefault="001F0C5A" w:rsidP="002929D8">
      <w:pPr>
        <w:pStyle w:val="Paragraphedeliste"/>
        <w:numPr>
          <w:ilvl w:val="0"/>
          <w:numId w:val="8"/>
        </w:numPr>
        <w:spacing w:after="0"/>
        <w:jc w:val="both"/>
      </w:pPr>
      <w:r w:rsidRPr="006D6267">
        <w:t xml:space="preserve">Si vous le souhaitez, vous pouvez également accréditer à </w:t>
      </w:r>
      <w:r w:rsidR="006D6267" w:rsidRPr="006D6267">
        <w:t>OneGate</w:t>
      </w:r>
      <w:r w:rsidRPr="006D6267">
        <w:t xml:space="preserve"> une application informatique qui pourra effectuer des envois de fichiers de manière automatisée</w:t>
      </w:r>
      <w:r w:rsidR="002929D8">
        <w:t xml:space="preserve"> (A2A)</w:t>
      </w:r>
      <w:r w:rsidR="00660659" w:rsidRPr="006D6267">
        <w:t>.</w:t>
      </w:r>
      <w:r w:rsidR="00316CA1">
        <w:t xml:space="preserve"> Vous trouverez dans le </w:t>
      </w:r>
      <w:r w:rsidR="00316CA1" w:rsidRPr="002929D8">
        <w:rPr>
          <w:b/>
        </w:rPr>
        <w:t>Guide du remettant</w:t>
      </w:r>
      <w:r w:rsidR="00316CA1">
        <w:t xml:space="preserve"> </w:t>
      </w:r>
      <w:r w:rsidR="002929D8" w:rsidRPr="002929D8">
        <w:rPr>
          <w:b/>
        </w:rPr>
        <w:t>OneGate</w:t>
      </w:r>
      <w:r w:rsidR="002929D8">
        <w:t xml:space="preserve"> </w:t>
      </w:r>
      <w:r w:rsidR="00316CA1">
        <w:t>les informations nécessaires pour le canal de remise A2A.</w:t>
      </w:r>
    </w:p>
    <w:p w:rsidR="00D77E9E" w:rsidRDefault="00D77E9E" w:rsidP="00D77E9E">
      <w:pPr>
        <w:ind w:left="360"/>
      </w:pPr>
    </w:p>
    <w:p w:rsidR="00D77E9E" w:rsidRPr="00316CA1" w:rsidRDefault="00D77E9E" w:rsidP="00D77E9E">
      <w:pPr>
        <w:spacing w:after="0"/>
        <w:jc w:val="both"/>
      </w:pPr>
    </w:p>
    <w:p w:rsidR="002929D8" w:rsidRDefault="000972BF" w:rsidP="00570B0E">
      <w:pPr>
        <w:pStyle w:val="Paragraphedeliste"/>
        <w:numPr>
          <w:ilvl w:val="0"/>
          <w:numId w:val="7"/>
        </w:numPr>
        <w:jc w:val="both"/>
        <w:rPr>
          <w:b/>
        </w:rPr>
      </w:pPr>
      <w:r>
        <w:rPr>
          <w:b/>
        </w:rPr>
        <w:t>Obtention d’un certificat de signature électronique pour les remises signées</w:t>
      </w:r>
    </w:p>
    <w:p w:rsidR="000972BF" w:rsidRDefault="000972BF" w:rsidP="000972BF">
      <w:pPr>
        <w:pStyle w:val="Paragraphedeliste"/>
        <w:ind w:left="0"/>
        <w:jc w:val="both"/>
      </w:pPr>
    </w:p>
    <w:p w:rsidR="000972BF" w:rsidRDefault="000972BF" w:rsidP="000972BF">
      <w:pPr>
        <w:pStyle w:val="Paragraphedeliste"/>
        <w:ind w:left="0"/>
        <w:jc w:val="both"/>
      </w:pPr>
      <w:r>
        <w:t xml:space="preserve">Pour déposer les remises signées, les organismes doivent se doter d’un </w:t>
      </w:r>
      <w:r w:rsidRPr="0068585E">
        <w:rPr>
          <w:b/>
          <w:u w:val="single"/>
        </w:rPr>
        <w:t xml:space="preserve">certificat de signature forte ainsi que d’un </w:t>
      </w:r>
      <w:r w:rsidRPr="003C7754">
        <w:rPr>
          <w:b/>
          <w:u w:val="single"/>
        </w:rPr>
        <w:t>logiciel de signature</w:t>
      </w:r>
      <w:r>
        <w:t xml:space="preserve"> </w:t>
      </w:r>
      <w:r w:rsidRPr="006D6267">
        <w:t xml:space="preserve">conformément à l’instruction </w:t>
      </w:r>
      <w:hyperlink r:id="rId12" w:history="1">
        <w:hyperlink r:id="rId13" w:history="1">
          <w:r w:rsidR="00EB67AD">
            <w:rPr>
              <w:rStyle w:val="Lienhypertexte"/>
            </w:rPr>
            <w:t>Instruction n° 2017-I-13 modifiant l’instruction n° 2015-I-19 relative à la signature électronique de documents télétransmis à l’ACPR (Domaine bancaire) (banque-france.fr)</w:t>
          </w:r>
        </w:hyperlink>
        <w:r w:rsidRPr="006D6267">
          <w:rPr>
            <w:rStyle w:val="Lienhypertexte"/>
          </w:rPr>
          <w:t>.</w:t>
        </w:r>
      </w:hyperlink>
    </w:p>
    <w:p w:rsidR="00B022DB" w:rsidRDefault="00B022DB" w:rsidP="003C7754">
      <w:pPr>
        <w:pStyle w:val="Paragraphedeliste"/>
        <w:spacing w:after="0"/>
        <w:ind w:left="0"/>
        <w:jc w:val="both"/>
      </w:pPr>
    </w:p>
    <w:p w:rsidR="003C7754" w:rsidRDefault="003C7754" w:rsidP="003C7754">
      <w:pPr>
        <w:pStyle w:val="Paragraphedeliste"/>
        <w:spacing w:after="0"/>
        <w:ind w:left="0"/>
        <w:jc w:val="both"/>
      </w:pPr>
      <w:r>
        <w:t>Pour signer électroniquement les reportings, les organismes peuvent acquérir :</w:t>
      </w:r>
    </w:p>
    <w:p w:rsidR="003C7754" w:rsidRDefault="003C7754" w:rsidP="003C7754">
      <w:pPr>
        <w:pStyle w:val="Paragraphedeliste"/>
        <w:numPr>
          <w:ilvl w:val="0"/>
          <w:numId w:val="8"/>
        </w:numPr>
        <w:spacing w:after="0"/>
        <w:jc w:val="both"/>
      </w:pPr>
      <w:r>
        <w:t>un certificat de signature électronique conforme au règlement eIDAS et contacter les autorités de certification</w:t>
      </w:r>
    </w:p>
    <w:p w:rsidR="003C7754" w:rsidRPr="003C7754" w:rsidRDefault="003C7754" w:rsidP="003C7754">
      <w:pPr>
        <w:pStyle w:val="Paragraphedeliste"/>
        <w:numPr>
          <w:ilvl w:val="1"/>
          <w:numId w:val="8"/>
        </w:numPr>
        <w:spacing w:after="0"/>
        <w:jc w:val="both"/>
        <w:rPr>
          <w:b/>
        </w:rPr>
      </w:pPr>
      <w:r>
        <w:rPr>
          <w:b/>
        </w:rPr>
        <w:t>L</w:t>
      </w:r>
      <w:r w:rsidRPr="003C7754">
        <w:rPr>
          <w:b/>
        </w:rPr>
        <w:t>iste des prestataires de service de confiance française</w:t>
      </w:r>
    </w:p>
    <w:p w:rsidR="003C7754" w:rsidRDefault="003C7754" w:rsidP="003C7754">
      <w:pPr>
        <w:pStyle w:val="Paragraphedeliste"/>
        <w:spacing w:after="0"/>
        <w:ind w:left="1416"/>
        <w:jc w:val="both"/>
      </w:pPr>
      <w:r>
        <w:t xml:space="preserve">L’entreprise LSTI se charge pour l’Agence nationale pour la sécurité des systèmes d’information (ANSSI) de recenser les prestataires de service de confiance conforme au Règlement « eIDAS » </w:t>
      </w:r>
      <w:hyperlink r:id="rId14" w:history="1">
        <w:r w:rsidRPr="0063513C">
          <w:rPr>
            <w:rStyle w:val="Lienhypertexte"/>
          </w:rPr>
          <w:t>https://www.lsti-certification.fr/fr/eidas/</w:t>
        </w:r>
      </w:hyperlink>
    </w:p>
    <w:p w:rsidR="003C7754" w:rsidRPr="003C7754" w:rsidRDefault="003C7754" w:rsidP="003C7754">
      <w:pPr>
        <w:pStyle w:val="Paragraphedeliste"/>
        <w:numPr>
          <w:ilvl w:val="1"/>
          <w:numId w:val="8"/>
        </w:numPr>
        <w:spacing w:after="0"/>
        <w:jc w:val="both"/>
        <w:rPr>
          <w:b/>
        </w:rPr>
      </w:pPr>
      <w:r w:rsidRPr="003C7754">
        <w:rPr>
          <w:b/>
        </w:rPr>
        <w:t>Liste de confiance nationales mis à disposition par la Commission européenne</w:t>
      </w:r>
    </w:p>
    <w:p w:rsidR="003C7754" w:rsidRDefault="00E95C92" w:rsidP="003C7754">
      <w:pPr>
        <w:pStyle w:val="Paragraphedeliste"/>
        <w:spacing w:after="0"/>
        <w:ind w:firstLine="696"/>
        <w:jc w:val="both"/>
      </w:pPr>
      <w:hyperlink r:id="rId15" w:anchor="/tl/FR" w:history="1">
        <w:r w:rsidR="003C7754" w:rsidRPr="0063513C">
          <w:rPr>
            <w:rStyle w:val="Lienhypertexte"/>
          </w:rPr>
          <w:t>https://webgate.ec.europa.eu/tl-browser/#/tl/FR</w:t>
        </w:r>
      </w:hyperlink>
    </w:p>
    <w:p w:rsidR="003C7754" w:rsidRDefault="003C7754" w:rsidP="003C7754">
      <w:pPr>
        <w:pStyle w:val="Paragraphedeliste"/>
        <w:spacing w:after="0"/>
        <w:jc w:val="both"/>
      </w:pPr>
    </w:p>
    <w:p w:rsidR="003C7754" w:rsidRDefault="003C7754" w:rsidP="00E36638">
      <w:pPr>
        <w:pStyle w:val="Paragraphedeliste"/>
        <w:numPr>
          <w:ilvl w:val="0"/>
          <w:numId w:val="8"/>
        </w:numPr>
        <w:spacing w:after="0"/>
        <w:jc w:val="both"/>
      </w:pPr>
      <w:r>
        <w:t>un certificat émis par l'Autorité de Certification de la Banque de France.</w:t>
      </w:r>
    </w:p>
    <w:p w:rsidR="003C7754" w:rsidRPr="000972BF" w:rsidRDefault="003C7754" w:rsidP="00E36638">
      <w:pPr>
        <w:pStyle w:val="Paragraphedeliste"/>
        <w:spacing w:after="0"/>
        <w:jc w:val="both"/>
      </w:pPr>
      <w:r w:rsidRPr="000972BF">
        <w:t xml:space="preserve">Si vous effectuez une demande de certificat auprès de la Banque de France, toutes les informations relatives aux offres proposées par l’institution sont disponibles ci-après </w:t>
      </w:r>
      <w:hyperlink r:id="rId16" w:history="1">
        <w:r w:rsidRPr="000972BF">
          <w:rPr>
            <w:rStyle w:val="Lienhypertexte"/>
          </w:rPr>
          <w:t>https://www.banque-france.fr/fr/a-votre-service/certificats</w:t>
        </w:r>
      </w:hyperlink>
    </w:p>
    <w:p w:rsidR="000972BF" w:rsidRPr="000972BF" w:rsidRDefault="000972BF" w:rsidP="000972BF">
      <w:pPr>
        <w:spacing w:after="0"/>
        <w:jc w:val="both"/>
      </w:pPr>
    </w:p>
    <w:p w:rsidR="0089403F" w:rsidRPr="000972BF" w:rsidRDefault="007D5C63" w:rsidP="000972BF">
      <w:pPr>
        <w:pStyle w:val="Paragraphedeliste"/>
        <w:numPr>
          <w:ilvl w:val="0"/>
          <w:numId w:val="7"/>
        </w:numPr>
        <w:jc w:val="both"/>
        <w:rPr>
          <w:b/>
        </w:rPr>
      </w:pPr>
      <w:r>
        <w:rPr>
          <w:b/>
        </w:rPr>
        <w:t>Droits à signer : d</w:t>
      </w:r>
      <w:r w:rsidR="00DB0306" w:rsidRPr="000972BF">
        <w:rPr>
          <w:b/>
        </w:rPr>
        <w:t>éclarer à l’ACPR les personnes habilitées à signer les documents</w:t>
      </w:r>
    </w:p>
    <w:p w:rsidR="007D5C63" w:rsidRDefault="007D5C63" w:rsidP="00E36638">
      <w:pPr>
        <w:spacing w:after="0"/>
        <w:jc w:val="both"/>
      </w:pPr>
      <w:r>
        <w:t>Avant de procéder au dépôt de votre remise, vous devez également renseigner, sur OneGate, votre déclaration des droits à signer. Les droits à signer permettent à un établissement de déclarer les personnes habilitées à signer.</w:t>
      </w:r>
    </w:p>
    <w:p w:rsidR="007D5C63" w:rsidRDefault="007D5C63" w:rsidP="00E36638">
      <w:pPr>
        <w:spacing w:after="0" w:line="240" w:lineRule="auto"/>
        <w:jc w:val="both"/>
      </w:pPr>
      <w:r>
        <w:t>Vous trouverez ci-dessous le manuel utilisateur des droits à signer :</w:t>
      </w:r>
    </w:p>
    <w:p w:rsidR="007D5C63" w:rsidRDefault="00E95C92" w:rsidP="00E36638">
      <w:pPr>
        <w:spacing w:after="0"/>
        <w:ind w:left="17"/>
        <w:jc w:val="both"/>
      </w:pPr>
      <w:hyperlink r:id="rId17" w:history="1">
        <w:r w:rsidR="00FD54B0" w:rsidRPr="007507BD">
          <w:rPr>
            <w:rStyle w:val="Lienhypertexte"/>
          </w:rPr>
          <w:t>https://esurfi-banque.banque-france.fr/sites/default/files/media/2023/06/14/das_manuel_utilisateurs_v1.5.docx</w:t>
        </w:r>
      </w:hyperlink>
    </w:p>
    <w:p w:rsidR="007D5C63" w:rsidRPr="006D6267" w:rsidRDefault="007D5C63" w:rsidP="007D5C63">
      <w:pPr>
        <w:spacing w:after="0"/>
        <w:jc w:val="both"/>
      </w:pPr>
    </w:p>
    <w:p w:rsidR="009D348B" w:rsidRPr="00E36638" w:rsidRDefault="000E7539" w:rsidP="000E7539">
      <w:pPr>
        <w:pStyle w:val="Paragraphedeliste"/>
        <w:numPr>
          <w:ilvl w:val="0"/>
          <w:numId w:val="7"/>
        </w:numPr>
        <w:jc w:val="both"/>
        <w:rPr>
          <w:b/>
        </w:rPr>
      </w:pPr>
      <w:r w:rsidRPr="00E36638">
        <w:rPr>
          <w:b/>
        </w:rPr>
        <w:t xml:space="preserve">Renseigner la </w:t>
      </w:r>
      <w:r w:rsidR="009D348B" w:rsidRPr="00E36638">
        <w:rPr>
          <w:b/>
        </w:rPr>
        <w:t xml:space="preserve">« fiche déclarative » de </w:t>
      </w:r>
      <w:r w:rsidR="00027C7E" w:rsidRPr="00E36638">
        <w:rPr>
          <w:b/>
        </w:rPr>
        <w:t>l’organisme</w:t>
      </w:r>
      <w:r w:rsidRPr="00E36638">
        <w:rPr>
          <w:b/>
        </w:rPr>
        <w:t xml:space="preserve"> sur OneGate</w:t>
      </w:r>
    </w:p>
    <w:p w:rsidR="00444D0A" w:rsidRPr="006D6267" w:rsidRDefault="009D348B" w:rsidP="0040309B">
      <w:pPr>
        <w:spacing w:after="0"/>
        <w:jc w:val="both"/>
      </w:pPr>
      <w:r w:rsidRPr="006D6267">
        <w:t>L</w:t>
      </w:r>
      <w:r w:rsidR="004E26F7" w:rsidRPr="006D6267">
        <w:t>a fiche déclarative permet à</w:t>
      </w:r>
      <w:r w:rsidRPr="006D6267">
        <w:t xml:space="preserve"> l’ACPR de collecter </w:t>
      </w:r>
      <w:r w:rsidR="000E7539">
        <w:t xml:space="preserve">certaines </w:t>
      </w:r>
      <w:r w:rsidRPr="006D6267">
        <w:t>information</w:t>
      </w:r>
      <w:r w:rsidR="00444D0A" w:rsidRPr="006D6267">
        <w:t>s</w:t>
      </w:r>
      <w:r w:rsidRPr="006D6267">
        <w:t xml:space="preserve"> concernant </w:t>
      </w:r>
      <w:r w:rsidR="006062C5">
        <w:t>l’établissement</w:t>
      </w:r>
      <w:r w:rsidR="0068585E">
        <w:t xml:space="preserve">. Celle-ci permet notamment </w:t>
      </w:r>
      <w:r w:rsidR="000E7539">
        <w:t>de déterminer les reportings à remettre</w:t>
      </w:r>
      <w:r w:rsidR="00444D0A" w:rsidRPr="006D6267">
        <w:t>.</w:t>
      </w:r>
    </w:p>
    <w:p w:rsidR="0068585E" w:rsidRDefault="0068585E" w:rsidP="0040309B">
      <w:pPr>
        <w:spacing w:after="0"/>
        <w:jc w:val="both"/>
        <w:rPr>
          <w:b/>
        </w:rPr>
      </w:pPr>
    </w:p>
    <w:p w:rsidR="0068585E" w:rsidRDefault="00444D0A" w:rsidP="0040309B">
      <w:pPr>
        <w:spacing w:after="0"/>
        <w:jc w:val="both"/>
      </w:pPr>
      <w:r w:rsidRPr="006D6267">
        <w:rPr>
          <w:b/>
        </w:rPr>
        <w:t>Le</w:t>
      </w:r>
      <w:r w:rsidR="00983DE1" w:rsidRPr="006D6267">
        <w:rPr>
          <w:b/>
        </w:rPr>
        <w:t xml:space="preserve"> manuel utilisateur – </w:t>
      </w:r>
      <w:r w:rsidR="006062C5">
        <w:rPr>
          <w:b/>
        </w:rPr>
        <w:t>Fiche déclarative FDE</w:t>
      </w:r>
      <w:r w:rsidR="00983DE1" w:rsidRPr="006D6267">
        <w:t xml:space="preserve"> </w:t>
      </w:r>
      <w:r w:rsidR="0068585E">
        <w:t>disponible sur le site e-Surfi</w:t>
      </w:r>
      <w:r w:rsidR="006062C5">
        <w:t xml:space="preserve"> Banque</w:t>
      </w:r>
      <w:r w:rsidR="0068585E" w:rsidRPr="006D6267">
        <w:t>, précise les modalités de saisie de la fiche déclarative</w:t>
      </w:r>
      <w:r w:rsidR="0068585E">
        <w:t>.</w:t>
      </w:r>
    </w:p>
    <w:p w:rsidR="0040309B" w:rsidRPr="00E83BBE" w:rsidRDefault="00E95C92" w:rsidP="0040309B">
      <w:pPr>
        <w:spacing w:after="0"/>
        <w:jc w:val="both"/>
      </w:pPr>
      <w:hyperlink r:id="rId18" w:history="1">
        <w:r w:rsidR="006062C5" w:rsidRPr="00F02040">
          <w:rPr>
            <w:rStyle w:val="Lienhypertexte"/>
          </w:rPr>
          <w:t>https://esurfi-banque.banque-france.fr/sites/default/files/media/2022/03/07/fde-manuel-utilisateur_v0.4.docx</w:t>
        </w:r>
      </w:hyperlink>
    </w:p>
    <w:p w:rsidR="00B022DB" w:rsidRPr="00B022DB" w:rsidRDefault="00B022DB" w:rsidP="0040309B">
      <w:pPr>
        <w:spacing w:after="0"/>
        <w:jc w:val="both"/>
      </w:pPr>
    </w:p>
    <w:p w:rsidR="00945536" w:rsidRPr="0068585E" w:rsidRDefault="00945536" w:rsidP="0068585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68585E">
        <w:rPr>
          <w:b/>
        </w:rPr>
        <w:t>Disposer d’un outil permettant d’élaborer les reporting</w:t>
      </w:r>
      <w:r w:rsidR="00412F9B" w:rsidRPr="0068585E">
        <w:rPr>
          <w:b/>
        </w:rPr>
        <w:t>s</w:t>
      </w:r>
      <w:r w:rsidRPr="0068585E">
        <w:rPr>
          <w:b/>
        </w:rPr>
        <w:t xml:space="preserve"> au format XBRL</w:t>
      </w:r>
    </w:p>
    <w:p w:rsidR="00080DC8" w:rsidRPr="006D6267" w:rsidRDefault="00080DC8" w:rsidP="00120E40">
      <w:pPr>
        <w:spacing w:after="0"/>
        <w:jc w:val="both"/>
      </w:pPr>
      <w:r w:rsidRPr="006D6267">
        <w:t xml:space="preserve">Pour produire les instances XBRL et fichiers xml, </w:t>
      </w:r>
      <w:r w:rsidR="0068585E">
        <w:t xml:space="preserve">deux options sont </w:t>
      </w:r>
      <w:r w:rsidRPr="006D6267">
        <w:t>possible</w:t>
      </w:r>
      <w:r w:rsidR="0068585E">
        <w:t>s</w:t>
      </w:r>
      <w:r w:rsidRPr="006D6267">
        <w:t xml:space="preserve"> pour les </w:t>
      </w:r>
      <w:r w:rsidR="0068585E">
        <w:t>remettants</w:t>
      </w:r>
      <w:r w:rsidRPr="006D6267">
        <w:t> :</w:t>
      </w:r>
    </w:p>
    <w:p w:rsidR="00945536" w:rsidRPr="006D6267" w:rsidRDefault="00080DC8" w:rsidP="0068585E">
      <w:pPr>
        <w:pStyle w:val="Paragraphedeliste"/>
        <w:numPr>
          <w:ilvl w:val="0"/>
          <w:numId w:val="5"/>
        </w:numPr>
        <w:spacing w:after="0"/>
        <w:jc w:val="both"/>
      </w:pPr>
      <w:r w:rsidRPr="006D6267">
        <w:t xml:space="preserve">développer en interne </w:t>
      </w:r>
      <w:r w:rsidR="00412F9B" w:rsidRPr="006D6267">
        <w:t>leurs</w:t>
      </w:r>
      <w:r w:rsidRPr="006D6267">
        <w:t xml:space="preserve"> propres outils</w:t>
      </w:r>
    </w:p>
    <w:p w:rsidR="00A73F82" w:rsidRPr="006D6267" w:rsidRDefault="00A73F82" w:rsidP="009E4667">
      <w:pPr>
        <w:pStyle w:val="Paragraphedeliste"/>
        <w:numPr>
          <w:ilvl w:val="0"/>
          <w:numId w:val="5"/>
        </w:numPr>
        <w:spacing w:after="0"/>
        <w:jc w:val="both"/>
      </w:pPr>
      <w:r w:rsidRPr="006D6267">
        <w:t>utiliser des outils du marché</w:t>
      </w:r>
    </w:p>
    <w:p w:rsidR="0068585E" w:rsidRDefault="00A73F82" w:rsidP="00120E40">
      <w:pPr>
        <w:jc w:val="both"/>
      </w:pPr>
      <w:r w:rsidRPr="006D6267">
        <w:t>Un environnement d’homologation</w:t>
      </w:r>
      <w:r w:rsidR="009E4667">
        <w:t xml:space="preserve"> OneGate</w:t>
      </w:r>
      <w:r w:rsidRPr="006D6267">
        <w:t xml:space="preserve"> est également disponible pour tester vos remises avant envoi </w:t>
      </w:r>
      <w:r w:rsidR="00412F9B" w:rsidRPr="006D6267">
        <w:t>ou</w:t>
      </w:r>
      <w:r w:rsidRPr="006D6267">
        <w:t xml:space="preserve"> dépôt sur</w:t>
      </w:r>
      <w:r w:rsidR="0068585E">
        <w:t xml:space="preserve"> l’environnement de production.</w:t>
      </w:r>
    </w:p>
    <w:p w:rsidR="00B022DB" w:rsidRDefault="00B022DB" w:rsidP="00B022DB">
      <w:pPr>
        <w:spacing w:after="0"/>
      </w:pPr>
    </w:p>
    <w:p w:rsidR="009E4667" w:rsidRDefault="009E4667" w:rsidP="009E4667">
      <w:pPr>
        <w:spacing w:after="0"/>
        <w:jc w:val="center"/>
      </w:pPr>
      <w:r>
        <w:t>***</w:t>
      </w:r>
    </w:p>
    <w:p w:rsidR="00B022DB" w:rsidRDefault="00B022DB" w:rsidP="00B022DB">
      <w:pPr>
        <w:spacing w:after="0"/>
      </w:pPr>
    </w:p>
    <w:p w:rsidR="00444D0A" w:rsidRPr="006D6267" w:rsidRDefault="00444D0A" w:rsidP="009E4667">
      <w:pPr>
        <w:spacing w:after="0"/>
        <w:jc w:val="both"/>
      </w:pPr>
      <w:r w:rsidRPr="006D6267">
        <w:t xml:space="preserve">Une fois ces différentes démarches accomplies, il est possible de déposer des remises réglementaires sur le portail </w:t>
      </w:r>
      <w:r w:rsidR="006D6267" w:rsidRPr="006D6267">
        <w:t>OneGate</w:t>
      </w:r>
      <w:r w:rsidRPr="006D6267">
        <w:t>. L’ensemble des informations techniques concernant celles-ci (taxonomies, format XBRL, modalités d’échange) sont disponibles sur le site e-</w:t>
      </w:r>
      <w:r w:rsidR="00027B14" w:rsidRPr="006D6267">
        <w:t>S</w:t>
      </w:r>
      <w:r w:rsidR="002D117E">
        <w:t>urfi</w:t>
      </w:r>
      <w:r w:rsidR="00027B14" w:rsidRPr="006D6267">
        <w:t xml:space="preserve"> </w:t>
      </w:r>
      <w:r w:rsidR="00295C86">
        <w:t>Banque</w:t>
      </w:r>
      <w:r w:rsidRPr="006D6267">
        <w:t>. Voir notamment les documents suivants :</w:t>
      </w:r>
    </w:p>
    <w:p w:rsidR="009E4667" w:rsidRDefault="00F054A6" w:rsidP="00D16A36">
      <w:pPr>
        <w:pStyle w:val="Paragraphedeliste"/>
        <w:numPr>
          <w:ilvl w:val="0"/>
          <w:numId w:val="4"/>
        </w:numPr>
        <w:jc w:val="both"/>
      </w:pPr>
      <w:r w:rsidRPr="006D6267">
        <w:t>Règles de remises XBRL</w:t>
      </w:r>
    </w:p>
    <w:p w:rsidR="00FD54B0" w:rsidRDefault="00E95C92" w:rsidP="00FD54B0">
      <w:pPr>
        <w:pStyle w:val="Paragraphedeliste"/>
        <w:jc w:val="both"/>
      </w:pPr>
      <w:hyperlink r:id="rId19" w:history="1">
        <w:r w:rsidR="00FD54B0" w:rsidRPr="007507BD">
          <w:rPr>
            <w:rStyle w:val="Lienhypertexte"/>
          </w:rPr>
          <w:t>https://esurfi-banque.banque-france.fr/sites/default/files/media/2023/08/11/regles_de_remise_xbrl_r1_0_9_0.pdf</w:t>
        </w:r>
      </w:hyperlink>
    </w:p>
    <w:p w:rsidR="00FD54B0" w:rsidRDefault="00FD54B0" w:rsidP="00FD54B0">
      <w:pPr>
        <w:pStyle w:val="Paragraphedeliste"/>
        <w:jc w:val="both"/>
      </w:pPr>
    </w:p>
    <w:p w:rsidR="009E4667" w:rsidRPr="009E4667" w:rsidRDefault="009E4667" w:rsidP="00946EBB">
      <w:pPr>
        <w:pStyle w:val="Paragraphedeliste"/>
        <w:numPr>
          <w:ilvl w:val="0"/>
          <w:numId w:val="4"/>
        </w:numPr>
        <w:jc w:val="both"/>
      </w:pPr>
      <w:r w:rsidRPr="009E4667">
        <w:t>Guide du remettant OneGate</w:t>
      </w:r>
    </w:p>
    <w:p w:rsidR="009E4667" w:rsidRDefault="00E95C92" w:rsidP="009E4667">
      <w:pPr>
        <w:pStyle w:val="Paragraphedeliste"/>
        <w:jc w:val="both"/>
        <w:rPr>
          <w:rStyle w:val="Lienhypertexte"/>
        </w:rPr>
      </w:pPr>
      <w:hyperlink r:id="rId20" w:history="1">
        <w:r w:rsidR="009E4667" w:rsidRPr="006D6267">
          <w:rPr>
            <w:rStyle w:val="Lienhypertexte"/>
          </w:rPr>
          <w:t>https://www.banque-france.fr/statistiques/portail-onegate</w:t>
        </w:r>
      </w:hyperlink>
    </w:p>
    <w:p w:rsidR="00F20F0D" w:rsidRPr="00F20F0D" w:rsidRDefault="00F20F0D" w:rsidP="009E4667">
      <w:pPr>
        <w:pStyle w:val="Paragraphedeliste"/>
        <w:jc w:val="both"/>
      </w:pPr>
    </w:p>
    <w:p w:rsidR="00F20F0D" w:rsidRDefault="00F20F0D" w:rsidP="00F20F0D">
      <w:pPr>
        <w:pStyle w:val="Paragraphedeliste"/>
        <w:numPr>
          <w:ilvl w:val="0"/>
          <w:numId w:val="7"/>
        </w:numPr>
        <w:jc w:val="both"/>
        <w:rPr>
          <w:b/>
        </w:rPr>
      </w:pPr>
      <w:r w:rsidRPr="00F20F0D">
        <w:rPr>
          <w:b/>
        </w:rPr>
        <w:t>Contacts</w:t>
      </w:r>
    </w:p>
    <w:p w:rsidR="00F20F0D" w:rsidRDefault="00F20F0D" w:rsidP="00D4260E">
      <w:pPr>
        <w:spacing w:after="0"/>
        <w:jc w:val="both"/>
      </w:pPr>
    </w:p>
    <w:tbl>
      <w:tblPr>
        <w:tblW w:w="104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685"/>
        <w:gridCol w:w="1843"/>
      </w:tblGrid>
      <w:tr w:rsidR="00D4260E" w:rsidRPr="00D4260E" w:rsidTr="00D4260E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Accréditation au portail des remettants OneGate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E95C92" w:rsidP="005C00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  <w:hyperlink r:id="rId21" w:history="1">
              <w:r w:rsidR="00D4260E" w:rsidRPr="005C00F1">
                <w:rPr>
                  <w:rStyle w:val="Lienhypertexte"/>
                </w:rPr>
                <w:t>onegate-support@banque-france.fr</w:t>
              </w:r>
            </w:hyperlink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A55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01 42 92 60 05</w:t>
            </w:r>
          </w:p>
        </w:tc>
      </w:tr>
      <w:tr w:rsidR="00D4260E" w:rsidRPr="00D4260E" w:rsidTr="00D4260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260E" w:rsidRPr="00D4260E" w:rsidTr="00D4260E">
        <w:trPr>
          <w:trHeight w:val="288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Pour tous les autres sujets dans le cadre des démarches à suivre pour remettre le reporting à l'ACPR</w:t>
            </w:r>
          </w:p>
        </w:tc>
      </w:tr>
      <w:tr w:rsidR="00D4260E" w:rsidRPr="00D4260E" w:rsidTr="00D4260E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Obtention d’un certificat de signature électronique pour les remises signées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0E" w:rsidRPr="007345C7" w:rsidRDefault="007345C7" w:rsidP="005C00F1">
            <w:pPr>
              <w:spacing w:after="0" w:line="240" w:lineRule="auto"/>
              <w:rPr>
                <w:rStyle w:val="Lienhypertexte"/>
              </w:rPr>
            </w:pPr>
            <w:r w:rsidRPr="007345C7">
              <w:rPr>
                <w:rStyle w:val="Lienhypertexte"/>
              </w:rPr>
              <w:t>sagemoa-garu@acpr.banque-france.fr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01 42 44 39 00</w:t>
            </w:r>
          </w:p>
        </w:tc>
      </w:tr>
      <w:tr w:rsidR="00D4260E" w:rsidRPr="00D4260E" w:rsidTr="00D4260E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Droits à signer : déclarer à l’ACPR les personnes habilitées à signer les documents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4260E" w:rsidRPr="00D4260E" w:rsidTr="00D4260E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Renseigner la « fiche déclarative » de l’organisme sur OneGate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4260E" w:rsidRPr="00D4260E" w:rsidTr="00D4260E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Disposer d’un outil permettant d’élaborer les reportings au format XBRL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D7269" w:rsidRPr="00F20F0D" w:rsidRDefault="00ED7269" w:rsidP="00ED7269">
      <w:pPr>
        <w:ind w:left="-284"/>
        <w:jc w:val="both"/>
      </w:pPr>
    </w:p>
    <w:sectPr w:rsidR="00ED7269" w:rsidRPr="00F20F0D" w:rsidSect="00ED7269">
      <w:headerReference w:type="default" r:id="rId22"/>
      <w:footerReference w:type="default" r:id="rId23"/>
      <w:pgSz w:w="11906" w:h="16838"/>
      <w:pgMar w:top="993" w:right="1133" w:bottom="993" w:left="1134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63" w:rsidRDefault="00457663" w:rsidP="001F0C5A">
      <w:pPr>
        <w:spacing w:after="0" w:line="240" w:lineRule="auto"/>
      </w:pPr>
      <w:r>
        <w:separator/>
      </w:r>
    </w:p>
  </w:endnote>
  <w:endnote w:type="continuationSeparator" w:id="0">
    <w:p w:rsidR="00457663" w:rsidRDefault="00457663" w:rsidP="001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367732"/>
      <w:docPartObj>
        <w:docPartGallery w:val="Page Numbers (Bottom of Page)"/>
        <w:docPartUnique/>
      </w:docPartObj>
    </w:sdtPr>
    <w:sdtEndPr/>
    <w:sdtContent>
      <w:p w:rsidR="00EC5B23" w:rsidRPr="006F6F4E" w:rsidRDefault="006F6F4E" w:rsidP="006F6F4E">
        <w:pPr>
          <w:pStyle w:val="Pieddepage"/>
          <w:tabs>
            <w:tab w:val="clear" w:pos="9072"/>
            <w:tab w:val="right" w:pos="9639"/>
          </w:tabs>
          <w:jc w:val="both"/>
          <w:rPr>
            <w:sz w:val="18"/>
            <w:szCs w:val="18"/>
          </w:rPr>
        </w:pPr>
        <w:r w:rsidRPr="006F6F4E">
          <w:rPr>
            <w:rFonts w:eastAsia="Arial" w:cstheme="minorHAnsi"/>
            <w:i/>
            <w:sz w:val="18"/>
            <w:szCs w:val="18"/>
          </w:rPr>
          <w:t>Secrétariat général de l’Autorité de contrôle prudentiel et de résolution</w:t>
        </w:r>
        <w:r w:rsidRPr="006F6F4E">
          <w:rPr>
            <w:sz w:val="18"/>
            <w:szCs w:val="18"/>
          </w:rPr>
          <w:tab/>
        </w:r>
        <w:r w:rsidRPr="006F6F4E">
          <w:rPr>
            <w:sz w:val="18"/>
            <w:szCs w:val="18"/>
          </w:rPr>
          <w:fldChar w:fldCharType="begin"/>
        </w:r>
        <w:r w:rsidRPr="006F6F4E">
          <w:rPr>
            <w:sz w:val="18"/>
            <w:szCs w:val="18"/>
          </w:rPr>
          <w:instrText>PAGE   \* MERGEFORMAT</w:instrText>
        </w:r>
        <w:r w:rsidRPr="006F6F4E">
          <w:rPr>
            <w:sz w:val="18"/>
            <w:szCs w:val="18"/>
          </w:rPr>
          <w:fldChar w:fldCharType="separate"/>
        </w:r>
        <w:r w:rsidR="00E95C92">
          <w:rPr>
            <w:noProof/>
            <w:sz w:val="18"/>
            <w:szCs w:val="18"/>
          </w:rPr>
          <w:t>1</w:t>
        </w:r>
        <w:r w:rsidRPr="006F6F4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63" w:rsidRDefault="00457663" w:rsidP="001F0C5A">
      <w:pPr>
        <w:spacing w:after="0" w:line="240" w:lineRule="auto"/>
      </w:pPr>
      <w:r>
        <w:separator/>
      </w:r>
    </w:p>
  </w:footnote>
  <w:footnote w:type="continuationSeparator" w:id="0">
    <w:p w:rsidR="00457663" w:rsidRDefault="00457663" w:rsidP="001F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4E" w:rsidRDefault="002A2E82" w:rsidP="006F6F4E">
    <w:pPr>
      <w:pStyle w:val="En-tte"/>
      <w:jc w:val="right"/>
      <w:rPr>
        <w:rFonts w:eastAsia="Arial" w:cstheme="minorHAnsi"/>
        <w:b/>
        <w:i/>
        <w:sz w:val="18"/>
        <w:szCs w:val="18"/>
      </w:rPr>
    </w:pPr>
    <w:r>
      <w:rPr>
        <w:rFonts w:eastAsia="Arial" w:cstheme="minorHAnsi"/>
        <w:b/>
        <w:i/>
        <w:sz w:val="18"/>
        <w:szCs w:val="18"/>
      </w:rPr>
      <w:t>Banque</w:t>
    </w:r>
    <w:r w:rsidR="00B022DB">
      <w:rPr>
        <w:rFonts w:eastAsia="Arial" w:cstheme="minorHAnsi"/>
        <w:b/>
        <w:i/>
        <w:sz w:val="18"/>
        <w:szCs w:val="18"/>
      </w:rPr>
      <w:t> : démarches pour remettre le reporting à l’ACPR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D85"/>
    <w:multiLevelType w:val="hybridMultilevel"/>
    <w:tmpl w:val="16564ECE"/>
    <w:lvl w:ilvl="0" w:tplc="CECC0D7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4D40C7"/>
    <w:multiLevelType w:val="hybridMultilevel"/>
    <w:tmpl w:val="C4348FB4"/>
    <w:lvl w:ilvl="0" w:tplc="887801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1BE4"/>
    <w:multiLevelType w:val="hybridMultilevel"/>
    <w:tmpl w:val="FA7C3396"/>
    <w:lvl w:ilvl="0" w:tplc="CCC4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551E"/>
    <w:multiLevelType w:val="hybridMultilevel"/>
    <w:tmpl w:val="37BA2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8C8A134A">
      <w:start w:val="2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67C5"/>
    <w:multiLevelType w:val="hybridMultilevel"/>
    <w:tmpl w:val="8D4C0322"/>
    <w:lvl w:ilvl="0" w:tplc="B3348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122"/>
    <w:multiLevelType w:val="hybridMultilevel"/>
    <w:tmpl w:val="88B4E934"/>
    <w:lvl w:ilvl="0" w:tplc="A0E61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78A"/>
    <w:multiLevelType w:val="hybridMultilevel"/>
    <w:tmpl w:val="B6AEA608"/>
    <w:lvl w:ilvl="0" w:tplc="E682BE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213C8"/>
    <w:multiLevelType w:val="hybridMultilevel"/>
    <w:tmpl w:val="CF384B62"/>
    <w:lvl w:ilvl="0" w:tplc="8C8A134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F7FEB"/>
    <w:rsid w:val="0000048A"/>
    <w:rsid w:val="00016BBA"/>
    <w:rsid w:val="00020C0C"/>
    <w:rsid w:val="00027B14"/>
    <w:rsid w:val="00027C7E"/>
    <w:rsid w:val="00080DC8"/>
    <w:rsid w:val="000972BF"/>
    <w:rsid w:val="00097BB7"/>
    <w:rsid w:val="00097D00"/>
    <w:rsid w:val="000B1770"/>
    <w:rsid w:val="000E7539"/>
    <w:rsid w:val="000F11CD"/>
    <w:rsid w:val="00104675"/>
    <w:rsid w:val="00112E86"/>
    <w:rsid w:val="00114A75"/>
    <w:rsid w:val="00117C70"/>
    <w:rsid w:val="00120E40"/>
    <w:rsid w:val="00151A92"/>
    <w:rsid w:val="00165FB7"/>
    <w:rsid w:val="001C66D1"/>
    <w:rsid w:val="001D2F34"/>
    <w:rsid w:val="001F0C5A"/>
    <w:rsid w:val="00234EF4"/>
    <w:rsid w:val="002929D8"/>
    <w:rsid w:val="00295C86"/>
    <w:rsid w:val="002A2E82"/>
    <w:rsid w:val="002A62AF"/>
    <w:rsid w:val="002C42C1"/>
    <w:rsid w:val="002D117E"/>
    <w:rsid w:val="002D75D8"/>
    <w:rsid w:val="00301D19"/>
    <w:rsid w:val="00306AE4"/>
    <w:rsid w:val="00311DAE"/>
    <w:rsid w:val="00316CA1"/>
    <w:rsid w:val="003466C6"/>
    <w:rsid w:val="00353930"/>
    <w:rsid w:val="00355E41"/>
    <w:rsid w:val="00393145"/>
    <w:rsid w:val="003B1120"/>
    <w:rsid w:val="003C345C"/>
    <w:rsid w:val="003C7754"/>
    <w:rsid w:val="003E137B"/>
    <w:rsid w:val="003E1964"/>
    <w:rsid w:val="003F639C"/>
    <w:rsid w:val="0040309B"/>
    <w:rsid w:val="00412F9B"/>
    <w:rsid w:val="0041377D"/>
    <w:rsid w:val="00435032"/>
    <w:rsid w:val="00444D0A"/>
    <w:rsid w:val="00457663"/>
    <w:rsid w:val="004708E6"/>
    <w:rsid w:val="00475473"/>
    <w:rsid w:val="004A5BFA"/>
    <w:rsid w:val="004C5C65"/>
    <w:rsid w:val="004E26F7"/>
    <w:rsid w:val="004E508C"/>
    <w:rsid w:val="004F25F7"/>
    <w:rsid w:val="004F372C"/>
    <w:rsid w:val="004F42BC"/>
    <w:rsid w:val="005050D0"/>
    <w:rsid w:val="00537F93"/>
    <w:rsid w:val="00570B0E"/>
    <w:rsid w:val="005A51D9"/>
    <w:rsid w:val="005C00F1"/>
    <w:rsid w:val="005C7090"/>
    <w:rsid w:val="005D2BE8"/>
    <w:rsid w:val="005E2772"/>
    <w:rsid w:val="005F59BA"/>
    <w:rsid w:val="006057F6"/>
    <w:rsid w:val="006062C5"/>
    <w:rsid w:val="00660659"/>
    <w:rsid w:val="00684653"/>
    <w:rsid w:val="0068585E"/>
    <w:rsid w:val="0069489A"/>
    <w:rsid w:val="006B197D"/>
    <w:rsid w:val="006B500B"/>
    <w:rsid w:val="006D4A33"/>
    <w:rsid w:val="006D6267"/>
    <w:rsid w:val="006F6F4E"/>
    <w:rsid w:val="00700EB6"/>
    <w:rsid w:val="00710843"/>
    <w:rsid w:val="0071184A"/>
    <w:rsid w:val="007211C1"/>
    <w:rsid w:val="00723C96"/>
    <w:rsid w:val="007345C7"/>
    <w:rsid w:val="007360A9"/>
    <w:rsid w:val="007644F5"/>
    <w:rsid w:val="00765761"/>
    <w:rsid w:val="007745C4"/>
    <w:rsid w:val="007965A6"/>
    <w:rsid w:val="007A05C6"/>
    <w:rsid w:val="007C21F3"/>
    <w:rsid w:val="007D5BF2"/>
    <w:rsid w:val="007D5C63"/>
    <w:rsid w:val="007E65C6"/>
    <w:rsid w:val="008052D6"/>
    <w:rsid w:val="00811FBA"/>
    <w:rsid w:val="00827A81"/>
    <w:rsid w:val="00882A61"/>
    <w:rsid w:val="008874C3"/>
    <w:rsid w:val="0089403F"/>
    <w:rsid w:val="008B48D2"/>
    <w:rsid w:val="008B7798"/>
    <w:rsid w:val="008D086B"/>
    <w:rsid w:val="008D3A30"/>
    <w:rsid w:val="008D51DB"/>
    <w:rsid w:val="008E0502"/>
    <w:rsid w:val="008E4756"/>
    <w:rsid w:val="00913621"/>
    <w:rsid w:val="009137EB"/>
    <w:rsid w:val="00937BF9"/>
    <w:rsid w:val="00945536"/>
    <w:rsid w:val="00946EBB"/>
    <w:rsid w:val="00983DE1"/>
    <w:rsid w:val="00983EDD"/>
    <w:rsid w:val="009862E1"/>
    <w:rsid w:val="009D348B"/>
    <w:rsid w:val="009E4667"/>
    <w:rsid w:val="00A1038D"/>
    <w:rsid w:val="00A11CDD"/>
    <w:rsid w:val="00A42850"/>
    <w:rsid w:val="00A5563A"/>
    <w:rsid w:val="00A73F82"/>
    <w:rsid w:val="00AA3B1C"/>
    <w:rsid w:val="00AD4579"/>
    <w:rsid w:val="00AE0390"/>
    <w:rsid w:val="00AF5805"/>
    <w:rsid w:val="00B022DB"/>
    <w:rsid w:val="00B15946"/>
    <w:rsid w:val="00B22154"/>
    <w:rsid w:val="00B23FAA"/>
    <w:rsid w:val="00B26C24"/>
    <w:rsid w:val="00B614DC"/>
    <w:rsid w:val="00BA48FC"/>
    <w:rsid w:val="00BE0392"/>
    <w:rsid w:val="00C01139"/>
    <w:rsid w:val="00C156A2"/>
    <w:rsid w:val="00C265E7"/>
    <w:rsid w:val="00C636EB"/>
    <w:rsid w:val="00CD6956"/>
    <w:rsid w:val="00CE52F4"/>
    <w:rsid w:val="00D001D5"/>
    <w:rsid w:val="00D3577D"/>
    <w:rsid w:val="00D3791B"/>
    <w:rsid w:val="00D4260E"/>
    <w:rsid w:val="00D51A15"/>
    <w:rsid w:val="00D54418"/>
    <w:rsid w:val="00D62CD1"/>
    <w:rsid w:val="00D77E9E"/>
    <w:rsid w:val="00DB0306"/>
    <w:rsid w:val="00DD48BE"/>
    <w:rsid w:val="00DF7FEB"/>
    <w:rsid w:val="00E11B07"/>
    <w:rsid w:val="00E15F86"/>
    <w:rsid w:val="00E2253F"/>
    <w:rsid w:val="00E33EC4"/>
    <w:rsid w:val="00E36638"/>
    <w:rsid w:val="00E52C6C"/>
    <w:rsid w:val="00E758D1"/>
    <w:rsid w:val="00E83BBE"/>
    <w:rsid w:val="00E92534"/>
    <w:rsid w:val="00E95C92"/>
    <w:rsid w:val="00EA12C2"/>
    <w:rsid w:val="00EA13CA"/>
    <w:rsid w:val="00EB67AD"/>
    <w:rsid w:val="00EC5B23"/>
    <w:rsid w:val="00EC6AF5"/>
    <w:rsid w:val="00EC7D5B"/>
    <w:rsid w:val="00ED7269"/>
    <w:rsid w:val="00EE2877"/>
    <w:rsid w:val="00F054A6"/>
    <w:rsid w:val="00F05752"/>
    <w:rsid w:val="00F119D0"/>
    <w:rsid w:val="00F20F0D"/>
    <w:rsid w:val="00F3442A"/>
    <w:rsid w:val="00F36575"/>
    <w:rsid w:val="00F645BC"/>
    <w:rsid w:val="00F66DDF"/>
    <w:rsid w:val="00F83B84"/>
    <w:rsid w:val="00F93F1E"/>
    <w:rsid w:val="00FC19CB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B3B22B"/>
  <w15:docId w15:val="{43188D5C-EF8E-4512-9CA2-C722A31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F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403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11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F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FB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862E1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C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C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0C5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C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B23"/>
  </w:style>
  <w:style w:type="paragraph" w:styleId="Pieddepage">
    <w:name w:val="footer"/>
    <w:basedOn w:val="Normal"/>
    <w:link w:val="PieddepageCar"/>
    <w:uiPriority w:val="99"/>
    <w:unhideWhenUsed/>
    <w:rsid w:val="00EC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rfi-banque.banque-france.fr/" TargetMode="External"/><Relationship Id="rId13" Type="http://schemas.openxmlformats.org/officeDocument/2006/relationships/hyperlink" Target="https://acpr.banque-france.fr/sites/default/files/media/2018/12/14/176._instruction_2017-i-13.pdf" TargetMode="External"/><Relationship Id="rId18" Type="http://schemas.openxmlformats.org/officeDocument/2006/relationships/hyperlink" Target="https://esurfi-banque.banque-france.fr/sites/default/files/media/2022/03/07/fde-manuel-utilisateur_v0.4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onegate-support@banque-franc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pr.banque-france.fr/sites/default/files/media/2018/12/14/123._instruction_2015-i-18_version_consolidee.pdf" TargetMode="External"/><Relationship Id="rId17" Type="http://schemas.openxmlformats.org/officeDocument/2006/relationships/hyperlink" Target="https://esurfi-banque.banque-france.fr/sites/default/files/media/2023/06/14/das_manuel_utilisateurs_v1.5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anque-france.fr/fr/a-votre-service/certificats" TargetMode="External"/><Relationship Id="rId20" Type="http://schemas.openxmlformats.org/officeDocument/2006/relationships/hyperlink" Target="https://www.banque-france.fr/statistiques/portail-oneg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que-france.fr/fr/statistiques/outils-statistiques/espace-declarants/portail-onegat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ebgate.ec.europa.eu/tl-browser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surfi-banque.banque-france.fr/current/page-tableau-filtre/informations-techniques" TargetMode="External"/><Relationship Id="rId19" Type="http://schemas.openxmlformats.org/officeDocument/2006/relationships/hyperlink" Target="https://esurfi-banque.banque-france.fr/sites/default/files/media/2023/08/11/regles_de_remise_xbrl_r1_0_9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urfi-banque.banque-france.fr/current/news" TargetMode="External"/><Relationship Id="rId14" Type="http://schemas.openxmlformats.org/officeDocument/2006/relationships/hyperlink" Target="https://www.lsti-certification.fr/fr/eida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C737-D6EB-468D-9459-E20A67ED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BORDES</dc:creator>
  <cp:lastModifiedBy>NGO Sylvie (UA 2718)</cp:lastModifiedBy>
  <cp:revision>2</cp:revision>
  <cp:lastPrinted>2018-01-24T10:54:00Z</cp:lastPrinted>
  <dcterms:created xsi:type="dcterms:W3CDTF">2024-02-08T12:40:00Z</dcterms:created>
  <dcterms:modified xsi:type="dcterms:W3CDTF">2024-02-08T12:40:00Z</dcterms:modified>
</cp:coreProperties>
</file>