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BBF" w:rsidRDefault="002A2DED" w:rsidP="00F31431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Collecte Flux assurance-vie et épargne retraite </w:t>
      </w:r>
      <w:r w:rsidR="00021A14">
        <w:rPr>
          <w:b/>
          <w:color w:val="000000"/>
          <w:u w:val="single"/>
        </w:rPr>
        <w:t>2024</w:t>
      </w:r>
      <w:r>
        <w:rPr>
          <w:b/>
          <w:color w:val="000000"/>
          <w:u w:val="single"/>
        </w:rPr>
        <w:t> : i</w:t>
      </w:r>
      <w:r w:rsidRPr="009C6DB1">
        <w:rPr>
          <w:b/>
          <w:color w:val="000000"/>
          <w:u w:val="single"/>
        </w:rPr>
        <w:t>nformation importante sur l’évolution de la collecte</w:t>
      </w:r>
    </w:p>
    <w:p w:rsidR="00E74BBF" w:rsidRDefault="00E74BBF" w:rsidP="00477222">
      <w:pPr>
        <w:jc w:val="both"/>
      </w:pPr>
    </w:p>
    <w:p w:rsidR="009C6DB1" w:rsidRDefault="00DC62D7" w:rsidP="00477222">
      <w:pPr>
        <w:jc w:val="both"/>
        <w:rPr>
          <w:color w:val="000000"/>
        </w:rPr>
      </w:pPr>
      <w:r>
        <w:rPr>
          <w:color w:val="000000"/>
        </w:rPr>
        <w:t xml:space="preserve">La nouvelle instruction ACPR 2023-I-20 relative à la collecte des flux d’assurance-vie et d’épargne retraite va entrer en vigueur le </w:t>
      </w:r>
      <w:r>
        <w:rPr>
          <w:b/>
          <w:bCs/>
          <w:color w:val="000000"/>
        </w:rPr>
        <w:t>1</w:t>
      </w:r>
      <w:r>
        <w:rPr>
          <w:b/>
          <w:bCs/>
          <w:color w:val="000000"/>
          <w:vertAlign w:val="superscript"/>
        </w:rPr>
        <w:t>er</w:t>
      </w:r>
      <w:r w:rsidR="009C6DB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juillet 2024</w:t>
      </w:r>
      <w:r w:rsidRPr="00C54F9D">
        <w:rPr>
          <w:color w:val="000000"/>
        </w:rPr>
        <w:t>.</w:t>
      </w:r>
    </w:p>
    <w:p w:rsidR="00291E5F" w:rsidRDefault="00291E5F" w:rsidP="00477222">
      <w:pPr>
        <w:jc w:val="both"/>
        <w:rPr>
          <w:color w:val="000000"/>
        </w:rPr>
      </w:pPr>
    </w:p>
    <w:p w:rsidR="00291E5F" w:rsidRPr="00F47BF3" w:rsidRDefault="009C6DB1" w:rsidP="00477222">
      <w:pPr>
        <w:jc w:val="both"/>
        <w:rPr>
          <w:color w:val="000000"/>
          <w:highlight w:val="yellow"/>
        </w:rPr>
      </w:pPr>
      <w:r>
        <w:rPr>
          <w:color w:val="000000"/>
        </w:rPr>
        <w:t>Cette évolution engendrera l</w:t>
      </w:r>
      <w:r w:rsidR="005B3E19">
        <w:rPr>
          <w:color w:val="000000"/>
        </w:rPr>
        <w:t xml:space="preserve">’utilisation </w:t>
      </w:r>
      <w:r>
        <w:rPr>
          <w:color w:val="000000"/>
        </w:rPr>
        <w:t>d’une nouvelle maquette Excel</w:t>
      </w:r>
      <w:r w:rsidR="00291E5F">
        <w:rPr>
          <w:color w:val="000000"/>
        </w:rPr>
        <w:t xml:space="preserve"> disponible sur </w:t>
      </w:r>
      <w:proofErr w:type="spellStart"/>
      <w:r w:rsidR="00291E5F" w:rsidRPr="00021A14">
        <w:rPr>
          <w:bCs/>
        </w:rPr>
        <w:t>eSurfi</w:t>
      </w:r>
      <w:proofErr w:type="spellEnd"/>
      <w:r w:rsidR="005740E3" w:rsidRPr="00021A14">
        <w:rPr>
          <w:bCs/>
        </w:rPr>
        <w:t xml:space="preserve"> Assurance</w:t>
      </w:r>
      <w:r w:rsidR="00291E5F" w:rsidRPr="00291E5F">
        <w:rPr>
          <w:bCs/>
          <w:color w:val="000000"/>
        </w:rPr>
        <w:t xml:space="preserve"> </w:t>
      </w:r>
      <w:r w:rsidR="00F47BF3">
        <w:rPr>
          <w:bCs/>
          <w:color w:val="000000"/>
        </w:rPr>
        <w:t xml:space="preserve">sur la page </w:t>
      </w:r>
      <w:r w:rsidR="00F47BF3" w:rsidRPr="00F47BF3">
        <w:rPr>
          <w:bCs/>
          <w:color w:val="000000"/>
        </w:rPr>
        <w:t>États et notices - Flux assurance-vie et épargne retraite</w:t>
      </w:r>
      <w:r w:rsidR="00F47BF3">
        <w:rPr>
          <w:bCs/>
          <w:color w:val="000000"/>
        </w:rPr>
        <w:t xml:space="preserve"> : </w:t>
      </w:r>
      <w:bookmarkStart w:id="0" w:name="_GoBack"/>
      <w:bookmarkEnd w:id="0"/>
      <w:r w:rsidR="00F47BF3">
        <w:fldChar w:fldCharType="begin"/>
      </w:r>
      <w:r w:rsidR="00F47BF3">
        <w:instrText>HYPERLINK "https://www.esurfi.espaces2.banque-france.fr/fr/etats-et-notices-flux-assurance-vie-et-epargne-retraite"</w:instrText>
      </w:r>
      <w:r w:rsidR="00F47BF3">
        <w:fldChar w:fldCharType="separate"/>
      </w:r>
      <w:r w:rsidR="00F47BF3">
        <w:rPr>
          <w:rStyle w:val="Lienhypertexte"/>
        </w:rPr>
        <w:t>https://www.esurfi.espaces2.banque-france.fr/fr/etats-et-notices-flux-assurance-vie-et-epargne-retraite</w:t>
      </w:r>
      <w:r w:rsidR="00F47BF3">
        <w:fldChar w:fldCharType="end"/>
      </w:r>
      <w:r w:rsidR="00F47BF3">
        <w:rPr>
          <w:color w:val="000000"/>
          <w:highlight w:val="yellow"/>
        </w:rPr>
        <w:t>.</w:t>
      </w:r>
    </w:p>
    <w:p w:rsidR="00291E5F" w:rsidRDefault="00291E5F" w:rsidP="00477222">
      <w:pPr>
        <w:jc w:val="both"/>
        <w:rPr>
          <w:color w:val="000000"/>
        </w:rPr>
      </w:pPr>
    </w:p>
    <w:p w:rsidR="00BC6B69" w:rsidRDefault="00BC6B69" w:rsidP="00BC6B69">
      <w:pPr>
        <w:pStyle w:val="Paragraphedeliste"/>
        <w:numPr>
          <w:ilvl w:val="0"/>
          <w:numId w:val="2"/>
        </w:numPr>
        <w:jc w:val="both"/>
        <w:rPr>
          <w:color w:val="000000"/>
        </w:rPr>
      </w:pPr>
      <w:r>
        <w:rPr>
          <w:b/>
          <w:color w:val="000000"/>
        </w:rPr>
        <w:t>Ne pas modifier la maquette</w:t>
      </w:r>
    </w:p>
    <w:p w:rsidR="00477222" w:rsidRDefault="00291E5F" w:rsidP="00477222">
      <w:pPr>
        <w:jc w:val="both"/>
        <w:rPr>
          <w:color w:val="000000"/>
        </w:rPr>
      </w:pPr>
      <w:r>
        <w:rPr>
          <w:color w:val="000000"/>
        </w:rPr>
        <w:t xml:space="preserve">Pour rappel, il est important de ne pas modifier la structure de cette maquette </w:t>
      </w:r>
      <w:r w:rsidR="00021A14">
        <w:rPr>
          <w:color w:val="000000"/>
        </w:rPr>
        <w:t>car cela</w:t>
      </w:r>
      <w:r>
        <w:rPr>
          <w:color w:val="000000"/>
        </w:rPr>
        <w:t xml:space="preserve"> empêchera</w:t>
      </w:r>
      <w:r w:rsidR="005B3E19">
        <w:rPr>
          <w:color w:val="000000"/>
        </w:rPr>
        <w:t>it</w:t>
      </w:r>
      <w:r>
        <w:rPr>
          <w:color w:val="000000"/>
        </w:rPr>
        <w:t xml:space="preserve"> l’intégration des données dans nos systèmes.</w:t>
      </w:r>
    </w:p>
    <w:p w:rsidR="00091F62" w:rsidRDefault="00091F62" w:rsidP="00477222">
      <w:pPr>
        <w:jc w:val="both"/>
        <w:rPr>
          <w:color w:val="000000"/>
        </w:rPr>
      </w:pPr>
    </w:p>
    <w:p w:rsidR="00091F62" w:rsidRPr="00091F62" w:rsidRDefault="00091F62" w:rsidP="00091F62">
      <w:pPr>
        <w:pStyle w:val="Paragraphedeliste"/>
        <w:numPr>
          <w:ilvl w:val="0"/>
          <w:numId w:val="2"/>
        </w:numPr>
        <w:jc w:val="both"/>
        <w:rPr>
          <w:color w:val="000000"/>
        </w:rPr>
      </w:pPr>
      <w:r w:rsidRPr="00091F62">
        <w:rPr>
          <w:b/>
          <w:color w:val="000000"/>
        </w:rPr>
        <w:t>Information importante</w:t>
      </w:r>
      <w:r>
        <w:rPr>
          <w:b/>
          <w:color w:val="000000"/>
        </w:rPr>
        <w:t xml:space="preserve"> sur les données à déclarer</w:t>
      </w:r>
    </w:p>
    <w:p w:rsidR="00091F62" w:rsidRDefault="00175C41" w:rsidP="00021A14">
      <w:pPr>
        <w:pStyle w:val="Paragraphedeliste"/>
        <w:numPr>
          <w:ilvl w:val="0"/>
          <w:numId w:val="5"/>
        </w:numPr>
        <w:spacing w:after="40"/>
        <w:ind w:left="714" w:hanging="357"/>
        <w:jc w:val="both"/>
        <w:rPr>
          <w:color w:val="000000"/>
        </w:rPr>
      </w:pPr>
      <w:r>
        <w:rPr>
          <w:color w:val="000000"/>
        </w:rPr>
        <w:t xml:space="preserve">Le </w:t>
      </w:r>
      <w:r w:rsidR="00091F62" w:rsidRPr="00C86153">
        <w:rPr>
          <w:color w:val="000000"/>
        </w:rPr>
        <w:t>programme de chargement</w:t>
      </w:r>
      <w:r>
        <w:rPr>
          <w:color w:val="000000"/>
        </w:rPr>
        <w:t xml:space="preserve"> </w:t>
      </w:r>
      <w:r w:rsidR="00091F62" w:rsidRPr="00C86153">
        <w:rPr>
          <w:color w:val="000000"/>
        </w:rPr>
        <w:t xml:space="preserve">dans notre base de données fonctionne en </w:t>
      </w:r>
      <w:r w:rsidR="00091F62" w:rsidRPr="00021A14">
        <w:rPr>
          <w:b/>
          <w:color w:val="000000"/>
        </w:rPr>
        <w:t>« annule et remplace ».</w:t>
      </w:r>
      <w:r w:rsidR="00091F62" w:rsidRPr="00C86153">
        <w:rPr>
          <w:color w:val="000000"/>
        </w:rPr>
        <w:t xml:space="preserve"> </w:t>
      </w:r>
      <w:r>
        <w:rPr>
          <w:color w:val="000000"/>
        </w:rPr>
        <w:t>Ainsi, p</w:t>
      </w:r>
      <w:r w:rsidR="00091F62" w:rsidRPr="00C86153">
        <w:rPr>
          <w:color w:val="000000"/>
        </w:rPr>
        <w:t>our chaque remise envoyée vous devrez inclure l’ensemble des données hebdomadaires et/ou trimestrielles déjà déclarées ; avec si besoin vos corrections.</w:t>
      </w:r>
    </w:p>
    <w:p w:rsidR="00C86153" w:rsidRDefault="00C86153" w:rsidP="00C86153">
      <w:pPr>
        <w:pStyle w:val="Paragraphedeliste"/>
        <w:numPr>
          <w:ilvl w:val="0"/>
          <w:numId w:val="5"/>
        </w:numPr>
        <w:jc w:val="both"/>
        <w:rPr>
          <w:color w:val="000000"/>
        </w:rPr>
      </w:pPr>
      <w:r w:rsidRPr="00021A14">
        <w:rPr>
          <w:b/>
          <w:color w:val="000000"/>
        </w:rPr>
        <w:t>L’onglet « Sommaire »</w:t>
      </w:r>
      <w:r>
        <w:rPr>
          <w:color w:val="000000"/>
        </w:rPr>
        <w:t xml:space="preserve"> est à compléter </w:t>
      </w:r>
      <w:r w:rsidR="00175C41">
        <w:rPr>
          <w:color w:val="000000"/>
        </w:rPr>
        <w:t xml:space="preserve">pour les cellules en bleu. </w:t>
      </w:r>
    </w:p>
    <w:p w:rsidR="00076CE4" w:rsidRDefault="00175C41" w:rsidP="00175C41">
      <w:pPr>
        <w:pStyle w:val="Paragraphedeliste"/>
        <w:numPr>
          <w:ilvl w:val="1"/>
          <w:numId w:val="5"/>
        </w:numPr>
        <w:jc w:val="both"/>
        <w:rPr>
          <w:color w:val="000000"/>
        </w:rPr>
      </w:pPr>
      <w:r>
        <w:rPr>
          <w:color w:val="000000"/>
        </w:rPr>
        <w:t xml:space="preserve">Le LEI sera le seul identifiant de référence à renseigner sans espace ; sur 20 caractères et sans utiliser les séparateurs de milliers. </w:t>
      </w:r>
    </w:p>
    <w:p w:rsidR="00175C41" w:rsidRDefault="00175C41" w:rsidP="00076CE4">
      <w:pPr>
        <w:pStyle w:val="Paragraphedeliste"/>
        <w:ind w:left="1440"/>
        <w:jc w:val="both"/>
        <w:rPr>
          <w:color w:val="000000"/>
        </w:rPr>
      </w:pPr>
      <w:r w:rsidRPr="00175C41">
        <w:rPr>
          <w:color w:val="000000"/>
        </w:rPr>
        <w:t>Ex</w:t>
      </w:r>
      <w:r w:rsidR="00076CE4">
        <w:rPr>
          <w:color w:val="000000"/>
        </w:rPr>
        <w:t>emple</w:t>
      </w:r>
      <w:r w:rsidRPr="00175C41">
        <w:rPr>
          <w:color w:val="000000"/>
        </w:rPr>
        <w:t> : 31</w:t>
      </w:r>
      <w:r>
        <w:rPr>
          <w:color w:val="000000"/>
        </w:rPr>
        <w:t xml:space="preserve"> </w:t>
      </w:r>
      <w:r w:rsidRPr="00175C41">
        <w:rPr>
          <w:color w:val="000000"/>
        </w:rPr>
        <w:t>499 959</w:t>
      </w:r>
      <w:r>
        <w:rPr>
          <w:color w:val="000000"/>
        </w:rPr>
        <w:t> 123 456 789 012</w:t>
      </w:r>
      <w:r w:rsidRPr="00175C41">
        <w:rPr>
          <w:color w:val="000000"/>
        </w:rPr>
        <w:t xml:space="preserve">=&gt; </w:t>
      </w:r>
      <w:r>
        <w:rPr>
          <w:color w:val="000000"/>
        </w:rPr>
        <w:t>31499</w:t>
      </w:r>
      <w:r w:rsidRPr="00175C41">
        <w:rPr>
          <w:color w:val="000000"/>
        </w:rPr>
        <w:t>959</w:t>
      </w:r>
      <w:r>
        <w:rPr>
          <w:color w:val="000000"/>
        </w:rPr>
        <w:t>123456789012</w:t>
      </w:r>
    </w:p>
    <w:p w:rsidR="00175C41" w:rsidRDefault="00175C41" w:rsidP="00175C41">
      <w:pPr>
        <w:pStyle w:val="Paragraphedeliste"/>
        <w:numPr>
          <w:ilvl w:val="1"/>
          <w:numId w:val="5"/>
        </w:numPr>
        <w:jc w:val="both"/>
        <w:rPr>
          <w:color w:val="000000"/>
        </w:rPr>
      </w:pPr>
      <w:r>
        <w:rPr>
          <w:color w:val="000000"/>
        </w:rPr>
        <w:t>Si plusieurs adresses électroniques sont à renseigner, il faudra un point-virgule « ; » pour les séparer.</w:t>
      </w:r>
    </w:p>
    <w:p w:rsidR="00175C41" w:rsidRPr="00C86153" w:rsidRDefault="00175C41" w:rsidP="00175C41">
      <w:pPr>
        <w:pStyle w:val="Paragraphedeliste"/>
        <w:jc w:val="both"/>
        <w:rPr>
          <w:color w:val="000000"/>
        </w:rPr>
      </w:pPr>
    </w:p>
    <w:tbl>
      <w:tblPr>
        <w:tblW w:w="83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1"/>
        <w:gridCol w:w="5271"/>
        <w:gridCol w:w="1916"/>
      </w:tblGrid>
      <w:tr w:rsidR="00175C41" w:rsidRPr="00D66281" w:rsidTr="00FD6CD9">
        <w:trPr>
          <w:trHeight w:val="232"/>
          <w:jc w:val="center"/>
        </w:trPr>
        <w:tc>
          <w:tcPr>
            <w:tcW w:w="8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CCFF"/>
            <w:noWrap/>
            <w:vAlign w:val="center"/>
            <w:hideMark/>
          </w:tcPr>
          <w:p w:rsidR="00175C41" w:rsidRPr="00D66281" w:rsidRDefault="00175C41" w:rsidP="00F8503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6628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Les cases en bleu sont à renseigner (une fois pour toutes sauf changement)</w:t>
            </w:r>
          </w:p>
        </w:tc>
      </w:tr>
      <w:tr w:rsidR="00175C41" w:rsidRPr="00D66281" w:rsidTr="00FD6CD9">
        <w:trPr>
          <w:trHeight w:val="232"/>
          <w:jc w:val="center"/>
        </w:trPr>
        <w:tc>
          <w:tcPr>
            <w:tcW w:w="8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bottom"/>
            <w:hideMark/>
          </w:tcPr>
          <w:p w:rsidR="00175C41" w:rsidRPr="00D66281" w:rsidRDefault="00175C41" w:rsidP="00F85037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662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case en orange est à renseigner en début d'année</w:t>
            </w:r>
          </w:p>
        </w:tc>
      </w:tr>
      <w:tr w:rsidR="00175C41" w:rsidRPr="00D66281" w:rsidTr="00FD6CD9">
        <w:trPr>
          <w:trHeight w:val="232"/>
          <w:jc w:val="center"/>
        </w:trPr>
        <w:tc>
          <w:tcPr>
            <w:tcW w:w="8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175C41" w:rsidRPr="00D66281" w:rsidRDefault="00175C41" w:rsidP="00F85037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6628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case en jaune se remplit automatiquement</w:t>
            </w:r>
          </w:p>
        </w:tc>
      </w:tr>
      <w:tr w:rsidR="00175C41" w:rsidRPr="00D66281" w:rsidTr="00FD6CD9">
        <w:trPr>
          <w:trHeight w:val="232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1" w:rsidRPr="00D66281" w:rsidRDefault="00175C41" w:rsidP="00F85037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1" w:rsidRPr="00D66281" w:rsidRDefault="00175C41" w:rsidP="00F850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1" w:rsidRPr="00D66281" w:rsidRDefault="00175C41" w:rsidP="00F850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75C41" w:rsidRPr="00D66281" w:rsidTr="00FD6CD9">
        <w:trPr>
          <w:trHeight w:val="432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1" w:rsidRPr="00D66281" w:rsidRDefault="00175C41" w:rsidP="00F850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C41" w:rsidRPr="00D66281" w:rsidRDefault="00175C41" w:rsidP="00F8503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D66281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fr-FR"/>
              </w:rPr>
              <w:t>Assurance Vie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1" w:rsidRPr="00D66281" w:rsidRDefault="00175C41" w:rsidP="00F8503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fr-FR"/>
              </w:rPr>
            </w:pPr>
          </w:p>
        </w:tc>
      </w:tr>
      <w:tr w:rsidR="00175C41" w:rsidRPr="00D66281" w:rsidTr="00FD6CD9">
        <w:trPr>
          <w:trHeight w:val="232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1" w:rsidRPr="00D66281" w:rsidRDefault="00175C41" w:rsidP="00F850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1" w:rsidRPr="00D66281" w:rsidRDefault="00175C41" w:rsidP="00F850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1" w:rsidRPr="00D66281" w:rsidRDefault="00175C41" w:rsidP="00F850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75C41" w:rsidRPr="00D66281" w:rsidTr="00FD6CD9">
        <w:trPr>
          <w:trHeight w:val="232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1" w:rsidRPr="00D66281" w:rsidRDefault="00175C41" w:rsidP="00F850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C41" w:rsidRPr="00D66281" w:rsidRDefault="00175C41" w:rsidP="00F8503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6628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Identifier type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00CCFF"/>
            <w:noWrap/>
            <w:vAlign w:val="center"/>
            <w:hideMark/>
          </w:tcPr>
          <w:p w:rsidR="00175C41" w:rsidRPr="00D66281" w:rsidRDefault="00175C41" w:rsidP="00F8503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6628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LEI</w:t>
            </w:r>
          </w:p>
        </w:tc>
      </w:tr>
      <w:tr w:rsidR="00175C41" w:rsidRPr="00D66281" w:rsidTr="00FD6CD9">
        <w:trPr>
          <w:trHeight w:val="232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1" w:rsidRPr="00D66281" w:rsidRDefault="00175C41" w:rsidP="00F8503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C41" w:rsidRPr="00D66281" w:rsidRDefault="00175C41" w:rsidP="00F8503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6628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Identifier Code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00CCFF"/>
            <w:noWrap/>
            <w:vAlign w:val="center"/>
            <w:hideMark/>
          </w:tcPr>
          <w:p w:rsidR="00175C41" w:rsidRPr="00D66281" w:rsidRDefault="00175C41" w:rsidP="00F8503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6628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75C41" w:rsidRPr="00D66281" w:rsidTr="00FD6CD9">
        <w:trPr>
          <w:trHeight w:val="232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1" w:rsidRPr="00D66281" w:rsidRDefault="00175C41" w:rsidP="00F8503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C41" w:rsidRPr="00D66281" w:rsidRDefault="00175C41" w:rsidP="00F8503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6628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Année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B084"/>
            <w:noWrap/>
            <w:vAlign w:val="center"/>
            <w:hideMark/>
          </w:tcPr>
          <w:p w:rsidR="00175C41" w:rsidRPr="00D66281" w:rsidRDefault="00175C41" w:rsidP="00F8503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6628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2024</w:t>
            </w:r>
          </w:p>
        </w:tc>
      </w:tr>
      <w:tr w:rsidR="00175C41" w:rsidRPr="00D66281" w:rsidTr="00FD6CD9">
        <w:trPr>
          <w:trHeight w:val="232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1" w:rsidRPr="00D66281" w:rsidRDefault="00175C41" w:rsidP="00F8503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1" w:rsidRPr="00D66281" w:rsidRDefault="00175C41" w:rsidP="00F850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1" w:rsidRPr="00D66281" w:rsidRDefault="00175C41" w:rsidP="00F850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75C41" w:rsidRPr="00D66281" w:rsidTr="00FD6CD9">
        <w:trPr>
          <w:trHeight w:val="232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1" w:rsidRPr="00D66281" w:rsidRDefault="00175C41" w:rsidP="00F850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C41" w:rsidRPr="00D66281" w:rsidRDefault="00175C41" w:rsidP="00F8503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D662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Additional</w:t>
            </w:r>
            <w:proofErr w:type="spellEnd"/>
            <w:r w:rsidRPr="00D662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Information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014B83"/>
            <w:noWrap/>
            <w:vAlign w:val="center"/>
            <w:hideMark/>
          </w:tcPr>
          <w:p w:rsidR="00175C41" w:rsidRPr="00D66281" w:rsidRDefault="00175C41" w:rsidP="00F8503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</w:pPr>
            <w:r w:rsidRPr="00D66281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C0010</w:t>
            </w:r>
          </w:p>
        </w:tc>
      </w:tr>
      <w:tr w:rsidR="00175C41" w:rsidRPr="00D66281" w:rsidTr="00FD6CD9">
        <w:trPr>
          <w:trHeight w:val="232"/>
          <w:jc w:val="center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014B83"/>
            <w:noWrap/>
            <w:vAlign w:val="center"/>
            <w:hideMark/>
          </w:tcPr>
          <w:p w:rsidR="00175C41" w:rsidRPr="00D66281" w:rsidRDefault="00175C41" w:rsidP="00F8503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</w:pPr>
            <w:r w:rsidRPr="00D66281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R0010</w:t>
            </w:r>
          </w:p>
        </w:tc>
        <w:tc>
          <w:tcPr>
            <w:tcW w:w="52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C41" w:rsidRPr="00D66281" w:rsidRDefault="00175C41" w:rsidP="00F8503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6628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Nom de l'organisme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00CCFF"/>
            <w:noWrap/>
            <w:vAlign w:val="center"/>
            <w:hideMark/>
          </w:tcPr>
          <w:p w:rsidR="00175C41" w:rsidRPr="00D66281" w:rsidRDefault="00175C41" w:rsidP="00F8503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6628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75C41" w:rsidRPr="00D66281" w:rsidTr="00FD6CD9">
        <w:trPr>
          <w:trHeight w:val="232"/>
          <w:jc w:val="center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014B83"/>
            <w:noWrap/>
            <w:vAlign w:val="center"/>
            <w:hideMark/>
          </w:tcPr>
          <w:p w:rsidR="00175C41" w:rsidRPr="00D66281" w:rsidRDefault="00175C41" w:rsidP="00F8503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</w:pPr>
            <w:r w:rsidRPr="00D66281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R0030</w:t>
            </w:r>
          </w:p>
        </w:tc>
        <w:tc>
          <w:tcPr>
            <w:tcW w:w="52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C41" w:rsidRPr="00D66281" w:rsidRDefault="00175C41" w:rsidP="00F8503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6628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Adresse électronique du contact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00CCFF"/>
            <w:noWrap/>
            <w:vAlign w:val="center"/>
            <w:hideMark/>
          </w:tcPr>
          <w:p w:rsidR="00175C41" w:rsidRPr="00D66281" w:rsidRDefault="00175C41" w:rsidP="00F8503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6628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75C41" w:rsidRPr="00D66281" w:rsidTr="00FD6CD9">
        <w:trPr>
          <w:trHeight w:val="263"/>
          <w:jc w:val="center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14B83"/>
            <w:noWrap/>
            <w:vAlign w:val="center"/>
            <w:hideMark/>
          </w:tcPr>
          <w:p w:rsidR="00175C41" w:rsidRPr="00D66281" w:rsidRDefault="00175C41" w:rsidP="00F85037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</w:pPr>
            <w:r w:rsidRPr="00D66281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R0040</w:t>
            </w:r>
          </w:p>
        </w:tc>
        <w:tc>
          <w:tcPr>
            <w:tcW w:w="52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5C41" w:rsidRPr="00D66281" w:rsidRDefault="00175C41" w:rsidP="00F8503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6628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Date de remise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5C41" w:rsidRPr="00D66281" w:rsidRDefault="00175C41" w:rsidP="00F85037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</w:pPr>
            <w:r w:rsidRPr="00D6628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  <w:t>31/12/2024</w:t>
            </w:r>
          </w:p>
        </w:tc>
      </w:tr>
    </w:tbl>
    <w:p w:rsidR="00B32A23" w:rsidRPr="00F35BA0" w:rsidRDefault="00B32A23" w:rsidP="00B32A23">
      <w:pPr>
        <w:pStyle w:val="Paragraphedeliste"/>
        <w:numPr>
          <w:ilvl w:val="0"/>
          <w:numId w:val="5"/>
        </w:numPr>
        <w:spacing w:before="120"/>
        <w:ind w:left="714" w:hanging="357"/>
        <w:jc w:val="both"/>
        <w:rPr>
          <w:color w:val="000000"/>
        </w:rPr>
      </w:pPr>
      <w:r w:rsidRPr="00021A14">
        <w:rPr>
          <w:b/>
          <w:color w:val="000000"/>
        </w:rPr>
        <w:t xml:space="preserve">L’onglet </w:t>
      </w:r>
      <w:r>
        <w:rPr>
          <w:b/>
          <w:color w:val="000000"/>
        </w:rPr>
        <w:t xml:space="preserve">de données </w:t>
      </w:r>
      <w:r w:rsidRPr="00021A14">
        <w:rPr>
          <w:b/>
          <w:color w:val="000000"/>
        </w:rPr>
        <w:t>« </w:t>
      </w:r>
      <w:r>
        <w:rPr>
          <w:b/>
          <w:color w:val="000000"/>
        </w:rPr>
        <w:t>TB01</w:t>
      </w:r>
      <w:r w:rsidRPr="00021A14">
        <w:rPr>
          <w:b/>
          <w:color w:val="000000"/>
        </w:rPr>
        <w:t> »</w:t>
      </w:r>
      <w:r>
        <w:rPr>
          <w:color w:val="000000"/>
        </w:rPr>
        <w:t> contient à la fois les données hebdomadaires et trimestrielles. Vous ne devez compléter que les données vous concernant en laiss</w:t>
      </w:r>
      <w:r w:rsidR="004A47B5">
        <w:rPr>
          <w:color w:val="000000"/>
        </w:rPr>
        <w:t xml:space="preserve">ant à vide les autres cellules. </w:t>
      </w:r>
      <w:r w:rsidR="004A47B5" w:rsidRPr="004A47B5">
        <w:rPr>
          <w:color w:val="000000"/>
        </w:rPr>
        <w:t>Les nombre</w:t>
      </w:r>
      <w:r w:rsidR="004A47B5">
        <w:rPr>
          <w:color w:val="000000"/>
        </w:rPr>
        <w:t>s</w:t>
      </w:r>
      <w:r w:rsidR="00D65616">
        <w:rPr>
          <w:color w:val="000000"/>
        </w:rPr>
        <w:t xml:space="preserve"> décimaux </w:t>
      </w:r>
      <w:r w:rsidR="004A47B5" w:rsidRPr="004A47B5">
        <w:rPr>
          <w:color w:val="000000"/>
        </w:rPr>
        <w:t>devront être séparés par une virgule.</w:t>
      </w:r>
      <w:r w:rsidR="004A47B5" w:rsidRPr="004A47B5">
        <w:rPr>
          <w:b/>
          <w:color w:val="000000"/>
        </w:rPr>
        <w:t xml:space="preserve"> </w:t>
      </w:r>
      <w:r w:rsidR="004A47B5" w:rsidRPr="00D528BB">
        <w:rPr>
          <w:b/>
          <w:color w:val="000000"/>
        </w:rPr>
        <w:t>Les données seront à renseigner en Euro.</w:t>
      </w:r>
    </w:p>
    <w:p w:rsidR="00851377" w:rsidRDefault="00F35BA0" w:rsidP="00851377">
      <w:pPr>
        <w:pStyle w:val="Paragraphedeliste"/>
        <w:numPr>
          <w:ilvl w:val="0"/>
          <w:numId w:val="6"/>
        </w:numPr>
        <w:spacing w:before="120"/>
        <w:ind w:left="714" w:hanging="357"/>
        <w:jc w:val="both"/>
        <w:rPr>
          <w:color w:val="000000"/>
        </w:rPr>
      </w:pPr>
      <w:r>
        <w:rPr>
          <w:b/>
          <w:color w:val="000000"/>
        </w:rPr>
        <w:t xml:space="preserve">Nom </w:t>
      </w:r>
      <w:r w:rsidR="007517C9">
        <w:rPr>
          <w:b/>
          <w:color w:val="000000"/>
        </w:rPr>
        <w:t>de la maquette</w:t>
      </w:r>
      <w:r>
        <w:rPr>
          <w:b/>
          <w:color w:val="000000"/>
        </w:rPr>
        <w:t xml:space="preserve"> : </w:t>
      </w:r>
      <w:r w:rsidR="00851377">
        <w:rPr>
          <w:color w:val="000000"/>
        </w:rPr>
        <w:t xml:space="preserve">le fichier devra être nommé comme suit </w:t>
      </w:r>
      <w:r w:rsidR="00851377">
        <w:rPr>
          <w:b/>
        </w:rPr>
        <w:t>« </w:t>
      </w:r>
      <w:r w:rsidR="003E5D4E">
        <w:rPr>
          <w:b/>
          <w:bCs/>
        </w:rPr>
        <w:t>FluxAAAA_Sss_LEI.xlsx » ou</w:t>
      </w:r>
      <w:r w:rsidR="00851377">
        <w:rPr>
          <w:b/>
          <w:bCs/>
        </w:rPr>
        <w:t xml:space="preserve"> </w:t>
      </w:r>
      <w:r w:rsidR="00851377">
        <w:rPr>
          <w:b/>
        </w:rPr>
        <w:t>« </w:t>
      </w:r>
      <w:r w:rsidR="00851377">
        <w:rPr>
          <w:b/>
          <w:bCs/>
        </w:rPr>
        <w:t xml:space="preserve">FluxAAAA_Ttt_LEI.xlsx » (elle devra être utilisée à la fois pour </w:t>
      </w:r>
      <w:r w:rsidR="00851377">
        <w:rPr>
          <w:b/>
          <w:color w:val="000000"/>
        </w:rPr>
        <w:t>les données hebdomadaires et</w:t>
      </w:r>
      <w:r w:rsidR="003E5D4E">
        <w:rPr>
          <w:b/>
          <w:color w:val="000000"/>
        </w:rPr>
        <w:t>/ou</w:t>
      </w:r>
      <w:r w:rsidR="00851377">
        <w:rPr>
          <w:b/>
          <w:color w:val="000000"/>
        </w:rPr>
        <w:t xml:space="preserve"> trimestrielles)</w:t>
      </w:r>
      <w:r w:rsidR="00851377">
        <w:rPr>
          <w:b/>
          <w:bCs/>
        </w:rPr>
        <w:t>.</w:t>
      </w:r>
      <w:r w:rsidR="00851377">
        <w:t> </w:t>
      </w:r>
    </w:p>
    <w:p w:rsidR="00B32A23" w:rsidRDefault="00B32A23" w:rsidP="00477222">
      <w:pPr>
        <w:jc w:val="both"/>
        <w:rPr>
          <w:color w:val="000000"/>
        </w:rPr>
      </w:pPr>
    </w:p>
    <w:p w:rsidR="00BC6B69" w:rsidRDefault="00BC6B69" w:rsidP="00BC6B69">
      <w:pPr>
        <w:pStyle w:val="Paragraphedeliste"/>
        <w:numPr>
          <w:ilvl w:val="0"/>
          <w:numId w:val="2"/>
        </w:numPr>
        <w:jc w:val="both"/>
        <w:rPr>
          <w:color w:val="000000"/>
        </w:rPr>
      </w:pPr>
      <w:r>
        <w:rPr>
          <w:b/>
          <w:color w:val="000000"/>
        </w:rPr>
        <w:t>Planning d’utilisation des maquettes</w:t>
      </w:r>
    </w:p>
    <w:p w:rsidR="00BC6B69" w:rsidRDefault="00BC6B69" w:rsidP="00BC6B69">
      <w:pPr>
        <w:pStyle w:val="Paragraphedeliste"/>
        <w:numPr>
          <w:ilvl w:val="0"/>
          <w:numId w:val="3"/>
        </w:numPr>
        <w:jc w:val="both"/>
        <w:rPr>
          <w:color w:val="000000"/>
        </w:rPr>
      </w:pPr>
      <w:r w:rsidRPr="00091F62">
        <w:rPr>
          <w:b/>
          <w:color w:val="000000"/>
        </w:rPr>
        <w:t>Ancienne maquette</w:t>
      </w:r>
      <w:r w:rsidR="00091F62">
        <w:rPr>
          <w:b/>
          <w:color w:val="000000"/>
        </w:rPr>
        <w:t> :</w:t>
      </w:r>
      <w:r w:rsidRPr="00BC6B69">
        <w:rPr>
          <w:color w:val="000000"/>
        </w:rPr>
        <w:t xml:space="preserve"> </w:t>
      </w:r>
      <w:r>
        <w:rPr>
          <w:color w:val="000000"/>
        </w:rPr>
        <w:t xml:space="preserve">à envoyer </w:t>
      </w:r>
      <w:r w:rsidRPr="00BC6B69">
        <w:rPr>
          <w:color w:val="000000"/>
        </w:rPr>
        <w:t>avec les données de la semaine 25</w:t>
      </w:r>
      <w:r w:rsidR="00A538A6">
        <w:rPr>
          <w:color w:val="000000"/>
        </w:rPr>
        <w:t xml:space="preserve"> (S25) au plus tard le 28/06/2024</w:t>
      </w:r>
    </w:p>
    <w:p w:rsidR="00A538A6" w:rsidRDefault="00BC6B69" w:rsidP="00BC6B69">
      <w:pPr>
        <w:pStyle w:val="Paragraphedeliste"/>
        <w:numPr>
          <w:ilvl w:val="0"/>
          <w:numId w:val="3"/>
        </w:numPr>
        <w:jc w:val="both"/>
        <w:rPr>
          <w:color w:val="000000"/>
        </w:rPr>
      </w:pPr>
      <w:r w:rsidRPr="00091F62">
        <w:rPr>
          <w:b/>
          <w:color w:val="000000"/>
        </w:rPr>
        <w:t>Nouvelle maquette</w:t>
      </w:r>
      <w:r w:rsidR="00A538A6">
        <w:rPr>
          <w:color w:val="000000"/>
        </w:rPr>
        <w:t> </w:t>
      </w:r>
      <w:r w:rsidR="00A538A6" w:rsidRPr="00091F62">
        <w:rPr>
          <w:b/>
          <w:color w:val="000000"/>
        </w:rPr>
        <w:t>:</w:t>
      </w:r>
    </w:p>
    <w:p w:rsidR="00A34326" w:rsidRPr="00A34326" w:rsidRDefault="00251D02" w:rsidP="007C59E5">
      <w:pPr>
        <w:pStyle w:val="Paragraphedeliste"/>
        <w:numPr>
          <w:ilvl w:val="1"/>
          <w:numId w:val="5"/>
        </w:numPr>
        <w:spacing w:after="120"/>
        <w:ind w:left="1434" w:hanging="357"/>
        <w:jc w:val="both"/>
      </w:pPr>
      <w:r>
        <w:rPr>
          <w:b/>
        </w:rPr>
        <w:lastRenderedPageBreak/>
        <w:t>D</w:t>
      </w:r>
      <w:r w:rsidRPr="00251D02">
        <w:rPr>
          <w:b/>
        </w:rPr>
        <w:t>onnées hebdomadaires</w:t>
      </w:r>
      <w:r>
        <w:rPr>
          <w:b/>
        </w:rPr>
        <w:t> </w:t>
      </w:r>
      <w:r>
        <w:t xml:space="preserve">: </w:t>
      </w:r>
      <w:r w:rsidR="00346B56">
        <w:t>la nouvelle maquette devra contenir l’historique des semaines 23 à 26 incluses et sera à remettre au plus tard le 05 juillet 2024</w:t>
      </w:r>
      <w:r w:rsidR="00A34326" w:rsidRPr="00A34326">
        <w:t>.</w:t>
      </w:r>
    </w:p>
    <w:p w:rsidR="00A538A6" w:rsidRPr="007C59E5" w:rsidRDefault="00A538A6" w:rsidP="007C59E5">
      <w:pPr>
        <w:pStyle w:val="Paragraphedeliste"/>
        <w:numPr>
          <w:ilvl w:val="1"/>
          <w:numId w:val="5"/>
        </w:numPr>
        <w:spacing w:after="120"/>
        <w:ind w:left="1434" w:hanging="357"/>
        <w:jc w:val="both"/>
        <w:rPr>
          <w:color w:val="000000"/>
        </w:rPr>
      </w:pPr>
      <w:r w:rsidRPr="00251D02">
        <w:rPr>
          <w:rFonts w:eastAsia="Times New Roman"/>
          <w:b/>
          <w:color w:val="000000"/>
          <w:lang w:eastAsia="fr-FR"/>
        </w:rPr>
        <w:t>Données trimestrielles</w:t>
      </w:r>
      <w:r>
        <w:t xml:space="preserve"> : </w:t>
      </w:r>
      <w:r w:rsidR="00E42A38">
        <w:t>contenant</w:t>
      </w:r>
      <w:r>
        <w:t xml:space="preserve"> les données T1 et T2 inclus</w:t>
      </w:r>
      <w:r w:rsidR="00A34326">
        <w:t>es</w:t>
      </w:r>
      <w:r>
        <w:t xml:space="preserve"> seront remises au plus tard le 30 juillet 2024</w:t>
      </w:r>
      <w:r w:rsidR="00A82DF8">
        <w:t>.</w:t>
      </w:r>
    </w:p>
    <w:p w:rsidR="007C59E5" w:rsidRPr="00021A14" w:rsidRDefault="007C59E5" w:rsidP="007C59E5">
      <w:pPr>
        <w:pStyle w:val="Paragraphedeliste"/>
        <w:spacing w:after="120"/>
        <w:ind w:left="1434"/>
        <w:jc w:val="both"/>
        <w:rPr>
          <w:color w:val="000000"/>
        </w:rPr>
      </w:pPr>
    </w:p>
    <w:p w:rsidR="00A538A6" w:rsidRPr="00A538A6" w:rsidRDefault="00A538A6" w:rsidP="00A538A6">
      <w:pPr>
        <w:pStyle w:val="Paragraphedeliste"/>
        <w:numPr>
          <w:ilvl w:val="0"/>
          <w:numId w:val="2"/>
        </w:numPr>
        <w:jc w:val="both"/>
        <w:rPr>
          <w:b/>
          <w:color w:val="000000"/>
        </w:rPr>
      </w:pPr>
      <w:r>
        <w:rPr>
          <w:b/>
          <w:color w:val="000000"/>
        </w:rPr>
        <w:t>Informations importantes à consulter</w:t>
      </w:r>
    </w:p>
    <w:p w:rsidR="009C6DB1" w:rsidRDefault="00291E5F" w:rsidP="00477222">
      <w:pPr>
        <w:jc w:val="both"/>
      </w:pPr>
      <w:r>
        <w:rPr>
          <w:color w:val="000000"/>
        </w:rPr>
        <w:t>U</w:t>
      </w:r>
      <w:r w:rsidR="009C6DB1">
        <w:rPr>
          <w:color w:val="000000"/>
        </w:rPr>
        <w:t>ne communication par e-mail vous a été envoyée par l</w:t>
      </w:r>
      <w:r w:rsidR="009C6DB1">
        <w:t xml:space="preserve">e Service d’Études, de Statistiques et de Documentation de l’ACPR le 6 mai 2024 avec l’objet </w:t>
      </w:r>
      <w:r w:rsidR="009C6DB1" w:rsidRPr="00D006F2">
        <w:rPr>
          <w:i/>
        </w:rPr>
        <w:t>« Nouvelle instruction ACPR 2023-I-20 relative à la collecte des flux d’assurance-vie et d’épargne retraite : Informations ».</w:t>
      </w:r>
    </w:p>
    <w:p w:rsidR="009C6DB1" w:rsidRDefault="009C6DB1" w:rsidP="00477222">
      <w:pPr>
        <w:jc w:val="both"/>
      </w:pPr>
      <w:r>
        <w:t>Nous vous demandons de bien vouloir en prendre connaissance.</w:t>
      </w:r>
    </w:p>
    <w:p w:rsidR="00A538A6" w:rsidRDefault="00A538A6" w:rsidP="00147EF7">
      <w:pPr>
        <w:rPr>
          <w:color w:val="000000"/>
        </w:rPr>
      </w:pPr>
    </w:p>
    <w:p w:rsidR="00A538A6" w:rsidRDefault="00A538A6" w:rsidP="00A538A6">
      <w:pPr>
        <w:pStyle w:val="Paragraphedeliste"/>
        <w:numPr>
          <w:ilvl w:val="0"/>
          <w:numId w:val="2"/>
        </w:numPr>
        <w:jc w:val="both"/>
        <w:rPr>
          <w:color w:val="000000"/>
        </w:rPr>
      </w:pPr>
      <w:r>
        <w:rPr>
          <w:b/>
          <w:color w:val="000000"/>
        </w:rPr>
        <w:t>Contacts</w:t>
      </w:r>
    </w:p>
    <w:p w:rsidR="005B3E19" w:rsidRPr="00A538A6" w:rsidRDefault="005B3E19" w:rsidP="00A538A6">
      <w:pPr>
        <w:pStyle w:val="Paragraphedeliste"/>
        <w:numPr>
          <w:ilvl w:val="0"/>
          <w:numId w:val="4"/>
        </w:numPr>
        <w:rPr>
          <w:color w:val="000000"/>
        </w:rPr>
      </w:pPr>
      <w:r w:rsidRPr="00A538A6">
        <w:rPr>
          <w:color w:val="000000"/>
        </w:rPr>
        <w:t xml:space="preserve">Si vous avez des questions relatives à la nouvelle instruction, l’utilisation de la nouvelle maquette ou le contenu, merci de vous adresser à l’équipe : </w:t>
      </w:r>
      <w:hyperlink r:id="rId5" w:history="1">
        <w:r w:rsidR="00147EF7" w:rsidRPr="00462B48">
          <w:rPr>
            <w:rStyle w:val="Lienhypertexte"/>
          </w:rPr>
          <w:t>donnees-banques@acpr.banque-france.fr</w:t>
        </w:r>
      </w:hyperlink>
      <w:r w:rsidR="00147EF7" w:rsidRPr="00A538A6">
        <w:rPr>
          <w:rStyle w:val="Lienhypertexte"/>
          <w:u w:val="none"/>
        </w:rPr>
        <w:t xml:space="preserve"> </w:t>
      </w:r>
    </w:p>
    <w:p w:rsidR="00DC62D7" w:rsidRDefault="00DC62D7" w:rsidP="00A538A6">
      <w:pPr>
        <w:pStyle w:val="Paragraphedeliste"/>
        <w:numPr>
          <w:ilvl w:val="0"/>
          <w:numId w:val="4"/>
        </w:numPr>
      </w:pPr>
      <w:r>
        <w:t xml:space="preserve">Le </w:t>
      </w:r>
      <w:r w:rsidR="00DA63E5">
        <w:t>dépôt de vos collectes</w:t>
      </w:r>
      <w:r>
        <w:t xml:space="preserve"> continuera à se faire </w:t>
      </w:r>
      <w:r w:rsidR="009C6DB1">
        <w:t>par e-mail à</w:t>
      </w:r>
      <w:r>
        <w:t xml:space="preserve"> l’adresse habituelle : </w:t>
      </w:r>
      <w:hyperlink r:id="rId6" w:history="1">
        <w:r w:rsidR="00147EF7" w:rsidRPr="00462B48">
          <w:rPr>
            <w:rStyle w:val="Lienhypertexte"/>
          </w:rPr>
          <w:t>Suiviflux@acpr.banque-france.fr</w:t>
        </w:r>
      </w:hyperlink>
    </w:p>
    <w:p w:rsidR="00DC62D7" w:rsidRDefault="00DC62D7" w:rsidP="00DA63E5"/>
    <w:p w:rsidR="00165B41" w:rsidRDefault="00165B41" w:rsidP="00DA63E5">
      <w:r>
        <w:t>Nous vous remercions par avance pour votre collaboration afin que cette évolution de collecte se fasse dans les meilleures conditions possibles.</w:t>
      </w:r>
    </w:p>
    <w:p w:rsidR="00165B41" w:rsidRDefault="00165B41" w:rsidP="00DA63E5"/>
    <w:p w:rsidR="00DC62D7" w:rsidRDefault="00DC62D7" w:rsidP="004842F5">
      <w:pPr>
        <w:spacing w:after="120"/>
      </w:pPr>
      <w:r>
        <w:t>Cordialement,</w:t>
      </w:r>
    </w:p>
    <w:tbl>
      <w:tblPr>
        <w:tblW w:w="74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5670"/>
      </w:tblGrid>
      <w:tr w:rsidR="0062507F" w:rsidTr="00F85037">
        <w:trPr>
          <w:trHeight w:val="1485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07F" w:rsidRDefault="0062507F" w:rsidP="00F85037">
            <w:pPr>
              <w:rPr>
                <w:rFonts w:ascii="Arial" w:eastAsiaTheme="minorEastAsia" w:hAnsi="Arial" w:cs="Arial"/>
                <w:noProof/>
                <w:color w:val="1F497D"/>
                <w:sz w:val="20"/>
                <w:szCs w:val="20"/>
                <w:lang w:eastAsia="fr-FR"/>
              </w:rPr>
            </w:pPr>
            <w:r>
              <w:rPr>
                <w:rFonts w:ascii="Arial" w:eastAsiaTheme="minorEastAsia" w:hAnsi="Arial" w:cs="Arial"/>
                <w:noProof/>
                <w:color w:val="1F497D"/>
                <w:sz w:val="20"/>
                <w:szCs w:val="20"/>
                <w:lang w:eastAsia="fr-FR"/>
              </w:rPr>
              <w:drawing>
                <wp:inline distT="0" distB="0" distL="0" distR="0" wp14:anchorId="2EC7F073" wp14:editId="47603A9A">
                  <wp:extent cx="992254" cy="97393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CPR_logo_650x650px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254" cy="973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07F" w:rsidRPr="00AA115F" w:rsidRDefault="0062507F" w:rsidP="00F85037">
            <w:pPr>
              <w:spacing w:after="40"/>
              <w:rPr>
                <w:rFonts w:ascii="Verdana" w:eastAsiaTheme="minorEastAsia" w:hAnsi="Verdana" w:cs="Arial"/>
                <w:b/>
                <w:bCs/>
                <w:noProof/>
                <w:color w:val="003DA5"/>
                <w:sz w:val="18"/>
                <w:szCs w:val="20"/>
                <w:lang w:eastAsia="fr-FR"/>
              </w:rPr>
            </w:pPr>
            <w:r>
              <w:rPr>
                <w:rFonts w:ascii="Verdana" w:eastAsiaTheme="minorEastAsia" w:hAnsi="Verdana" w:cs="Arial"/>
                <w:b/>
                <w:bCs/>
                <w:noProof/>
                <w:color w:val="003DA5"/>
                <w:sz w:val="18"/>
                <w:szCs w:val="20"/>
                <w:lang w:eastAsia="fr-FR"/>
              </w:rPr>
              <w:t>DRHM - SAGEMOA</w:t>
            </w:r>
          </w:p>
          <w:p w:rsidR="0062507F" w:rsidRPr="00916083" w:rsidRDefault="0062507F" w:rsidP="00F85037">
            <w:pPr>
              <w:rPr>
                <w:rFonts w:ascii="Verdana" w:hAnsi="Verdana"/>
                <w:b/>
                <w:color w:val="808080"/>
                <w:sz w:val="15"/>
                <w:szCs w:val="15"/>
                <w:lang w:eastAsia="fr-FR"/>
              </w:rPr>
            </w:pPr>
            <w:r w:rsidRPr="00916083">
              <w:rPr>
                <w:rFonts w:ascii="Verdana" w:eastAsiaTheme="minorEastAsia" w:hAnsi="Verdana" w:cs="Arial"/>
                <w:b/>
                <w:noProof/>
                <w:color w:val="808080"/>
                <w:sz w:val="15"/>
                <w:szCs w:val="15"/>
                <w:lang w:eastAsia="fr-FR"/>
              </w:rPr>
              <w:t xml:space="preserve">Pôle </w:t>
            </w:r>
            <w:r w:rsidRPr="00916083">
              <w:rPr>
                <w:rFonts w:ascii="Verdana" w:hAnsi="Verdana"/>
                <w:b/>
                <w:color w:val="808080"/>
                <w:sz w:val="15"/>
                <w:szCs w:val="15"/>
                <w:lang w:eastAsia="fr-FR"/>
              </w:rPr>
              <w:t>Gestion des applications et de Maîtrise d'Ouvrage (GARU)</w:t>
            </w:r>
          </w:p>
          <w:p w:rsidR="0062507F" w:rsidRPr="00916083" w:rsidRDefault="0062507F" w:rsidP="00F85037">
            <w:pPr>
              <w:spacing w:after="40"/>
              <w:rPr>
                <w:rFonts w:ascii="Verdana" w:eastAsiaTheme="minorEastAsia" w:hAnsi="Verdana" w:cs="Arial"/>
                <w:noProof/>
                <w:color w:val="808080"/>
                <w:sz w:val="15"/>
                <w:szCs w:val="15"/>
                <w:lang w:eastAsia="fr-FR"/>
              </w:rPr>
            </w:pPr>
            <w:r w:rsidRPr="00916083">
              <w:rPr>
                <w:rFonts w:ascii="Verdana" w:eastAsiaTheme="minorEastAsia" w:hAnsi="Verdana" w:cs="Arial"/>
                <w:noProof/>
                <w:color w:val="808080"/>
                <w:sz w:val="15"/>
                <w:szCs w:val="15"/>
                <w:lang w:eastAsia="fr-FR"/>
              </w:rPr>
              <w:t>Secrétariat général de l’Autorité de Contrôle Prudentiel et de Résolution</w:t>
            </w:r>
          </w:p>
          <w:p w:rsidR="0062507F" w:rsidRPr="00916083" w:rsidRDefault="0062507F" w:rsidP="00F85037">
            <w:pPr>
              <w:spacing w:after="40"/>
              <w:rPr>
                <w:rFonts w:ascii="Verdana" w:eastAsiaTheme="minorEastAsia" w:hAnsi="Verdana" w:cs="Arial"/>
                <w:noProof/>
                <w:color w:val="808080"/>
                <w:sz w:val="15"/>
                <w:szCs w:val="15"/>
                <w:lang w:eastAsia="fr-FR"/>
              </w:rPr>
            </w:pPr>
            <w:r w:rsidRPr="00916083">
              <w:rPr>
                <w:rFonts w:ascii="Verdana" w:eastAsiaTheme="minorEastAsia" w:hAnsi="Verdana" w:cs="Arial"/>
                <w:noProof/>
                <w:color w:val="808080"/>
                <w:sz w:val="15"/>
                <w:szCs w:val="15"/>
                <w:lang w:eastAsia="fr-FR"/>
              </w:rPr>
              <w:t>4 Place de Budapest, CS 92459, 75436 Paris Cedex 09 </w:t>
            </w:r>
          </w:p>
          <w:p w:rsidR="0062507F" w:rsidRPr="00916083" w:rsidRDefault="00F47BF3" w:rsidP="00F85037">
            <w:pPr>
              <w:spacing w:after="120"/>
              <w:rPr>
                <w:rFonts w:ascii="Verdana" w:hAnsi="Verdana"/>
                <w:sz w:val="15"/>
                <w:szCs w:val="15"/>
              </w:rPr>
            </w:pPr>
            <w:hyperlink r:id="rId8" w:history="1">
              <w:r w:rsidR="0062507F" w:rsidRPr="00796C55">
                <w:rPr>
                  <w:rStyle w:val="Lienhypertexte"/>
                  <w:rFonts w:ascii="Verdana" w:hAnsi="Verdana"/>
                  <w:sz w:val="15"/>
                  <w:szCs w:val="15"/>
                </w:rPr>
                <w:t>Suiviflux@acpr.banque-france.fr</w:t>
              </w:r>
            </w:hyperlink>
          </w:p>
          <w:p w:rsidR="0062507F" w:rsidRPr="00916083" w:rsidRDefault="0062507F" w:rsidP="00F85037">
            <w:pPr>
              <w:rPr>
                <w:rFonts w:ascii="Verdana" w:eastAsiaTheme="minorEastAsia" w:hAnsi="Verdana" w:cs="Arial"/>
                <w:noProof/>
                <w:color w:val="808080"/>
                <w:sz w:val="15"/>
                <w:szCs w:val="15"/>
                <w:lang w:eastAsia="fr-FR"/>
              </w:rPr>
            </w:pPr>
            <w:r w:rsidRPr="00916083">
              <w:rPr>
                <w:rFonts w:ascii="Verdana" w:eastAsiaTheme="minorEastAsia" w:hAnsi="Verdana" w:cs="Arial"/>
                <w:noProof/>
                <w:color w:val="808080"/>
                <w:sz w:val="15"/>
                <w:szCs w:val="15"/>
                <w:lang w:eastAsia="fr-FR"/>
              </w:rPr>
              <w:t xml:space="preserve">Site ACPR </w:t>
            </w:r>
            <w:hyperlink r:id="rId9" w:history="1">
              <w:r>
                <w:rPr>
                  <w:rStyle w:val="Lienhypertexte"/>
                  <w:rFonts w:ascii="Verdana" w:hAnsi="Verdana"/>
                  <w:sz w:val="15"/>
                  <w:szCs w:val="15"/>
                </w:rPr>
                <w:t>https://acpr.banque-france.fr/</w:t>
              </w:r>
            </w:hyperlink>
          </w:p>
          <w:p w:rsidR="0062507F" w:rsidRDefault="0062507F" w:rsidP="00F85037">
            <w:pPr>
              <w:rPr>
                <w:rFonts w:ascii="Arial" w:eastAsiaTheme="minorEastAsia" w:hAnsi="Arial" w:cs="Arial"/>
                <w:noProof/>
                <w:color w:val="808080"/>
                <w:sz w:val="15"/>
                <w:szCs w:val="15"/>
                <w:lang w:eastAsia="fr-FR"/>
              </w:rPr>
            </w:pPr>
            <w:r w:rsidRPr="00916083">
              <w:rPr>
                <w:rFonts w:ascii="Verdana" w:eastAsiaTheme="minorEastAsia" w:hAnsi="Verdana" w:cs="Arial"/>
                <w:noProof/>
                <w:color w:val="808080"/>
                <w:sz w:val="15"/>
                <w:szCs w:val="15"/>
                <w:lang w:eastAsia="fr-FR"/>
              </w:rPr>
              <w:t xml:space="preserve">ESurfi </w:t>
            </w:r>
            <w:r>
              <w:rPr>
                <w:rFonts w:ascii="Verdana" w:eastAsiaTheme="minorEastAsia" w:hAnsi="Verdana" w:cs="Arial"/>
                <w:noProof/>
                <w:color w:val="808080"/>
                <w:sz w:val="15"/>
                <w:szCs w:val="15"/>
                <w:lang w:eastAsia="fr-FR"/>
              </w:rPr>
              <w:t>Assurance</w:t>
            </w:r>
            <w:r w:rsidRPr="00916083">
              <w:rPr>
                <w:rFonts w:ascii="Verdana" w:eastAsiaTheme="minorEastAsia" w:hAnsi="Verdana" w:cs="Arial"/>
                <w:noProof/>
                <w:color w:val="808080"/>
                <w:sz w:val="15"/>
                <w:szCs w:val="15"/>
                <w:lang w:eastAsia="fr-FR"/>
              </w:rPr>
              <w:t xml:space="preserve"> </w:t>
            </w:r>
            <w:hyperlink r:id="rId10" w:history="1">
              <w:r w:rsidRPr="00916083">
                <w:rPr>
                  <w:rStyle w:val="Lienhypertexte"/>
                  <w:rFonts w:ascii="Verdana" w:hAnsi="Verdana"/>
                  <w:sz w:val="15"/>
                  <w:szCs w:val="15"/>
                </w:rPr>
                <w:t>esurfi-assurance.banque-france.fr</w:t>
              </w:r>
            </w:hyperlink>
          </w:p>
        </w:tc>
      </w:tr>
    </w:tbl>
    <w:p w:rsidR="00291E5F" w:rsidRDefault="00291E5F"/>
    <w:p w:rsidR="00D66281" w:rsidRDefault="00D66281"/>
    <w:p w:rsidR="00D66281" w:rsidRDefault="00D66281"/>
    <w:p w:rsidR="00D66281" w:rsidRDefault="00D66281"/>
    <w:p w:rsidR="00D66281" w:rsidRDefault="00D66281"/>
    <w:sectPr w:rsidR="00D66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219A7"/>
    <w:multiLevelType w:val="hybridMultilevel"/>
    <w:tmpl w:val="FBEE997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B85044"/>
    <w:multiLevelType w:val="hybridMultilevel"/>
    <w:tmpl w:val="9F2CF012"/>
    <w:lvl w:ilvl="0" w:tplc="84E862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84E8624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136B5"/>
    <w:multiLevelType w:val="hybridMultilevel"/>
    <w:tmpl w:val="9DE2980A"/>
    <w:lvl w:ilvl="0" w:tplc="78BA035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A349C"/>
    <w:multiLevelType w:val="hybridMultilevel"/>
    <w:tmpl w:val="DF92A66C"/>
    <w:lvl w:ilvl="0" w:tplc="9EDCC3C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D7DC6"/>
    <w:multiLevelType w:val="hybridMultilevel"/>
    <w:tmpl w:val="2842AFE8"/>
    <w:lvl w:ilvl="0" w:tplc="077EDF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2D7"/>
    <w:rsid w:val="00012ABC"/>
    <w:rsid w:val="00021A14"/>
    <w:rsid w:val="00076CE4"/>
    <w:rsid w:val="00091F62"/>
    <w:rsid w:val="00147EF7"/>
    <w:rsid w:val="00147F1B"/>
    <w:rsid w:val="00165B41"/>
    <w:rsid w:val="00175C41"/>
    <w:rsid w:val="00251D02"/>
    <w:rsid w:val="00291E5F"/>
    <w:rsid w:val="002A2DED"/>
    <w:rsid w:val="002C16FF"/>
    <w:rsid w:val="00346B56"/>
    <w:rsid w:val="00371D6B"/>
    <w:rsid w:val="003E5D4E"/>
    <w:rsid w:val="00477222"/>
    <w:rsid w:val="004842F5"/>
    <w:rsid w:val="004A47B5"/>
    <w:rsid w:val="005046F8"/>
    <w:rsid w:val="005740E3"/>
    <w:rsid w:val="005877CA"/>
    <w:rsid w:val="005B2503"/>
    <w:rsid w:val="005B3E19"/>
    <w:rsid w:val="0062507F"/>
    <w:rsid w:val="00703B82"/>
    <w:rsid w:val="007517C9"/>
    <w:rsid w:val="007A0430"/>
    <w:rsid w:val="007C59E5"/>
    <w:rsid w:val="007E1300"/>
    <w:rsid w:val="008469BA"/>
    <w:rsid w:val="00851377"/>
    <w:rsid w:val="0096359D"/>
    <w:rsid w:val="009C6DB1"/>
    <w:rsid w:val="00A34326"/>
    <w:rsid w:val="00A538A6"/>
    <w:rsid w:val="00A82DF8"/>
    <w:rsid w:val="00AD2013"/>
    <w:rsid w:val="00B32A23"/>
    <w:rsid w:val="00BC6B69"/>
    <w:rsid w:val="00C17ED8"/>
    <w:rsid w:val="00C54F9D"/>
    <w:rsid w:val="00C86153"/>
    <w:rsid w:val="00CA6DA2"/>
    <w:rsid w:val="00D006F2"/>
    <w:rsid w:val="00D65616"/>
    <w:rsid w:val="00D66281"/>
    <w:rsid w:val="00D7010D"/>
    <w:rsid w:val="00DA63E5"/>
    <w:rsid w:val="00DB168D"/>
    <w:rsid w:val="00DC62D7"/>
    <w:rsid w:val="00E42A38"/>
    <w:rsid w:val="00E74BBF"/>
    <w:rsid w:val="00E82404"/>
    <w:rsid w:val="00F31431"/>
    <w:rsid w:val="00F35BA0"/>
    <w:rsid w:val="00F47BF3"/>
    <w:rsid w:val="00F731F4"/>
    <w:rsid w:val="00F7411A"/>
    <w:rsid w:val="00FC79C7"/>
    <w:rsid w:val="00FD0B28"/>
    <w:rsid w:val="00FD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33DF"/>
  <w15:chartTrackingRefBased/>
  <w15:docId w15:val="{142CBA30-6899-4C66-8744-1C89706F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2D7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C62D7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C62D7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BC6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2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iviflux@acpr.banque-franc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iviflux@acpr.banque-france.f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onnees-banques@acpr.banque-france.fr" TargetMode="External"/><Relationship Id="rId10" Type="http://schemas.openxmlformats.org/officeDocument/2006/relationships/hyperlink" Target="https://esurfi-assurance.banque-france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pr.banque-franc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1</Pages>
  <Words>658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FIGUEIREDO Hanika (SGACPR DRHM)</dc:creator>
  <cp:keywords/>
  <dc:description/>
  <cp:lastModifiedBy>GEVIN Julia (SGACPR DEAR)</cp:lastModifiedBy>
  <cp:revision>41</cp:revision>
  <dcterms:created xsi:type="dcterms:W3CDTF">2024-05-29T10:05:00Z</dcterms:created>
  <dcterms:modified xsi:type="dcterms:W3CDTF">2024-12-02T09:52:00Z</dcterms:modified>
</cp:coreProperties>
</file>