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2A" w:rsidRPr="00C44F2A" w:rsidRDefault="00C44F2A" w:rsidP="00C44F2A">
      <w:pPr>
        <w:spacing w:after="0" w:line="240" w:lineRule="auto"/>
        <w:rPr>
          <w:rFonts w:ascii="Garamond" w:eastAsia="Times New Roman" w:hAnsi="Garamond" w:cs="Times New Roman"/>
          <w:b/>
          <w:color w:val="003B8E"/>
          <w:lang w:eastAsia="fr-FR"/>
        </w:rPr>
      </w:pPr>
      <w:bookmarkStart w:id="0" w:name="_GoBack"/>
      <w:bookmarkEnd w:id="0"/>
    </w:p>
    <w:p w:rsidR="00321B2B" w:rsidRDefault="00716282" w:rsidP="00321B2B">
      <w:pPr>
        <w:rPr>
          <w:rFonts w:ascii="Garamond" w:hAnsi="Garamond"/>
          <w:lang w:val="en-US"/>
        </w:rPr>
      </w:pPr>
      <w:r w:rsidRPr="00186C94">
        <w:rPr>
          <w:noProof/>
          <w:color w:val="FFFFFF"/>
          <w:lang w:eastAsia="fr-FR"/>
        </w:rPr>
        <w:drawing>
          <wp:inline distT="0" distB="0" distL="0" distR="0" wp14:anchorId="6081BB37" wp14:editId="6BF82876">
            <wp:extent cx="1110545" cy="990021"/>
            <wp:effectExtent l="0" t="0" r="0" b="635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61" cy="998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B2B" w:rsidRDefault="00321B2B" w:rsidP="00321B2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Guide méthodologique </w:t>
      </w:r>
    </w:p>
    <w:p w:rsidR="00321B2B" w:rsidRDefault="00321B2B" w:rsidP="00321B2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Documents prudentiels européens quantitatifs à communiquer annuellement et trimestriellement par les organismes de retraite professionnelle supplémentaire</w:t>
      </w:r>
    </w:p>
    <w:p w:rsidR="00321B2B" w:rsidRDefault="00321B2B" w:rsidP="00321B2B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ab/>
      </w:r>
    </w:p>
    <w:p w:rsidR="00321B2B" w:rsidRDefault="00321B2B" w:rsidP="00321B2B">
      <w:pPr>
        <w:spacing w:after="0" w:line="240" w:lineRule="auto"/>
        <w:jc w:val="center"/>
        <w:rPr>
          <w:rFonts w:ascii="Garamond" w:hAnsi="Garamond"/>
        </w:rPr>
      </w:pPr>
    </w:p>
    <w:p w:rsidR="00321B2B" w:rsidRDefault="00321B2B" w:rsidP="00321B2B">
      <w:pPr>
        <w:pStyle w:val="Paragraphedeliste1"/>
        <w:ind w:left="0" w:firstLine="708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Ce guide méthodologique traite des états quantitatifs présentés dans </w:t>
      </w:r>
      <w:r w:rsidR="00D608E9">
        <w:rPr>
          <w:rFonts w:ascii="Garamond" w:hAnsi="Garamond"/>
          <w:szCs w:val="22"/>
        </w:rPr>
        <w:t>l’instruction 2020-I-05</w:t>
      </w:r>
    </w:p>
    <w:p w:rsidR="00C44F2A" w:rsidRDefault="00C44F2A" w:rsidP="00C44F2A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:rsidR="00C44F2A" w:rsidRDefault="00C44F2A" w:rsidP="00C44F2A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:rsidR="003F5C6B" w:rsidRPr="003F5C6B" w:rsidRDefault="003F5C6B" w:rsidP="003F5C6B">
      <w:pPr>
        <w:spacing w:before="20" w:after="0" w:line="240" w:lineRule="auto"/>
        <w:ind w:left="720"/>
        <w:contextualSpacing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>
        <w:rPr>
          <w:rFonts w:ascii="Garamond" w:eastAsia="Times New Roman" w:hAnsi="Garamond" w:cs="Times New Roman"/>
          <w:b/>
          <w:color w:val="003B8E"/>
          <w:lang w:eastAsia="fr-FR"/>
        </w:rPr>
        <w:t>PF.09.02</w:t>
      </w:r>
    </w:p>
    <w:p w:rsidR="003F5C6B" w:rsidRPr="003F5C6B" w:rsidRDefault="003F5C6B" w:rsidP="003F5C6B">
      <w:pPr>
        <w:spacing w:before="20" w:after="0" w:line="240" w:lineRule="auto"/>
        <w:jc w:val="center"/>
        <w:rPr>
          <w:rFonts w:ascii="Garamond" w:eastAsia="Times New Roman" w:hAnsi="Garamond" w:cs="Times New Roman"/>
          <w:lang w:eastAsia="fr-FR"/>
        </w:rPr>
      </w:pPr>
      <w:r w:rsidRPr="003F5C6B">
        <w:rPr>
          <w:rFonts w:ascii="Garamond" w:eastAsia="Times New Roman" w:hAnsi="Garamond" w:cs="Times New Roman"/>
          <w:b/>
          <w:color w:val="003B8E"/>
          <w:lang w:eastAsia="fr-FR"/>
        </w:rPr>
        <w:t>Revenu des placements</w:t>
      </w:r>
    </w:p>
    <w:p w:rsidR="003F5C6B" w:rsidRPr="003F5C6B" w:rsidRDefault="003F5C6B" w:rsidP="003F5C6B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3F5C6B" w:rsidRPr="003F5C6B" w:rsidRDefault="003F5C6B" w:rsidP="003F5C6B">
      <w:pPr>
        <w:spacing w:after="0" w:line="240" w:lineRule="auto"/>
        <w:rPr>
          <w:rFonts w:ascii="Garamond" w:eastAsia="Times New Roman" w:hAnsi="Garamond" w:cs="Times New Roman"/>
          <w:lang w:eastAsia="fr-FR"/>
        </w:rPr>
      </w:pPr>
    </w:p>
    <w:p w:rsidR="003F5C6B" w:rsidRPr="003F5C6B" w:rsidRDefault="003F5C6B" w:rsidP="003F5C6B">
      <w:pPr>
        <w:numPr>
          <w:ilvl w:val="0"/>
          <w:numId w:val="7"/>
        </w:numPr>
        <w:spacing w:before="120" w:after="0" w:line="240" w:lineRule="auto"/>
        <w:contextualSpacing/>
        <w:rPr>
          <w:rFonts w:ascii="Garamond" w:hAnsi="Garamond"/>
          <w:b/>
        </w:rPr>
      </w:pPr>
      <w:r w:rsidRPr="003F5C6B">
        <w:rPr>
          <w:rFonts w:ascii="Garamond" w:eastAsia="Times New Roman" w:hAnsi="Garamond" w:cs="Times New Roman"/>
          <w:b/>
          <w:lang w:eastAsia="fr-FR"/>
        </w:rPr>
        <w:t>Colonnes</w:t>
      </w:r>
    </w:p>
    <w:p w:rsidR="003F5C6B" w:rsidRPr="003F5C6B" w:rsidRDefault="003F5C6B" w:rsidP="003F5C6B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</w:p>
    <w:p w:rsidR="003F5C6B" w:rsidRPr="003F5C6B" w:rsidRDefault="003F5C6B" w:rsidP="003F5C6B">
      <w:pPr>
        <w:spacing w:before="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3F5C6B">
        <w:rPr>
          <w:rFonts w:ascii="Garamond" w:eastAsia="Calibri" w:hAnsi="Garamond" w:cs="Times New Roman"/>
          <w:lang w:eastAsia="ar-SA"/>
        </w:rPr>
        <w:t>Le tableau de l’état comporte :</w:t>
      </w:r>
    </w:p>
    <w:p w:rsidR="003F5C6B" w:rsidRPr="003F5C6B" w:rsidRDefault="003F5C6B" w:rsidP="0043314C">
      <w:pPr>
        <w:numPr>
          <w:ilvl w:val="0"/>
          <w:numId w:val="6"/>
        </w:numPr>
        <w:spacing w:before="20"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  <w:r w:rsidRPr="003F5C6B">
        <w:rPr>
          <w:rFonts w:ascii="Garamond" w:eastAsia="Calibri" w:hAnsi="Garamond" w:cs="Times New Roman"/>
          <w:lang w:eastAsia="ar-SA"/>
        </w:rPr>
        <w:t>Une colonne </w:t>
      </w:r>
      <w:r w:rsidRPr="003F5C6B">
        <w:rPr>
          <w:rFonts w:ascii="Garamond" w:eastAsia="Times New Roman" w:hAnsi="Garamond" w:cs="Times New Roman"/>
          <w:lang w:eastAsia="fr-FR"/>
        </w:rPr>
        <w:t>C0010 Contrats à prestations définies (</w:t>
      </w:r>
      <w:r w:rsidR="0043314C" w:rsidRPr="0043314C">
        <w:rPr>
          <w:rFonts w:ascii="Garamond" w:eastAsia="Times New Roman" w:hAnsi="Garamond" w:cs="Times New Roman"/>
          <w:lang w:eastAsia="fr-FR"/>
        </w:rPr>
        <w:t>les indemnités de fin de carrière et les anciens contrats article 39100</w:t>
      </w:r>
      <w:r w:rsidRPr="003F5C6B">
        <w:rPr>
          <w:rFonts w:ascii="Garamond" w:eastAsia="Times New Roman" w:hAnsi="Garamond" w:cs="Times New Roman"/>
          <w:lang w:eastAsia="fr-FR"/>
        </w:rPr>
        <w:t>)</w:t>
      </w:r>
    </w:p>
    <w:p w:rsidR="003F5C6B" w:rsidRPr="003F5C6B" w:rsidRDefault="003F5C6B" w:rsidP="0043314C">
      <w:pPr>
        <w:numPr>
          <w:ilvl w:val="0"/>
          <w:numId w:val="6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3F5C6B">
        <w:rPr>
          <w:rFonts w:ascii="Garamond" w:eastAsia="Times New Roman" w:hAnsi="Garamond" w:cs="Times New Roman"/>
          <w:lang w:eastAsia="fr-FR"/>
        </w:rPr>
        <w:t>Une colonne C0020 C</w:t>
      </w:r>
      <w:r w:rsidR="001913AB">
        <w:rPr>
          <w:rFonts w:ascii="Garamond" w:eastAsia="Times New Roman" w:hAnsi="Garamond" w:cs="Times New Roman"/>
          <w:lang w:eastAsia="fr-FR"/>
        </w:rPr>
        <w:t xml:space="preserve">ontrats à cotisations définies </w:t>
      </w:r>
      <w:r w:rsidRPr="003F5C6B">
        <w:rPr>
          <w:rFonts w:ascii="Garamond" w:eastAsia="Times New Roman" w:hAnsi="Garamond" w:cs="Times New Roman"/>
          <w:lang w:eastAsia="fr-FR"/>
        </w:rPr>
        <w:t>(</w:t>
      </w:r>
      <w:r w:rsidR="00D608E9">
        <w:rPr>
          <w:rFonts w:ascii="Garamond" w:eastAsia="Times New Roman" w:hAnsi="Garamond" w:cs="Times New Roman"/>
          <w:lang w:eastAsia="fr-FR"/>
        </w:rPr>
        <w:t>hors</w:t>
      </w:r>
      <w:r w:rsidR="0043314C" w:rsidRPr="0043314C">
        <w:rPr>
          <w:rFonts w:ascii="Garamond" w:eastAsia="Times New Roman" w:hAnsi="Garamond" w:cs="Times New Roman"/>
          <w:lang w:eastAsia="fr-FR"/>
        </w:rPr>
        <w:t xml:space="preserve"> indemnités de fin de carrière</w:t>
      </w:r>
      <w:r w:rsidR="00D608E9">
        <w:rPr>
          <w:rFonts w:ascii="Garamond" w:eastAsia="Times New Roman" w:hAnsi="Garamond" w:cs="Times New Roman"/>
          <w:lang w:eastAsia="fr-FR"/>
        </w:rPr>
        <w:t>, hors</w:t>
      </w:r>
      <w:r w:rsidR="0043314C" w:rsidRPr="0043314C">
        <w:rPr>
          <w:rFonts w:ascii="Garamond" w:eastAsia="Times New Roman" w:hAnsi="Garamond" w:cs="Times New Roman"/>
          <w:lang w:eastAsia="fr-FR"/>
        </w:rPr>
        <w:t xml:space="preserve"> anciens </w:t>
      </w:r>
      <w:r w:rsidR="00EE4C83">
        <w:rPr>
          <w:rFonts w:ascii="Garamond" w:eastAsia="Times New Roman" w:hAnsi="Garamond" w:cs="Times New Roman"/>
          <w:lang w:eastAsia="fr-FR"/>
        </w:rPr>
        <w:t xml:space="preserve">contrats </w:t>
      </w:r>
      <w:r w:rsidR="0043314C" w:rsidRPr="0043314C">
        <w:rPr>
          <w:rFonts w:ascii="Garamond" w:eastAsia="Times New Roman" w:hAnsi="Garamond" w:cs="Times New Roman"/>
          <w:lang w:eastAsia="fr-FR"/>
        </w:rPr>
        <w:t>article 39</w:t>
      </w:r>
      <w:r w:rsidRPr="003F5C6B">
        <w:rPr>
          <w:rFonts w:ascii="Garamond" w:eastAsia="Times New Roman" w:hAnsi="Garamond" w:cs="Times New Roman"/>
          <w:lang w:eastAsia="fr-FR"/>
        </w:rPr>
        <w:t>)</w:t>
      </w:r>
    </w:p>
    <w:p w:rsidR="003F5C6B" w:rsidRPr="003F5C6B" w:rsidRDefault="003F5C6B" w:rsidP="003F5C6B">
      <w:pPr>
        <w:numPr>
          <w:ilvl w:val="0"/>
          <w:numId w:val="6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3F5C6B">
        <w:rPr>
          <w:rFonts w:ascii="Garamond" w:eastAsia="Times New Roman" w:hAnsi="Garamond" w:cs="Times New Roman"/>
          <w:lang w:eastAsia="fr-FR"/>
        </w:rPr>
        <w:t>Une colonne C0040 Total</w:t>
      </w:r>
    </w:p>
    <w:p w:rsidR="003F5C6B" w:rsidRPr="003F5C6B" w:rsidRDefault="003F5C6B" w:rsidP="003F5C6B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3F5C6B" w:rsidRPr="003F5C6B" w:rsidRDefault="003F5C6B" w:rsidP="003F5C6B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3F5C6B" w:rsidRPr="003F5C6B" w:rsidRDefault="003F5C6B" w:rsidP="003F5C6B">
      <w:pPr>
        <w:spacing w:before="20" w:after="0" w:line="240" w:lineRule="auto"/>
        <w:jc w:val="both"/>
        <w:rPr>
          <w:rFonts w:ascii="Garamond" w:eastAsia="Times New Roman" w:hAnsi="Garamond" w:cs="Times New Roman"/>
          <w:b/>
          <w:u w:val="single"/>
          <w:lang w:eastAsia="fr-FR"/>
        </w:rPr>
      </w:pPr>
      <w:r w:rsidRPr="003F5C6B">
        <w:rPr>
          <w:rFonts w:ascii="Garamond" w:eastAsia="Times New Roman" w:hAnsi="Garamond" w:cs="Times New Roman"/>
          <w:b/>
          <w:u w:val="single"/>
          <w:lang w:eastAsia="fr-FR"/>
        </w:rPr>
        <w:t>Les clés de répartition sont à la discrétion de l’organisme</w:t>
      </w:r>
      <w:r w:rsidR="00341701">
        <w:rPr>
          <w:rFonts w:ascii="Garamond" w:hAnsi="Garamond"/>
          <w:b/>
          <w:u w:val="single"/>
        </w:rPr>
        <w:t>, mais pourront être justifiées si le superviseur le demande</w:t>
      </w:r>
      <w:r w:rsidR="00341701" w:rsidRPr="00C20B08">
        <w:rPr>
          <w:rFonts w:ascii="Garamond" w:hAnsi="Garamond"/>
          <w:b/>
          <w:u w:val="single"/>
        </w:rPr>
        <w:t>.</w:t>
      </w:r>
    </w:p>
    <w:p w:rsidR="003F5C6B" w:rsidRPr="003F5C6B" w:rsidRDefault="003F5C6B" w:rsidP="003F5C6B">
      <w:pPr>
        <w:spacing w:before="20" w:after="0" w:line="240" w:lineRule="auto"/>
        <w:jc w:val="both"/>
        <w:rPr>
          <w:rFonts w:ascii="Garamond" w:eastAsia="Times New Roman" w:hAnsi="Garamond" w:cs="Times New Roman"/>
          <w:u w:val="single"/>
          <w:lang w:eastAsia="fr-FR"/>
        </w:rPr>
      </w:pPr>
    </w:p>
    <w:p w:rsidR="003F5C6B" w:rsidRPr="003F5C6B" w:rsidRDefault="003F5C6B" w:rsidP="003F5C6B">
      <w:pPr>
        <w:numPr>
          <w:ilvl w:val="0"/>
          <w:numId w:val="7"/>
        </w:numPr>
        <w:spacing w:after="0" w:line="240" w:lineRule="auto"/>
        <w:contextualSpacing/>
        <w:rPr>
          <w:rFonts w:ascii="Garamond" w:hAnsi="Garamond" w:cs="Times New Roman"/>
          <w:b/>
        </w:rPr>
      </w:pPr>
      <w:r w:rsidRPr="003F5C6B">
        <w:rPr>
          <w:rFonts w:ascii="Garamond" w:eastAsia="Times New Roman" w:hAnsi="Garamond" w:cs="Times New Roman"/>
          <w:b/>
          <w:lang w:eastAsia="fr-FR"/>
        </w:rPr>
        <w:t>L</w:t>
      </w:r>
      <w:r w:rsidRPr="003F5C6B">
        <w:rPr>
          <w:rFonts w:ascii="Garamond" w:hAnsi="Garamond" w:cs="Times New Roman"/>
          <w:b/>
        </w:rPr>
        <w:t>ignes</w:t>
      </w:r>
    </w:p>
    <w:p w:rsidR="003F5C6B" w:rsidRPr="003F5C6B" w:rsidRDefault="003F5C6B" w:rsidP="003F5C6B">
      <w:pPr>
        <w:rPr>
          <w:rFonts w:ascii="Garamond" w:hAnsi="Garamond"/>
        </w:rPr>
      </w:pPr>
    </w:p>
    <w:tbl>
      <w:tblPr>
        <w:tblW w:w="9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2"/>
        <w:gridCol w:w="922"/>
        <w:gridCol w:w="5093"/>
      </w:tblGrid>
      <w:tr w:rsidR="003F5C6B" w:rsidRPr="003F5C6B" w:rsidTr="003E7E94">
        <w:trPr>
          <w:trHeight w:val="300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3F5C6B">
              <w:rPr>
                <w:rFonts w:ascii="Garamond" w:eastAsia="Times New Roman" w:hAnsi="Garamond" w:cs="Times New Roman"/>
                <w:b/>
                <w:bCs/>
                <w:lang w:eastAsia="fr-FR"/>
              </w:rPr>
              <w:t>Intitulé</w:t>
            </w:r>
            <w:r w:rsidRPr="003F5C6B">
              <w:rPr>
                <w:rFonts w:ascii="Garamond" w:eastAsia="Times New Roman" w:hAnsi="Garamond" w:cs="Times New Roman"/>
                <w:b/>
                <w:bCs/>
                <w:lang w:eastAsia="fr-FR"/>
              </w:rPr>
              <w:tab/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C6B" w:rsidRPr="003F5C6B" w:rsidRDefault="003F5C6B" w:rsidP="003F5C6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3F5C6B">
              <w:rPr>
                <w:rFonts w:ascii="Garamond" w:eastAsia="Times New Roman" w:hAnsi="Garamond" w:cs="Times New Roman"/>
                <w:b/>
                <w:bCs/>
                <w:lang w:eastAsia="fr-FR"/>
              </w:rPr>
              <w:t>Colonne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6B" w:rsidRPr="003F5C6B" w:rsidRDefault="003F5C6B" w:rsidP="003F5C6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3F5C6B">
              <w:rPr>
                <w:rFonts w:ascii="Garamond" w:eastAsia="Times New Roman" w:hAnsi="Garamond" w:cs="Times New Roman"/>
                <w:b/>
                <w:bCs/>
                <w:lang w:eastAsia="fr-FR"/>
              </w:rPr>
              <w:t>Définition et formule</w:t>
            </w:r>
          </w:p>
        </w:tc>
      </w:tr>
      <w:tr w:rsidR="003F5C6B" w:rsidRPr="003F5C6B" w:rsidTr="0036440E">
        <w:trPr>
          <w:trHeight w:val="959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Dividendes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rPr>
                <w:rFonts w:ascii="Garamond" w:hAnsi="Garamond"/>
              </w:rPr>
            </w:pPr>
          </w:p>
          <w:p w:rsidR="003F5C6B" w:rsidRPr="003F5C6B" w:rsidRDefault="003F5C6B" w:rsidP="0036440E">
            <w:pPr>
              <w:jc w:val="center"/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R0010</w:t>
            </w:r>
          </w:p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01" w:rsidRPr="00B3523E" w:rsidRDefault="00341701" w:rsidP="0043314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3E">
              <w:rPr>
                <w:rFonts w:ascii="Times New Roman" w:hAnsi="Times New Roman" w:cs="Times New Roman"/>
                <w:sz w:val="20"/>
                <w:szCs w:val="20"/>
              </w:rPr>
              <w:t>Montant des dividendes perçus durant la période de référence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5C6B" w:rsidRPr="003F5C6B" w:rsidRDefault="00341701" w:rsidP="0043314C">
            <w:pPr>
              <w:spacing w:after="0"/>
              <w:rPr>
                <w:rFonts w:ascii="Garamond" w:hAnsi="Garamond"/>
              </w:rPr>
            </w:pPr>
            <w:r w:rsidRPr="00B3523E">
              <w:rPr>
                <w:rFonts w:ascii="Times New Roman" w:hAnsi="Times New Roman" w:cs="Times New Roman"/>
                <w:sz w:val="20"/>
                <w:szCs w:val="20"/>
              </w:rPr>
              <w:t>Inclut aussi les dividendes générés par des actifs qui ont été vendus ou sont arrivés à échéance.</w:t>
            </w:r>
          </w:p>
        </w:tc>
      </w:tr>
      <w:tr w:rsidR="003F5C6B" w:rsidRPr="003F5C6B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Coupons</w:t>
            </w:r>
          </w:p>
          <w:p w:rsidR="003F5C6B" w:rsidRPr="003F5C6B" w:rsidRDefault="003F5C6B" w:rsidP="003F5C6B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R0020</w:t>
            </w:r>
          </w:p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01" w:rsidRPr="00B3523E" w:rsidRDefault="00341701" w:rsidP="00433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intérêts perçus.</w:t>
            </w:r>
          </w:p>
          <w:p w:rsidR="003F5C6B" w:rsidRPr="003F5C6B" w:rsidRDefault="00341701" w:rsidP="0043314C">
            <w:pPr>
              <w:spacing w:after="0"/>
              <w:rPr>
                <w:rFonts w:ascii="Garamond" w:hAnsi="Garamond"/>
              </w:rPr>
            </w:pPr>
            <w:r w:rsidRPr="00B3523E">
              <w:rPr>
                <w:rFonts w:ascii="Times New Roman" w:hAnsi="Times New Roman" w:cs="Times New Roman"/>
                <w:sz w:val="20"/>
                <w:szCs w:val="20"/>
              </w:rPr>
              <w:t>Inclut aussi les intérêts reçus lorsqu’un actif est vendu/arrive à échéance ou à la réception du coupon.</w:t>
            </w:r>
          </w:p>
        </w:tc>
      </w:tr>
      <w:tr w:rsidR="003F5C6B" w:rsidRPr="003F5C6B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Loyers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R0030</w:t>
            </w:r>
          </w:p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6B" w:rsidRPr="003F5C6B" w:rsidRDefault="00F82D86" w:rsidP="003F5C6B">
            <w:pPr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Montant des loyers perçus suite à la location d’un bien immobilier.</w:t>
            </w:r>
          </w:p>
        </w:tc>
      </w:tr>
      <w:tr w:rsidR="003F5C6B" w:rsidRPr="003F5C6B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Plus- et moins-values réalisées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R0040</w:t>
            </w:r>
          </w:p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6B" w:rsidRPr="003F5C6B" w:rsidRDefault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Gains et pertes réalisés générés par les actifs durant la période de référence.</w:t>
            </w:r>
            <w:r w:rsidRPr="003F5C6B">
              <w:t xml:space="preserve"> </w:t>
            </w:r>
            <w:r w:rsidRPr="003F5C6B">
              <w:rPr>
                <w:rFonts w:ascii="Garamond" w:hAnsi="Garamond"/>
              </w:rPr>
              <w:t xml:space="preserve">Les gains et pertes sont calculés comme la différence entre la valeur à la </w:t>
            </w:r>
            <w:r w:rsidR="00716282" w:rsidRPr="003F5C6B">
              <w:rPr>
                <w:rFonts w:ascii="Garamond" w:hAnsi="Garamond"/>
              </w:rPr>
              <w:t>clôture</w:t>
            </w:r>
            <w:r w:rsidRPr="003F5C6B">
              <w:rPr>
                <w:rFonts w:ascii="Garamond" w:hAnsi="Garamond"/>
              </w:rPr>
              <w:t xml:space="preserve">, ou la valeur d’achat, si plus tardive, ou d’échéance et la valeur calculée à la </w:t>
            </w:r>
            <w:r w:rsidR="00716282" w:rsidRPr="003F5C6B">
              <w:rPr>
                <w:rFonts w:ascii="Garamond" w:hAnsi="Garamond"/>
              </w:rPr>
              <w:t>clôture</w:t>
            </w:r>
            <w:r w:rsidRPr="003F5C6B">
              <w:rPr>
                <w:rFonts w:ascii="Garamond" w:hAnsi="Garamond"/>
              </w:rPr>
              <w:t xml:space="preserve"> (ou valeur de vente, si plus tardive).  (code 48 01 1, Annex</w:t>
            </w:r>
            <w:r w:rsidR="00F82D86">
              <w:rPr>
                <w:rFonts w:ascii="Garamond" w:hAnsi="Garamond"/>
              </w:rPr>
              <w:t>e</w:t>
            </w:r>
            <w:r w:rsidRPr="003F5C6B">
              <w:rPr>
                <w:rFonts w:ascii="Garamond" w:hAnsi="Garamond"/>
              </w:rPr>
              <w:t xml:space="preserve"> I </w:t>
            </w:r>
            <w:r w:rsidR="00F82D86">
              <w:rPr>
                <w:rFonts w:ascii="Garamond" w:hAnsi="Garamond"/>
              </w:rPr>
              <w:t>du</w:t>
            </w:r>
            <w:r w:rsidRPr="003F5C6B">
              <w:rPr>
                <w:rFonts w:ascii="Garamond" w:hAnsi="Garamond"/>
              </w:rPr>
              <w:t xml:space="preserve"> </w:t>
            </w:r>
            <w:r w:rsidR="00F82D86" w:rsidRPr="003F5C6B">
              <w:rPr>
                <w:rFonts w:ascii="Garamond" w:hAnsi="Garamond"/>
              </w:rPr>
              <w:t>Règlement</w:t>
            </w:r>
            <w:r w:rsidRPr="003F5C6B">
              <w:rPr>
                <w:rFonts w:ascii="Garamond" w:hAnsi="Garamond"/>
              </w:rPr>
              <w:t xml:space="preserve"> 250/2009).</w:t>
            </w:r>
          </w:p>
        </w:tc>
      </w:tr>
      <w:tr w:rsidR="003F5C6B" w:rsidRPr="003F5C6B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rPr>
                <w:rFonts w:ascii="Garamond" w:hAnsi="Garamond"/>
              </w:rPr>
            </w:pPr>
          </w:p>
          <w:p w:rsidR="003F5C6B" w:rsidRPr="003F5C6B" w:rsidRDefault="003F5C6B" w:rsidP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Plus- et moins-values latentes</w:t>
            </w:r>
          </w:p>
          <w:p w:rsidR="003F5C6B" w:rsidRPr="003F5C6B" w:rsidRDefault="003F5C6B" w:rsidP="003F5C6B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R0050</w:t>
            </w:r>
          </w:p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6B" w:rsidRPr="003F5C6B" w:rsidRDefault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Gains et pertes non réalisés, générés par les</w:t>
            </w:r>
            <w:r w:rsidR="00F82D86">
              <w:rPr>
                <w:rFonts w:ascii="Garamond" w:hAnsi="Garamond"/>
              </w:rPr>
              <w:t xml:space="preserve"> actifs durant la période de référence</w:t>
            </w:r>
            <w:r w:rsidRPr="003F5C6B">
              <w:rPr>
                <w:rFonts w:ascii="Garamond" w:hAnsi="Garamond"/>
              </w:rPr>
              <w:t xml:space="preserve">. Les gains et pertes sont calculés comme la différence entre la valeur à la clôture, ou la valeur d’achat, si plus tardive, ou d’échéance et la valeur calculée à la clôture (ou valeur de vente, si plus tardive) (code 48 01 1, </w:t>
            </w:r>
            <w:r w:rsidR="00F82D86" w:rsidRPr="003F5C6B">
              <w:rPr>
                <w:rFonts w:ascii="Garamond" w:hAnsi="Garamond"/>
              </w:rPr>
              <w:t>Annex</w:t>
            </w:r>
            <w:r w:rsidR="00F82D86">
              <w:rPr>
                <w:rFonts w:ascii="Garamond" w:hAnsi="Garamond"/>
              </w:rPr>
              <w:t>e</w:t>
            </w:r>
            <w:r w:rsidR="00F82D86" w:rsidRPr="003F5C6B">
              <w:rPr>
                <w:rFonts w:ascii="Garamond" w:hAnsi="Garamond"/>
              </w:rPr>
              <w:t xml:space="preserve"> I </w:t>
            </w:r>
            <w:r w:rsidR="00F82D86">
              <w:rPr>
                <w:rFonts w:ascii="Garamond" w:hAnsi="Garamond"/>
              </w:rPr>
              <w:t>du</w:t>
            </w:r>
            <w:r w:rsidR="00F82D86" w:rsidRPr="003F5C6B">
              <w:rPr>
                <w:rFonts w:ascii="Garamond" w:hAnsi="Garamond"/>
              </w:rPr>
              <w:t xml:space="preserve"> Règlement </w:t>
            </w:r>
            <w:r w:rsidRPr="003F5C6B">
              <w:rPr>
                <w:rFonts w:ascii="Garamond" w:hAnsi="Garamond"/>
              </w:rPr>
              <w:t>250/2009).</w:t>
            </w:r>
          </w:p>
        </w:tc>
      </w:tr>
      <w:tr w:rsidR="003F5C6B" w:rsidRPr="003F5C6B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Autres revenus de placements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R0060</w:t>
            </w:r>
          </w:p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6B" w:rsidRPr="003F5C6B" w:rsidRDefault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Autre revenu des placements, non mentionnés dans les lignes précédentes.</w:t>
            </w:r>
          </w:p>
        </w:tc>
      </w:tr>
      <w:tr w:rsidR="003F5C6B" w:rsidRPr="003F5C6B" w:rsidTr="003E7E94">
        <w:trPr>
          <w:trHeight w:val="300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Total des revenus de placements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C6B" w:rsidRPr="003F5C6B" w:rsidRDefault="003F5C6B" w:rsidP="003F5C6B">
            <w:pPr>
              <w:jc w:val="center"/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R0070</w:t>
            </w:r>
          </w:p>
        </w:tc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6B" w:rsidRPr="003F5C6B" w:rsidRDefault="003F5C6B">
            <w:pPr>
              <w:rPr>
                <w:rFonts w:ascii="Garamond" w:hAnsi="Garamond"/>
              </w:rPr>
            </w:pPr>
            <w:r w:rsidRPr="003F5C6B">
              <w:rPr>
                <w:rFonts w:ascii="Garamond" w:hAnsi="Garamond"/>
              </w:rPr>
              <w:t>Total des revenus (encaissés ou à recevoir) des placements</w:t>
            </w:r>
            <w:r w:rsidR="00F82D86">
              <w:rPr>
                <w:rFonts w:ascii="Garamond" w:hAnsi="Garamond"/>
              </w:rPr>
              <w:t xml:space="preserve"> (code 48 01 0</w:t>
            </w:r>
            <w:r w:rsidR="00F82D86" w:rsidRPr="003F5C6B">
              <w:rPr>
                <w:rFonts w:ascii="Garamond" w:hAnsi="Garamond"/>
              </w:rPr>
              <w:t>, Annex</w:t>
            </w:r>
            <w:r w:rsidR="00F82D86">
              <w:rPr>
                <w:rFonts w:ascii="Garamond" w:hAnsi="Garamond"/>
              </w:rPr>
              <w:t>e</w:t>
            </w:r>
            <w:r w:rsidR="00F82D86" w:rsidRPr="003F5C6B">
              <w:rPr>
                <w:rFonts w:ascii="Garamond" w:hAnsi="Garamond"/>
              </w:rPr>
              <w:t xml:space="preserve"> I </w:t>
            </w:r>
            <w:r w:rsidR="00F82D86">
              <w:rPr>
                <w:rFonts w:ascii="Garamond" w:hAnsi="Garamond"/>
              </w:rPr>
              <w:t>du</w:t>
            </w:r>
            <w:r w:rsidR="00F82D86" w:rsidRPr="003F5C6B">
              <w:rPr>
                <w:rFonts w:ascii="Garamond" w:hAnsi="Garamond"/>
              </w:rPr>
              <w:t xml:space="preserve"> Règlement 250/2009).</w:t>
            </w:r>
            <w:r w:rsidRPr="003F5C6B">
              <w:rPr>
                <w:rFonts w:ascii="Garamond" w:hAnsi="Garamond"/>
              </w:rPr>
              <w:t xml:space="preserve"> </w:t>
            </w:r>
          </w:p>
        </w:tc>
      </w:tr>
    </w:tbl>
    <w:p w:rsidR="003F5C6B" w:rsidRPr="003F5C6B" w:rsidRDefault="003F5C6B" w:rsidP="003F5C6B">
      <w:pPr>
        <w:jc w:val="center"/>
        <w:rPr>
          <w:rFonts w:ascii="Garamond" w:hAnsi="Garamond"/>
        </w:rPr>
      </w:pPr>
    </w:p>
    <w:p w:rsidR="003F5C6B" w:rsidRPr="003F5C6B" w:rsidRDefault="003F5C6B" w:rsidP="003F5C6B">
      <w:pPr>
        <w:jc w:val="center"/>
        <w:rPr>
          <w:rFonts w:ascii="Garamond" w:hAnsi="Garamond"/>
        </w:rPr>
      </w:pPr>
    </w:p>
    <w:p w:rsidR="009E5F35" w:rsidRPr="003F5C6B" w:rsidRDefault="009E5F35" w:rsidP="009E5F35">
      <w:pPr>
        <w:spacing w:after="0" w:line="240" w:lineRule="auto"/>
        <w:jc w:val="center"/>
      </w:pPr>
    </w:p>
    <w:p w:rsidR="009E5F35" w:rsidRPr="003F5C6B" w:rsidRDefault="009E5F35" w:rsidP="003F5C6B">
      <w:pPr>
        <w:spacing w:after="0" w:line="240" w:lineRule="auto"/>
      </w:pPr>
    </w:p>
    <w:p w:rsidR="003F5C6B" w:rsidRDefault="003F5C6B" w:rsidP="009E5F35">
      <w:pPr>
        <w:spacing w:after="0" w:line="240" w:lineRule="auto"/>
        <w:jc w:val="center"/>
        <w:sectPr w:rsidR="003F5C6B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E5F35" w:rsidRPr="003F5C6B" w:rsidRDefault="009E5F35" w:rsidP="009E5F35">
      <w:pPr>
        <w:spacing w:after="0" w:line="240" w:lineRule="auto"/>
        <w:jc w:val="center"/>
      </w:pPr>
    </w:p>
    <w:p w:rsidR="003F5C6B" w:rsidRPr="0043314C" w:rsidRDefault="003F5C6B" w:rsidP="0036440E">
      <w:pPr>
        <w:spacing w:after="0" w:line="240" w:lineRule="auto"/>
        <w:jc w:val="center"/>
      </w:pPr>
      <w:r w:rsidRPr="003F5C6B">
        <w:rPr>
          <w:noProof/>
          <w:lang w:eastAsia="fr-FR"/>
        </w:rPr>
        <w:drawing>
          <wp:inline distT="0" distB="0" distL="0" distR="0" wp14:anchorId="2A8BC604" wp14:editId="4F38548E">
            <wp:extent cx="7392670" cy="334708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2670" cy="334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5C6B" w:rsidRPr="0043314C" w:rsidSect="003F5C6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C2E" w:rsidRDefault="00491C2E" w:rsidP="00C44F2A">
      <w:pPr>
        <w:spacing w:after="0" w:line="240" w:lineRule="auto"/>
      </w:pPr>
      <w:r>
        <w:separator/>
      </w:r>
    </w:p>
  </w:endnote>
  <w:endnote w:type="continuationSeparator" w:id="0">
    <w:p w:rsidR="00491C2E" w:rsidRDefault="00491C2E" w:rsidP="00C4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170189"/>
      <w:docPartObj>
        <w:docPartGallery w:val="Page Numbers (Bottom of Page)"/>
        <w:docPartUnique/>
      </w:docPartObj>
    </w:sdtPr>
    <w:sdtEndPr/>
    <w:sdtContent>
      <w:p w:rsidR="00491C2E" w:rsidRDefault="00491C2E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40E">
          <w:rPr>
            <w:noProof/>
          </w:rPr>
          <w:t>2</w:t>
        </w:r>
        <w:r>
          <w:fldChar w:fldCharType="end"/>
        </w:r>
      </w:p>
    </w:sdtContent>
  </w:sdt>
  <w:p w:rsidR="00491C2E" w:rsidRDefault="00491C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C2E" w:rsidRDefault="00491C2E" w:rsidP="00C44F2A">
      <w:pPr>
        <w:spacing w:after="0" w:line="240" w:lineRule="auto"/>
      </w:pPr>
      <w:r>
        <w:separator/>
      </w:r>
    </w:p>
  </w:footnote>
  <w:footnote w:type="continuationSeparator" w:id="0">
    <w:p w:rsidR="00491C2E" w:rsidRDefault="00491C2E" w:rsidP="00C44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478"/>
    <w:multiLevelType w:val="hybridMultilevel"/>
    <w:tmpl w:val="A396501E"/>
    <w:lvl w:ilvl="0" w:tplc="27C2B9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B5FB3"/>
    <w:multiLevelType w:val="hybridMultilevel"/>
    <w:tmpl w:val="986CEBE0"/>
    <w:lvl w:ilvl="0" w:tplc="092679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367BA"/>
    <w:multiLevelType w:val="hybridMultilevel"/>
    <w:tmpl w:val="367C938A"/>
    <w:lvl w:ilvl="0" w:tplc="52201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F236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4C44EE5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B44298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71353F78"/>
    <w:multiLevelType w:val="hybridMultilevel"/>
    <w:tmpl w:val="13FAA43C"/>
    <w:lvl w:ilvl="0" w:tplc="77882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2A"/>
    <w:rsid w:val="000212E3"/>
    <w:rsid w:val="0005644C"/>
    <w:rsid w:val="0008685D"/>
    <w:rsid w:val="0015156E"/>
    <w:rsid w:val="00152B2E"/>
    <w:rsid w:val="001913AB"/>
    <w:rsid w:val="001B2DDA"/>
    <w:rsid w:val="002205D3"/>
    <w:rsid w:val="00241A4A"/>
    <w:rsid w:val="00286886"/>
    <w:rsid w:val="002907D2"/>
    <w:rsid w:val="002A6E5D"/>
    <w:rsid w:val="002A7101"/>
    <w:rsid w:val="002B70C6"/>
    <w:rsid w:val="002C47BD"/>
    <w:rsid w:val="002C636D"/>
    <w:rsid w:val="00321B2B"/>
    <w:rsid w:val="00341701"/>
    <w:rsid w:val="0036293A"/>
    <w:rsid w:val="0036440E"/>
    <w:rsid w:val="00373B38"/>
    <w:rsid w:val="003E28FC"/>
    <w:rsid w:val="003F5C6B"/>
    <w:rsid w:val="0043314C"/>
    <w:rsid w:val="004855C8"/>
    <w:rsid w:val="00491C2E"/>
    <w:rsid w:val="00493D8B"/>
    <w:rsid w:val="004F2657"/>
    <w:rsid w:val="00517232"/>
    <w:rsid w:val="00571701"/>
    <w:rsid w:val="00594644"/>
    <w:rsid w:val="005B39B0"/>
    <w:rsid w:val="005C3B6E"/>
    <w:rsid w:val="0066744D"/>
    <w:rsid w:val="006F06B9"/>
    <w:rsid w:val="006F4C23"/>
    <w:rsid w:val="00716282"/>
    <w:rsid w:val="00794A86"/>
    <w:rsid w:val="00811036"/>
    <w:rsid w:val="00870F47"/>
    <w:rsid w:val="00877D8F"/>
    <w:rsid w:val="00891E81"/>
    <w:rsid w:val="00951F25"/>
    <w:rsid w:val="009B0140"/>
    <w:rsid w:val="009E5F35"/>
    <w:rsid w:val="00A3378A"/>
    <w:rsid w:val="00A873E7"/>
    <w:rsid w:val="00B24561"/>
    <w:rsid w:val="00BC6970"/>
    <w:rsid w:val="00BC6A2C"/>
    <w:rsid w:val="00BE386F"/>
    <w:rsid w:val="00BF46FC"/>
    <w:rsid w:val="00C15EB9"/>
    <w:rsid w:val="00C166E0"/>
    <w:rsid w:val="00C44F2A"/>
    <w:rsid w:val="00C56A00"/>
    <w:rsid w:val="00C71391"/>
    <w:rsid w:val="00CB36C7"/>
    <w:rsid w:val="00CD17A3"/>
    <w:rsid w:val="00D3319E"/>
    <w:rsid w:val="00D40FB1"/>
    <w:rsid w:val="00D43D45"/>
    <w:rsid w:val="00D608E9"/>
    <w:rsid w:val="00D66CEF"/>
    <w:rsid w:val="00D77674"/>
    <w:rsid w:val="00D95E2F"/>
    <w:rsid w:val="00DA437B"/>
    <w:rsid w:val="00DA5C99"/>
    <w:rsid w:val="00DA6EA0"/>
    <w:rsid w:val="00DB3049"/>
    <w:rsid w:val="00DC7ADB"/>
    <w:rsid w:val="00E54B68"/>
    <w:rsid w:val="00EE0316"/>
    <w:rsid w:val="00EE4C83"/>
    <w:rsid w:val="00EF4B15"/>
    <w:rsid w:val="00EF5D29"/>
    <w:rsid w:val="00F02B38"/>
    <w:rsid w:val="00F03450"/>
    <w:rsid w:val="00F07144"/>
    <w:rsid w:val="00F3043D"/>
    <w:rsid w:val="00F82D86"/>
    <w:rsid w:val="00FD24E9"/>
    <w:rsid w:val="00FE6C34"/>
    <w:rsid w:val="00FF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26074-EEDA-486B-A264-64A6F15A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F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4F2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4F2A"/>
    <w:pPr>
      <w:ind w:left="720"/>
      <w:contextualSpacing/>
    </w:pPr>
  </w:style>
  <w:style w:type="paragraph" w:customStyle="1" w:styleId="Paragraphedeliste1">
    <w:name w:val="Paragraphe de liste1"/>
    <w:basedOn w:val="Normal"/>
    <w:rsid w:val="00C44F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44F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4F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4F2A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F2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4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4F2A"/>
  </w:style>
  <w:style w:type="paragraph" w:styleId="Pieddepage">
    <w:name w:val="footer"/>
    <w:basedOn w:val="Normal"/>
    <w:link w:val="PieddepageCar"/>
    <w:uiPriority w:val="99"/>
    <w:unhideWhenUsed/>
    <w:rsid w:val="00C4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4F2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D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D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ADNOT</dc:creator>
  <cp:lastModifiedBy>WILKINSON Baptiste (UA 2775)</cp:lastModifiedBy>
  <cp:revision>9</cp:revision>
  <dcterms:created xsi:type="dcterms:W3CDTF">2020-12-17T17:20:00Z</dcterms:created>
  <dcterms:modified xsi:type="dcterms:W3CDTF">2023-01-02T16:25:00Z</dcterms:modified>
</cp:coreProperties>
</file>