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4F2A" w:rsidRPr="00C44F2A" w:rsidRDefault="00C44F2A" w:rsidP="00C44F2A">
      <w:pPr>
        <w:spacing w:after="0" w:line="240" w:lineRule="auto"/>
        <w:rPr>
          <w:rFonts w:ascii="Garamond" w:eastAsia="Times New Roman" w:hAnsi="Garamond" w:cs="Times New Roman"/>
          <w:b/>
          <w:color w:val="003B8E"/>
          <w:lang w:eastAsia="fr-FR"/>
        </w:rPr>
      </w:pPr>
      <w:bookmarkStart w:id="0" w:name="_GoBack"/>
      <w:bookmarkEnd w:id="0"/>
    </w:p>
    <w:p w:rsidR="00321B2B" w:rsidRDefault="00074DE9" w:rsidP="00321B2B">
      <w:pPr>
        <w:rPr>
          <w:rFonts w:ascii="Garamond" w:hAnsi="Garamond"/>
          <w:lang w:val="en-US"/>
        </w:rPr>
      </w:pPr>
      <w:r w:rsidRPr="00186C94">
        <w:rPr>
          <w:noProof/>
          <w:color w:val="FFFFFF"/>
          <w:lang w:eastAsia="fr-FR"/>
        </w:rPr>
        <w:drawing>
          <wp:inline distT="0" distB="0" distL="0" distR="0" wp14:anchorId="6081BB37" wp14:editId="6BF82876">
            <wp:extent cx="1110545" cy="990021"/>
            <wp:effectExtent l="0" t="0" r="0" b="635"/>
            <wp:docPr id="1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119861" cy="998326"/>
                    </a:xfrm>
                    <a:prstGeom prst="rect">
                      <a:avLst/>
                    </a:prstGeom>
                    <a:noFill/>
                    <a:ln w="9525">
                      <a:noFill/>
                      <a:miter lim="800000"/>
                      <a:headEnd/>
                      <a:tailEnd/>
                    </a:ln>
                  </pic:spPr>
                </pic:pic>
              </a:graphicData>
            </a:graphic>
          </wp:inline>
        </w:drawing>
      </w:r>
    </w:p>
    <w:p w:rsidR="00321B2B" w:rsidRDefault="00321B2B" w:rsidP="00321B2B">
      <w:pPr>
        <w:jc w:val="center"/>
        <w:rPr>
          <w:rFonts w:ascii="Garamond" w:hAnsi="Garamond"/>
          <w:b/>
          <w:sz w:val="28"/>
          <w:szCs w:val="28"/>
        </w:rPr>
      </w:pPr>
      <w:r>
        <w:rPr>
          <w:rFonts w:ascii="Garamond" w:hAnsi="Garamond"/>
          <w:b/>
          <w:sz w:val="28"/>
          <w:szCs w:val="28"/>
        </w:rPr>
        <w:t xml:space="preserve">Guide méthodologique </w:t>
      </w:r>
    </w:p>
    <w:p w:rsidR="00321B2B" w:rsidRDefault="00321B2B" w:rsidP="00321B2B">
      <w:pPr>
        <w:jc w:val="center"/>
        <w:rPr>
          <w:rFonts w:ascii="Garamond" w:hAnsi="Garamond"/>
          <w:b/>
          <w:sz w:val="28"/>
          <w:szCs w:val="28"/>
        </w:rPr>
      </w:pPr>
      <w:r>
        <w:rPr>
          <w:rFonts w:ascii="Garamond" w:hAnsi="Garamond"/>
          <w:b/>
          <w:sz w:val="28"/>
          <w:szCs w:val="28"/>
        </w:rPr>
        <w:t>Documents prudentiels européens quantitatifs à communiquer annuellement et trimestriellement par les organismes de retraite professionnelle supplémentaire</w:t>
      </w:r>
    </w:p>
    <w:p w:rsidR="00321B2B" w:rsidRDefault="00321B2B" w:rsidP="00321B2B">
      <w:pPr>
        <w:spacing w:after="0" w:line="240" w:lineRule="auto"/>
        <w:jc w:val="center"/>
        <w:rPr>
          <w:rFonts w:ascii="Garamond" w:hAnsi="Garamond"/>
        </w:rPr>
      </w:pPr>
      <w:r>
        <w:rPr>
          <w:rFonts w:ascii="Garamond" w:hAnsi="Garamond"/>
        </w:rPr>
        <w:tab/>
      </w:r>
    </w:p>
    <w:p w:rsidR="00321B2B" w:rsidRDefault="00321B2B" w:rsidP="00321B2B">
      <w:pPr>
        <w:spacing w:after="0" w:line="240" w:lineRule="auto"/>
        <w:jc w:val="center"/>
        <w:rPr>
          <w:rFonts w:ascii="Garamond" w:hAnsi="Garamond"/>
        </w:rPr>
      </w:pPr>
    </w:p>
    <w:p w:rsidR="00321B2B" w:rsidRDefault="00321B2B" w:rsidP="00321B2B">
      <w:pPr>
        <w:pStyle w:val="Paragraphedeliste1"/>
        <w:ind w:left="0" w:firstLine="708"/>
        <w:rPr>
          <w:rFonts w:ascii="Garamond" w:hAnsi="Garamond"/>
          <w:szCs w:val="22"/>
        </w:rPr>
      </w:pPr>
      <w:r>
        <w:rPr>
          <w:rFonts w:ascii="Garamond" w:hAnsi="Garamond"/>
          <w:szCs w:val="22"/>
        </w:rPr>
        <w:t xml:space="preserve">Ce guide méthodologique traite des états quantitatifs présentés dans </w:t>
      </w:r>
      <w:r w:rsidR="004E6797">
        <w:rPr>
          <w:rFonts w:ascii="Garamond" w:hAnsi="Garamond"/>
          <w:szCs w:val="22"/>
        </w:rPr>
        <w:t>l’instruction 2020-I-05.</w:t>
      </w:r>
    </w:p>
    <w:p w:rsidR="00C44F2A" w:rsidRDefault="00C44F2A" w:rsidP="00C44F2A">
      <w:pPr>
        <w:spacing w:after="0" w:line="240" w:lineRule="auto"/>
        <w:jc w:val="center"/>
        <w:rPr>
          <w:rFonts w:ascii="Garamond" w:eastAsia="Times New Roman" w:hAnsi="Garamond" w:cs="Times New Roman"/>
          <w:b/>
          <w:color w:val="003B8E"/>
          <w:lang w:eastAsia="fr-FR"/>
        </w:rPr>
      </w:pPr>
    </w:p>
    <w:p w:rsidR="00C44F2A" w:rsidRDefault="00C44F2A" w:rsidP="00C44F2A">
      <w:pPr>
        <w:spacing w:after="0" w:line="240" w:lineRule="auto"/>
        <w:jc w:val="center"/>
        <w:rPr>
          <w:rFonts w:ascii="Garamond" w:eastAsia="Times New Roman" w:hAnsi="Garamond" w:cs="Times New Roman"/>
          <w:b/>
          <w:color w:val="003B8E"/>
          <w:lang w:eastAsia="fr-FR"/>
        </w:rPr>
      </w:pPr>
    </w:p>
    <w:p w:rsidR="009E5F35" w:rsidRPr="009E5F35" w:rsidRDefault="009E5F35" w:rsidP="009E5F35">
      <w:pPr>
        <w:spacing w:after="0" w:line="240" w:lineRule="auto"/>
        <w:jc w:val="center"/>
        <w:rPr>
          <w:rFonts w:ascii="Garamond" w:eastAsia="Times New Roman" w:hAnsi="Garamond" w:cs="Times New Roman"/>
          <w:b/>
          <w:color w:val="003B8E"/>
          <w:lang w:eastAsia="fr-FR"/>
        </w:rPr>
      </w:pPr>
      <w:r>
        <w:rPr>
          <w:rFonts w:ascii="Garamond" w:eastAsia="Times New Roman" w:hAnsi="Garamond" w:cs="Times New Roman"/>
          <w:b/>
          <w:color w:val="003B8E"/>
          <w:lang w:eastAsia="fr-FR"/>
        </w:rPr>
        <w:t>PFE.06.03</w:t>
      </w:r>
      <w:r w:rsidR="00176292">
        <w:rPr>
          <w:rFonts w:ascii="Garamond" w:eastAsia="Times New Roman" w:hAnsi="Garamond" w:cs="Times New Roman"/>
          <w:b/>
          <w:color w:val="003B8E"/>
          <w:lang w:eastAsia="fr-FR"/>
        </w:rPr>
        <w:t xml:space="preserve"> </w:t>
      </w:r>
    </w:p>
    <w:p w:rsidR="009E5F35" w:rsidRPr="009E5F35" w:rsidRDefault="009E5F35" w:rsidP="009E5F35">
      <w:pPr>
        <w:spacing w:after="0" w:line="240" w:lineRule="auto"/>
        <w:jc w:val="center"/>
        <w:rPr>
          <w:rFonts w:ascii="Garamond" w:eastAsia="Times New Roman" w:hAnsi="Garamond" w:cs="Times New Roman"/>
          <w:b/>
          <w:color w:val="003B8E"/>
          <w:lang w:eastAsia="fr-FR"/>
        </w:rPr>
      </w:pPr>
      <w:r w:rsidRPr="009E5F35">
        <w:rPr>
          <w:rFonts w:ascii="Garamond" w:eastAsia="Times New Roman" w:hAnsi="Garamond" w:cs="Times New Roman"/>
          <w:b/>
          <w:color w:val="003B8E"/>
          <w:lang w:eastAsia="fr-FR"/>
        </w:rPr>
        <w:t>Organismes de placement collectif (OPC) et fonds d'investissement – Approche par transparence (Remise annuelle)</w:t>
      </w:r>
    </w:p>
    <w:p w:rsidR="009E5F35" w:rsidRPr="009E5F35" w:rsidRDefault="009E5F35" w:rsidP="009E5F35">
      <w:pPr>
        <w:spacing w:before="20" w:after="0" w:line="240" w:lineRule="auto"/>
        <w:jc w:val="both"/>
        <w:rPr>
          <w:rFonts w:ascii="Garamond" w:eastAsia="Times New Roman" w:hAnsi="Garamond" w:cs="Times New Roman"/>
          <w:lang w:eastAsia="fr-FR"/>
        </w:rPr>
      </w:pPr>
    </w:p>
    <w:p w:rsidR="009E5F35" w:rsidRPr="009E5F35" w:rsidRDefault="009E5F35" w:rsidP="009E5F35">
      <w:pPr>
        <w:spacing w:after="0" w:line="240" w:lineRule="auto"/>
        <w:rPr>
          <w:rFonts w:ascii="Garamond" w:eastAsia="Times New Roman" w:hAnsi="Garamond" w:cs="Times New Roman"/>
          <w:lang w:eastAsia="fr-FR"/>
        </w:rPr>
      </w:pPr>
    </w:p>
    <w:p w:rsidR="006C2D2C" w:rsidRDefault="006C2D2C" w:rsidP="006C2D2C">
      <w:pPr>
        <w:numPr>
          <w:ilvl w:val="0"/>
          <w:numId w:val="5"/>
        </w:numPr>
        <w:spacing w:before="120" w:after="0" w:line="240" w:lineRule="auto"/>
        <w:contextualSpacing/>
        <w:rPr>
          <w:rFonts w:ascii="Garamond" w:hAnsi="Garamond"/>
          <w:b/>
        </w:rPr>
      </w:pPr>
      <w:r>
        <w:rPr>
          <w:rFonts w:ascii="Garamond" w:hAnsi="Garamond"/>
          <w:b/>
        </w:rPr>
        <w:t>Généralités</w:t>
      </w:r>
    </w:p>
    <w:p w:rsidR="006C2D2C" w:rsidRDefault="006C2D2C" w:rsidP="006C2D2C">
      <w:pPr>
        <w:spacing w:before="120" w:after="0" w:line="240" w:lineRule="auto"/>
        <w:contextualSpacing/>
        <w:rPr>
          <w:rFonts w:ascii="Garamond" w:hAnsi="Garamond"/>
          <w:b/>
        </w:rPr>
      </w:pPr>
    </w:p>
    <w:p w:rsidR="006C2D2C" w:rsidRDefault="006C2D2C" w:rsidP="00054A98">
      <w:pPr>
        <w:spacing w:before="120" w:after="0" w:line="240" w:lineRule="auto"/>
        <w:contextualSpacing/>
        <w:jc w:val="both"/>
        <w:rPr>
          <w:rFonts w:ascii="Garamond" w:hAnsi="Garamond"/>
        </w:rPr>
      </w:pPr>
      <w:r w:rsidRPr="00DB60AB">
        <w:rPr>
          <w:rFonts w:ascii="Garamond" w:hAnsi="Garamond"/>
        </w:rPr>
        <w:t xml:space="preserve">L’état </w:t>
      </w:r>
      <w:r>
        <w:rPr>
          <w:rFonts w:ascii="Garamond" w:hAnsi="Garamond"/>
        </w:rPr>
        <w:t>PFE.06.03 « </w:t>
      </w:r>
      <w:r w:rsidRPr="00DB60AB">
        <w:rPr>
          <w:rFonts w:ascii="Garamond" w:hAnsi="Garamond"/>
        </w:rPr>
        <w:t>Organismes de placement collectif (OPC) et fonds d'investissement – Approche par transparence</w:t>
      </w:r>
      <w:r>
        <w:rPr>
          <w:rFonts w:ascii="Garamond" w:hAnsi="Garamond"/>
        </w:rPr>
        <w:t> » doit être déclaré si la valeur totale des parts dans des fonds d’investissements (autre</w:t>
      </w:r>
      <w:r w:rsidR="004E6797">
        <w:rPr>
          <w:rFonts w:ascii="Garamond" w:hAnsi="Garamond"/>
        </w:rPr>
        <w:t>s</w:t>
      </w:r>
      <w:r>
        <w:rPr>
          <w:rFonts w:ascii="Garamond" w:hAnsi="Garamond"/>
        </w:rPr>
        <w:t xml:space="preserve"> que </w:t>
      </w:r>
      <w:r w:rsidR="006C60BD">
        <w:rPr>
          <w:rFonts w:ascii="Garamond" w:hAnsi="Garamond"/>
        </w:rPr>
        <w:t>OPCVM</w:t>
      </w:r>
      <w:r>
        <w:rPr>
          <w:rFonts w:ascii="Garamond" w:hAnsi="Garamond"/>
        </w:rPr>
        <w:t>) dépasse 10% de la valeur de tous les investissements.</w:t>
      </w:r>
      <w:r w:rsidR="00991509">
        <w:rPr>
          <w:rFonts w:ascii="Garamond" w:hAnsi="Garamond"/>
        </w:rPr>
        <w:t xml:space="preserve"> La </w:t>
      </w:r>
      <w:proofErr w:type="spellStart"/>
      <w:r w:rsidR="00991509">
        <w:rPr>
          <w:rFonts w:ascii="Garamond" w:hAnsi="Garamond"/>
        </w:rPr>
        <w:t>transparisation</w:t>
      </w:r>
      <w:proofErr w:type="spellEnd"/>
      <w:r w:rsidR="00991509">
        <w:rPr>
          <w:rFonts w:ascii="Garamond" w:hAnsi="Garamond"/>
        </w:rPr>
        <w:t xml:space="preserve"> doit couvrir au moins 90% de la valeur total des parts dans des fonds d’investissements. Les 10% restant (valeurs résiduelles non </w:t>
      </w:r>
      <w:r w:rsidR="00CD58A5">
        <w:rPr>
          <w:rFonts w:ascii="Garamond" w:hAnsi="Garamond"/>
        </w:rPr>
        <w:t>significatives</w:t>
      </w:r>
      <w:r w:rsidR="00991509">
        <w:rPr>
          <w:rFonts w:ascii="Garamond" w:hAnsi="Garamond"/>
        </w:rPr>
        <w:t xml:space="preserve">) doivent être reportés comme étant de la catégorie CIC 4 et du pays « AA ». Pendant la période de transition, la </w:t>
      </w:r>
      <w:proofErr w:type="spellStart"/>
      <w:r w:rsidR="00991509">
        <w:rPr>
          <w:rFonts w:ascii="Garamond" w:hAnsi="Garamond"/>
        </w:rPr>
        <w:t>transparisation</w:t>
      </w:r>
      <w:proofErr w:type="spellEnd"/>
      <w:r w:rsidR="00991509">
        <w:rPr>
          <w:rFonts w:ascii="Garamond" w:hAnsi="Garamond"/>
        </w:rPr>
        <w:t xml:space="preserve"> ne concerne que les parts dans des fonds d’investissements autre que </w:t>
      </w:r>
      <w:r w:rsidR="006C60BD">
        <w:rPr>
          <w:rFonts w:ascii="Garamond" w:hAnsi="Garamond"/>
        </w:rPr>
        <w:t>OPCVM</w:t>
      </w:r>
      <w:r w:rsidR="00991509">
        <w:rPr>
          <w:rFonts w:ascii="Garamond" w:hAnsi="Garamond"/>
        </w:rPr>
        <w:t xml:space="preserve">, sous </w:t>
      </w:r>
      <w:r w:rsidR="00CD58A5">
        <w:rPr>
          <w:rFonts w:ascii="Garamond" w:hAnsi="Garamond"/>
        </w:rPr>
        <w:t>réserves</w:t>
      </w:r>
      <w:r w:rsidR="00991509">
        <w:rPr>
          <w:rFonts w:ascii="Garamond" w:hAnsi="Garamond"/>
        </w:rPr>
        <w:t xml:space="preserve"> </w:t>
      </w:r>
      <w:r w:rsidR="00CD58A5">
        <w:rPr>
          <w:rFonts w:ascii="Garamond" w:hAnsi="Garamond"/>
        </w:rPr>
        <w:t>qu</w:t>
      </w:r>
      <w:r w:rsidR="006C60BD">
        <w:rPr>
          <w:rFonts w:ascii="Garamond" w:hAnsi="Garamond"/>
        </w:rPr>
        <w:t xml:space="preserve">e ces OPCVM </w:t>
      </w:r>
      <w:r w:rsidR="00CD58A5">
        <w:rPr>
          <w:rFonts w:ascii="Garamond" w:hAnsi="Garamond"/>
        </w:rPr>
        <w:t>soient clairement identifié</w:t>
      </w:r>
      <w:r w:rsidR="006C60BD">
        <w:rPr>
          <w:rFonts w:ascii="Garamond" w:hAnsi="Garamond"/>
        </w:rPr>
        <w:t>s</w:t>
      </w:r>
      <w:r w:rsidR="00CD58A5">
        <w:rPr>
          <w:rFonts w:ascii="Garamond" w:hAnsi="Garamond"/>
        </w:rPr>
        <w:t xml:space="preserve"> comme </w:t>
      </w:r>
      <w:r w:rsidR="006C60BD">
        <w:rPr>
          <w:rFonts w:ascii="Garamond" w:hAnsi="Garamond"/>
        </w:rPr>
        <w:t xml:space="preserve">des OPCVM </w:t>
      </w:r>
      <w:r w:rsidR="00CD58A5">
        <w:rPr>
          <w:rFonts w:ascii="Garamond" w:hAnsi="Garamond"/>
        </w:rPr>
        <w:t>et détaillé</w:t>
      </w:r>
      <w:r w:rsidR="006C60BD">
        <w:rPr>
          <w:rFonts w:ascii="Garamond" w:hAnsi="Garamond"/>
        </w:rPr>
        <w:t>s</w:t>
      </w:r>
      <w:r w:rsidR="00CD58A5">
        <w:rPr>
          <w:rFonts w:ascii="Garamond" w:hAnsi="Garamond"/>
        </w:rPr>
        <w:t xml:space="preserve"> actif par actif dans l’état « </w:t>
      </w:r>
      <w:r w:rsidR="00CD58A5" w:rsidRPr="00CD58A5">
        <w:rPr>
          <w:rFonts w:ascii="Garamond" w:hAnsi="Garamond"/>
        </w:rPr>
        <w:t>État des placements</w:t>
      </w:r>
      <w:r w:rsidR="00CD58A5">
        <w:rPr>
          <w:rFonts w:ascii="Garamond" w:hAnsi="Garamond"/>
        </w:rPr>
        <w:t xml:space="preserve"> » (PFEF.06.02.30)</w:t>
      </w:r>
      <w:r w:rsidR="009C233E">
        <w:rPr>
          <w:rFonts w:ascii="Garamond" w:hAnsi="Garamond"/>
        </w:rPr>
        <w:t>.</w:t>
      </w:r>
    </w:p>
    <w:p w:rsidR="009C233E" w:rsidRDefault="009C233E" w:rsidP="00054A98">
      <w:pPr>
        <w:spacing w:before="120" w:after="0" w:line="240" w:lineRule="auto"/>
        <w:contextualSpacing/>
        <w:jc w:val="both"/>
        <w:rPr>
          <w:rFonts w:ascii="Garamond" w:hAnsi="Garamond"/>
        </w:rPr>
      </w:pPr>
    </w:p>
    <w:p w:rsidR="00DB60AB" w:rsidRPr="00DB60AB" w:rsidRDefault="00DB60AB" w:rsidP="00DB60AB">
      <w:pPr>
        <w:spacing w:before="120" w:after="0" w:line="240" w:lineRule="auto"/>
        <w:contextualSpacing/>
        <w:rPr>
          <w:rFonts w:ascii="Garamond" w:hAnsi="Garamond"/>
        </w:rPr>
      </w:pPr>
    </w:p>
    <w:p w:rsidR="009E5F35" w:rsidRPr="009E5F35" w:rsidRDefault="009E5F35" w:rsidP="009E5F35">
      <w:pPr>
        <w:numPr>
          <w:ilvl w:val="0"/>
          <w:numId w:val="5"/>
        </w:numPr>
        <w:spacing w:before="120" w:after="0" w:line="240" w:lineRule="auto"/>
        <w:contextualSpacing/>
        <w:rPr>
          <w:rFonts w:ascii="Garamond" w:hAnsi="Garamond"/>
          <w:b/>
        </w:rPr>
      </w:pPr>
      <w:r w:rsidRPr="009E5F35">
        <w:rPr>
          <w:rFonts w:ascii="Garamond" w:eastAsia="Times New Roman" w:hAnsi="Garamond" w:cs="Times New Roman"/>
          <w:b/>
          <w:lang w:eastAsia="fr-FR"/>
        </w:rPr>
        <w:t>Colonnes</w:t>
      </w:r>
    </w:p>
    <w:p w:rsidR="009E5F35" w:rsidRPr="009E5F35" w:rsidRDefault="009E5F35" w:rsidP="009E5F35">
      <w:pPr>
        <w:rPr>
          <w:rFonts w:ascii="Garamond" w:hAnsi="Garamond"/>
        </w:rPr>
      </w:pPr>
    </w:p>
    <w:tbl>
      <w:tblPr>
        <w:tblW w:w="9087" w:type="dxa"/>
        <w:tblInd w:w="55" w:type="dxa"/>
        <w:tblCellMar>
          <w:left w:w="70" w:type="dxa"/>
          <w:right w:w="70" w:type="dxa"/>
        </w:tblCellMar>
        <w:tblLook w:val="04A0" w:firstRow="1" w:lastRow="0" w:firstColumn="1" w:lastColumn="0" w:noHBand="0" w:noVBand="1"/>
      </w:tblPr>
      <w:tblGrid>
        <w:gridCol w:w="3072"/>
        <w:gridCol w:w="922"/>
        <w:gridCol w:w="5093"/>
      </w:tblGrid>
      <w:tr w:rsidR="009E5F35" w:rsidRPr="009E5F35" w:rsidTr="00376B7C">
        <w:trPr>
          <w:trHeight w:val="300"/>
        </w:trPr>
        <w:tc>
          <w:tcPr>
            <w:tcW w:w="3072" w:type="dxa"/>
            <w:tcBorders>
              <w:top w:val="single" w:sz="4" w:space="0" w:color="auto"/>
              <w:left w:val="single" w:sz="4" w:space="0" w:color="auto"/>
              <w:bottom w:val="single" w:sz="4" w:space="0" w:color="auto"/>
              <w:right w:val="single" w:sz="4" w:space="0" w:color="auto"/>
            </w:tcBorders>
            <w:shd w:val="clear" w:color="auto" w:fill="auto"/>
            <w:vAlign w:val="center"/>
          </w:tcPr>
          <w:p w:rsidR="009E5F35" w:rsidRPr="009E5F35" w:rsidRDefault="009E5F35" w:rsidP="009E5F35">
            <w:pPr>
              <w:spacing w:after="0" w:line="240" w:lineRule="auto"/>
              <w:rPr>
                <w:rFonts w:ascii="Garamond" w:eastAsia="Times New Roman" w:hAnsi="Garamond" w:cs="Times New Roman"/>
                <w:b/>
                <w:bCs/>
                <w:lang w:eastAsia="fr-FR"/>
              </w:rPr>
            </w:pPr>
            <w:r w:rsidRPr="009E5F35">
              <w:rPr>
                <w:rFonts w:ascii="Garamond" w:eastAsia="Times New Roman" w:hAnsi="Garamond" w:cs="Times New Roman"/>
                <w:b/>
                <w:bCs/>
                <w:lang w:eastAsia="fr-FR"/>
              </w:rPr>
              <w:t>Intitulé</w:t>
            </w:r>
            <w:r w:rsidRPr="009E5F35">
              <w:rPr>
                <w:rFonts w:ascii="Garamond" w:eastAsia="Times New Roman" w:hAnsi="Garamond" w:cs="Times New Roman"/>
                <w:b/>
                <w:bCs/>
                <w:lang w:eastAsia="fr-FR"/>
              </w:rPr>
              <w:tab/>
            </w:r>
          </w:p>
        </w:tc>
        <w:tc>
          <w:tcPr>
            <w:tcW w:w="9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5F35" w:rsidRPr="009E5F35" w:rsidRDefault="009E5F35" w:rsidP="009E5F35">
            <w:pPr>
              <w:spacing w:after="0" w:line="240" w:lineRule="auto"/>
              <w:rPr>
                <w:rFonts w:ascii="Garamond" w:eastAsia="Times New Roman" w:hAnsi="Garamond" w:cs="Times New Roman"/>
                <w:b/>
                <w:bCs/>
                <w:lang w:eastAsia="fr-FR"/>
              </w:rPr>
            </w:pPr>
            <w:r w:rsidRPr="009E5F35">
              <w:rPr>
                <w:rFonts w:ascii="Garamond" w:eastAsia="Times New Roman" w:hAnsi="Garamond" w:cs="Times New Roman"/>
                <w:b/>
                <w:bCs/>
                <w:lang w:eastAsia="fr-FR"/>
              </w:rPr>
              <w:t>Colonne</w:t>
            </w:r>
          </w:p>
        </w:tc>
        <w:tc>
          <w:tcPr>
            <w:tcW w:w="5093" w:type="dxa"/>
            <w:tcBorders>
              <w:top w:val="single" w:sz="4" w:space="0" w:color="auto"/>
              <w:left w:val="single" w:sz="4" w:space="0" w:color="auto"/>
              <w:bottom w:val="single" w:sz="4" w:space="0" w:color="auto"/>
              <w:right w:val="single" w:sz="4" w:space="0" w:color="auto"/>
            </w:tcBorders>
          </w:tcPr>
          <w:p w:rsidR="009E5F35" w:rsidRPr="009E5F35" w:rsidRDefault="009E5F35" w:rsidP="009E5F35">
            <w:pPr>
              <w:spacing w:after="0" w:line="240" w:lineRule="auto"/>
              <w:rPr>
                <w:rFonts w:ascii="Garamond" w:eastAsia="Times New Roman" w:hAnsi="Garamond" w:cs="Times New Roman"/>
                <w:b/>
                <w:bCs/>
                <w:lang w:eastAsia="fr-FR"/>
              </w:rPr>
            </w:pPr>
            <w:r w:rsidRPr="009E5F35">
              <w:rPr>
                <w:rFonts w:ascii="Garamond" w:eastAsia="Times New Roman" w:hAnsi="Garamond" w:cs="Times New Roman"/>
                <w:b/>
                <w:bCs/>
                <w:lang w:eastAsia="fr-FR"/>
              </w:rPr>
              <w:t>Définition et formule</w:t>
            </w:r>
          </w:p>
        </w:tc>
      </w:tr>
      <w:tr w:rsidR="009E5F35" w:rsidRPr="009E5F35" w:rsidTr="00376B7C">
        <w:trPr>
          <w:trHeight w:val="300"/>
        </w:trPr>
        <w:tc>
          <w:tcPr>
            <w:tcW w:w="3072" w:type="dxa"/>
            <w:tcBorders>
              <w:top w:val="nil"/>
              <w:left w:val="single" w:sz="4" w:space="0" w:color="auto"/>
              <w:bottom w:val="single" w:sz="4" w:space="0" w:color="auto"/>
              <w:right w:val="single" w:sz="4" w:space="0" w:color="auto"/>
            </w:tcBorders>
            <w:shd w:val="clear" w:color="auto" w:fill="auto"/>
            <w:vAlign w:val="center"/>
          </w:tcPr>
          <w:p w:rsidR="009E5F35" w:rsidRPr="009E5F35" w:rsidRDefault="009E5F35" w:rsidP="009E5F35">
            <w:pPr>
              <w:rPr>
                <w:rFonts w:ascii="Garamond" w:hAnsi="Garamond"/>
              </w:rPr>
            </w:pPr>
            <w:r w:rsidRPr="009E5F35">
              <w:rPr>
                <w:rFonts w:ascii="Garamond" w:hAnsi="Garamond"/>
              </w:rPr>
              <w:t>Code d’identification de la ligne</w:t>
            </w:r>
            <w:r w:rsidRPr="009E5F35">
              <w:rPr>
                <w:rFonts w:ascii="Garamond" w:hAnsi="Garamond"/>
              </w:rPr>
              <w:tab/>
            </w:r>
          </w:p>
        </w:tc>
        <w:tc>
          <w:tcPr>
            <w:tcW w:w="922" w:type="dxa"/>
            <w:tcBorders>
              <w:top w:val="nil"/>
              <w:left w:val="single" w:sz="4" w:space="0" w:color="auto"/>
              <w:bottom w:val="single" w:sz="4" w:space="0" w:color="auto"/>
              <w:right w:val="single" w:sz="4" w:space="0" w:color="auto"/>
            </w:tcBorders>
            <w:shd w:val="clear" w:color="auto" w:fill="auto"/>
            <w:vAlign w:val="center"/>
          </w:tcPr>
          <w:p w:rsidR="009E5F35" w:rsidRPr="009E5F35" w:rsidRDefault="009E5F35" w:rsidP="009E5F35">
            <w:pPr>
              <w:jc w:val="center"/>
              <w:rPr>
                <w:rFonts w:ascii="Garamond" w:hAnsi="Garamond"/>
              </w:rPr>
            </w:pPr>
            <w:r w:rsidRPr="009E5F35">
              <w:rPr>
                <w:rFonts w:ascii="Garamond" w:hAnsi="Garamond"/>
              </w:rPr>
              <w:t>C0001</w:t>
            </w:r>
          </w:p>
        </w:tc>
        <w:tc>
          <w:tcPr>
            <w:tcW w:w="5093" w:type="dxa"/>
            <w:tcBorders>
              <w:top w:val="nil"/>
              <w:left w:val="single" w:sz="4" w:space="0" w:color="auto"/>
              <w:bottom w:val="single" w:sz="4" w:space="0" w:color="auto"/>
              <w:right w:val="single" w:sz="4" w:space="0" w:color="auto"/>
            </w:tcBorders>
          </w:tcPr>
          <w:p w:rsidR="009E5F35" w:rsidRPr="009E5F35" w:rsidRDefault="00A05F50" w:rsidP="009E5F35">
            <w:pPr>
              <w:rPr>
                <w:rFonts w:ascii="Garamond" w:hAnsi="Garamond"/>
              </w:rPr>
            </w:pPr>
            <w:r>
              <w:rPr>
                <w:rFonts w:ascii="Garamond" w:hAnsi="Garamond"/>
              </w:rPr>
              <w:t>Colonne complémentaire</w:t>
            </w:r>
            <w:r w:rsidR="00376B7C">
              <w:rPr>
                <w:rFonts w:ascii="Garamond" w:hAnsi="Garamond"/>
              </w:rPr>
              <w:t xml:space="preserve"> af</w:t>
            </w:r>
            <w:r w:rsidR="0002010E">
              <w:rPr>
                <w:rFonts w:ascii="Garamond" w:hAnsi="Garamond"/>
              </w:rPr>
              <w:t>i</w:t>
            </w:r>
            <w:r w:rsidR="00376B7C">
              <w:rPr>
                <w:rFonts w:ascii="Garamond" w:hAnsi="Garamond"/>
              </w:rPr>
              <w:t>n d’attribuer à chaque ligne un code unique.</w:t>
            </w:r>
          </w:p>
        </w:tc>
      </w:tr>
      <w:tr w:rsidR="009E5F35" w:rsidRPr="009E5F35" w:rsidTr="00376B7C">
        <w:trPr>
          <w:trHeight w:val="300"/>
        </w:trPr>
        <w:tc>
          <w:tcPr>
            <w:tcW w:w="3072" w:type="dxa"/>
            <w:tcBorders>
              <w:top w:val="nil"/>
              <w:left w:val="single" w:sz="4" w:space="0" w:color="auto"/>
              <w:bottom w:val="single" w:sz="4" w:space="0" w:color="auto"/>
              <w:right w:val="single" w:sz="4" w:space="0" w:color="auto"/>
            </w:tcBorders>
            <w:shd w:val="clear" w:color="auto" w:fill="auto"/>
            <w:vAlign w:val="center"/>
          </w:tcPr>
          <w:p w:rsidR="009E5F35" w:rsidRPr="009E5F35" w:rsidRDefault="009E5F35" w:rsidP="009E5F35">
            <w:pPr>
              <w:rPr>
                <w:rFonts w:ascii="Garamond" w:hAnsi="Garamond"/>
              </w:rPr>
            </w:pPr>
            <w:r w:rsidRPr="009E5F35">
              <w:rPr>
                <w:rFonts w:ascii="Garamond" w:hAnsi="Garamond"/>
              </w:rPr>
              <w:t>Code d’identification de l’organisme de placement collectif</w:t>
            </w:r>
          </w:p>
        </w:tc>
        <w:tc>
          <w:tcPr>
            <w:tcW w:w="922" w:type="dxa"/>
            <w:tcBorders>
              <w:top w:val="nil"/>
              <w:left w:val="single" w:sz="4" w:space="0" w:color="auto"/>
              <w:bottom w:val="single" w:sz="4" w:space="0" w:color="auto"/>
              <w:right w:val="single" w:sz="4" w:space="0" w:color="auto"/>
            </w:tcBorders>
            <w:shd w:val="clear" w:color="auto" w:fill="auto"/>
            <w:vAlign w:val="center"/>
          </w:tcPr>
          <w:p w:rsidR="009E5F35" w:rsidRPr="009E5F35" w:rsidRDefault="009E5F35" w:rsidP="009E5F35">
            <w:pPr>
              <w:jc w:val="center"/>
              <w:rPr>
                <w:rFonts w:ascii="Garamond" w:hAnsi="Garamond"/>
              </w:rPr>
            </w:pPr>
            <w:r w:rsidRPr="009E5F35">
              <w:rPr>
                <w:rFonts w:ascii="Garamond" w:hAnsi="Garamond"/>
              </w:rPr>
              <w:t>C0010</w:t>
            </w:r>
          </w:p>
        </w:tc>
        <w:tc>
          <w:tcPr>
            <w:tcW w:w="5093" w:type="dxa"/>
            <w:tcBorders>
              <w:top w:val="nil"/>
              <w:left w:val="single" w:sz="4" w:space="0" w:color="auto"/>
              <w:bottom w:val="single" w:sz="4" w:space="0" w:color="auto"/>
              <w:right w:val="single" w:sz="4" w:space="0" w:color="auto"/>
            </w:tcBorders>
          </w:tcPr>
          <w:p w:rsidR="00376B7C" w:rsidRDefault="00376B7C" w:rsidP="00376B7C">
            <w:pPr>
              <w:rPr>
                <w:rFonts w:ascii="Garamond" w:hAnsi="Garamond"/>
              </w:rPr>
            </w:pPr>
            <w:r>
              <w:rPr>
                <w:rFonts w:ascii="Garamond" w:hAnsi="Garamond"/>
              </w:rPr>
              <w:t>Le code d’identification de l’organisme de placement collectif peut être :</w:t>
            </w:r>
          </w:p>
          <w:p w:rsidR="00376B7C" w:rsidRDefault="00376B7C" w:rsidP="00376B7C">
            <w:pPr>
              <w:rPr>
                <w:rFonts w:ascii="Garamond" w:hAnsi="Garamond"/>
              </w:rPr>
            </w:pPr>
            <w:r>
              <w:rPr>
                <w:rFonts w:ascii="Garamond" w:hAnsi="Garamond"/>
              </w:rPr>
              <w:t>- Un code ISIN (catégorie ISO 6166)</w:t>
            </w:r>
          </w:p>
          <w:p w:rsidR="00376B7C" w:rsidRDefault="00376B7C" w:rsidP="00376B7C">
            <w:pPr>
              <w:rPr>
                <w:rFonts w:ascii="Garamond" w:hAnsi="Garamond"/>
              </w:rPr>
            </w:pPr>
            <w:r>
              <w:rPr>
                <w:rFonts w:ascii="Garamond" w:hAnsi="Garamond"/>
              </w:rPr>
              <w:t>Si ce dernier n’est pas disponible :</w:t>
            </w:r>
          </w:p>
          <w:p w:rsidR="00376B7C" w:rsidRDefault="00376B7C" w:rsidP="00376B7C">
            <w:pPr>
              <w:pStyle w:val="Paragraphedeliste"/>
              <w:numPr>
                <w:ilvl w:val="0"/>
                <w:numId w:val="6"/>
              </w:numPr>
              <w:rPr>
                <w:rFonts w:ascii="Garamond" w:hAnsi="Garamond"/>
              </w:rPr>
            </w:pPr>
            <w:r>
              <w:rPr>
                <w:rFonts w:ascii="Garamond" w:hAnsi="Garamond"/>
              </w:rPr>
              <w:t>Autres types de codes reconnus (</w:t>
            </w:r>
            <w:proofErr w:type="spellStart"/>
            <w:r>
              <w:rPr>
                <w:rFonts w:ascii="Garamond" w:hAnsi="Garamond"/>
              </w:rPr>
              <w:t>e.g</w:t>
            </w:r>
            <w:proofErr w:type="spellEnd"/>
            <w:r>
              <w:rPr>
                <w:rFonts w:ascii="Garamond" w:hAnsi="Garamond"/>
              </w:rPr>
              <w:t xml:space="preserve">.: CUSIP, Bloomberg </w:t>
            </w:r>
            <w:proofErr w:type="spellStart"/>
            <w:r>
              <w:rPr>
                <w:rFonts w:ascii="Garamond" w:hAnsi="Garamond"/>
              </w:rPr>
              <w:t>Ticker</w:t>
            </w:r>
            <w:proofErr w:type="spellEnd"/>
            <w:r>
              <w:rPr>
                <w:rFonts w:ascii="Garamond" w:hAnsi="Garamond"/>
              </w:rPr>
              <w:t xml:space="preserve">, Reuters RIC) </w:t>
            </w:r>
            <w:proofErr w:type="spellStart"/>
            <w:r>
              <w:rPr>
                <w:rFonts w:ascii="Garamond" w:hAnsi="Garamond"/>
              </w:rPr>
              <w:t>cf</w:t>
            </w:r>
            <w:proofErr w:type="spellEnd"/>
            <w:r>
              <w:rPr>
                <w:rFonts w:ascii="Garamond" w:hAnsi="Garamond"/>
              </w:rPr>
              <w:t xml:space="preserve"> liste ci-dessous</w:t>
            </w:r>
          </w:p>
          <w:p w:rsidR="00376B7C" w:rsidRDefault="00376B7C" w:rsidP="00376B7C">
            <w:pPr>
              <w:pStyle w:val="Paragraphedeliste"/>
              <w:numPr>
                <w:ilvl w:val="0"/>
                <w:numId w:val="6"/>
              </w:numPr>
              <w:rPr>
                <w:rFonts w:ascii="Garamond" w:hAnsi="Garamond"/>
                <w:lang w:val="en-US"/>
              </w:rPr>
            </w:pPr>
            <w:r>
              <w:rPr>
                <w:rFonts w:ascii="Garamond" w:hAnsi="Garamond"/>
              </w:rPr>
              <w:lastRenderedPageBreak/>
              <w:t xml:space="preserve">Si les types de codes reconnus ne sont pas applicables, un code unique est attribué à l’actif. </w:t>
            </w:r>
            <w:r w:rsidRPr="00054A98">
              <w:rPr>
                <w:rFonts w:ascii="Garamond" w:hAnsi="Garamond"/>
              </w:rPr>
              <w:t>Cette référence doit être conse</w:t>
            </w:r>
            <w:r w:rsidR="0002010E" w:rsidRPr="00054A98">
              <w:rPr>
                <w:rFonts w:ascii="Garamond" w:hAnsi="Garamond"/>
              </w:rPr>
              <w:t>rvée pour les remises suivantes</w:t>
            </w:r>
            <w:r>
              <w:rPr>
                <w:rFonts w:ascii="Garamond" w:hAnsi="Garamond"/>
                <w:lang w:val="en-US"/>
              </w:rPr>
              <w:t>.</w:t>
            </w:r>
          </w:p>
          <w:p w:rsidR="009E5F35" w:rsidRPr="009E5F35" w:rsidRDefault="009E5F35" w:rsidP="009E5F35">
            <w:pPr>
              <w:rPr>
                <w:rFonts w:ascii="Garamond" w:hAnsi="Garamond"/>
                <w:color w:val="FF0000"/>
              </w:rPr>
            </w:pPr>
          </w:p>
        </w:tc>
      </w:tr>
      <w:tr w:rsidR="00376B7C" w:rsidRPr="009E5F35" w:rsidTr="00376B7C">
        <w:trPr>
          <w:trHeight w:val="300"/>
        </w:trPr>
        <w:tc>
          <w:tcPr>
            <w:tcW w:w="3072" w:type="dxa"/>
            <w:tcBorders>
              <w:top w:val="nil"/>
              <w:left w:val="single" w:sz="4" w:space="0" w:color="auto"/>
              <w:bottom w:val="single" w:sz="4" w:space="0" w:color="auto"/>
              <w:right w:val="single" w:sz="4" w:space="0" w:color="auto"/>
            </w:tcBorders>
            <w:shd w:val="clear" w:color="auto" w:fill="auto"/>
            <w:vAlign w:val="center"/>
          </w:tcPr>
          <w:p w:rsidR="00376B7C" w:rsidRPr="009E5F35" w:rsidRDefault="00376B7C" w:rsidP="00376B7C">
            <w:pPr>
              <w:rPr>
                <w:rFonts w:ascii="Garamond" w:hAnsi="Garamond"/>
              </w:rPr>
            </w:pPr>
            <w:r w:rsidRPr="00376B7C">
              <w:rPr>
                <w:rFonts w:ascii="Garamond" w:hAnsi="Garamond"/>
              </w:rPr>
              <w:lastRenderedPageBreak/>
              <w:t>Type du code d’identification de l’organisme de placement collectif</w:t>
            </w:r>
          </w:p>
        </w:tc>
        <w:tc>
          <w:tcPr>
            <w:tcW w:w="922" w:type="dxa"/>
            <w:tcBorders>
              <w:top w:val="nil"/>
              <w:left w:val="single" w:sz="4" w:space="0" w:color="auto"/>
              <w:bottom w:val="single" w:sz="4" w:space="0" w:color="auto"/>
              <w:right w:val="single" w:sz="4" w:space="0" w:color="auto"/>
            </w:tcBorders>
            <w:shd w:val="clear" w:color="auto" w:fill="auto"/>
            <w:vAlign w:val="center"/>
          </w:tcPr>
          <w:p w:rsidR="00376B7C" w:rsidRPr="009E5F35" w:rsidRDefault="00376B7C" w:rsidP="00376B7C">
            <w:pPr>
              <w:jc w:val="center"/>
              <w:rPr>
                <w:rFonts w:ascii="Garamond" w:hAnsi="Garamond"/>
              </w:rPr>
            </w:pPr>
            <w:r>
              <w:rPr>
                <w:rFonts w:ascii="Garamond" w:hAnsi="Garamond"/>
              </w:rPr>
              <w:t>C0020</w:t>
            </w:r>
          </w:p>
        </w:tc>
        <w:tc>
          <w:tcPr>
            <w:tcW w:w="5093" w:type="dxa"/>
            <w:tcBorders>
              <w:top w:val="nil"/>
              <w:left w:val="single" w:sz="4" w:space="0" w:color="auto"/>
              <w:bottom w:val="single" w:sz="4" w:space="0" w:color="auto"/>
              <w:right w:val="single" w:sz="4" w:space="0" w:color="auto"/>
            </w:tcBorders>
          </w:tcPr>
          <w:p w:rsidR="00376B7C" w:rsidRPr="009E5F35" w:rsidRDefault="00376B7C" w:rsidP="00376B7C">
            <w:pPr>
              <w:rPr>
                <w:rFonts w:ascii="Garamond" w:hAnsi="Garamond"/>
              </w:rPr>
            </w:pPr>
            <w:r w:rsidRPr="009E5F35">
              <w:rPr>
                <w:rFonts w:ascii="Garamond" w:hAnsi="Garamond"/>
              </w:rPr>
              <w:t>Indiquer le type de code d’identification utilisé pour l’élément «</w:t>
            </w:r>
            <w:r>
              <w:rPr>
                <w:rFonts w:ascii="Garamond" w:hAnsi="Garamond"/>
              </w:rPr>
              <w:t xml:space="preserve"> C</w:t>
            </w:r>
            <w:r w:rsidRPr="009E5F35">
              <w:rPr>
                <w:rFonts w:ascii="Garamond" w:hAnsi="Garamond"/>
              </w:rPr>
              <w:t xml:space="preserve">ode d’identification de </w:t>
            </w:r>
            <w:r>
              <w:rPr>
                <w:rFonts w:ascii="Garamond" w:hAnsi="Garamond"/>
              </w:rPr>
              <w:t xml:space="preserve">l’organisme de placement collectif </w:t>
            </w:r>
            <w:r w:rsidRPr="009E5F35">
              <w:rPr>
                <w:rFonts w:ascii="Garamond" w:hAnsi="Garamond"/>
              </w:rPr>
              <w:t>». Choisir impérativement l’une des options suivantes:</w:t>
            </w:r>
          </w:p>
          <w:p w:rsidR="00376B7C" w:rsidRPr="009E5F35" w:rsidRDefault="00376B7C" w:rsidP="00376B7C">
            <w:pPr>
              <w:rPr>
                <w:rFonts w:ascii="Garamond" w:hAnsi="Garamond"/>
              </w:rPr>
            </w:pPr>
            <w:r>
              <w:rPr>
                <w:rFonts w:ascii="Garamond" w:hAnsi="Garamond"/>
              </w:rPr>
              <w:t xml:space="preserve">1 </w:t>
            </w:r>
            <w:r w:rsidRPr="009E5F35">
              <w:rPr>
                <w:rFonts w:ascii="Garamond" w:hAnsi="Garamond"/>
              </w:rPr>
              <w:t>– code ISIN de l’ISO 6166</w:t>
            </w:r>
          </w:p>
          <w:p w:rsidR="00376B7C" w:rsidRPr="009E5F35" w:rsidRDefault="00376B7C" w:rsidP="00376B7C">
            <w:pPr>
              <w:rPr>
                <w:rFonts w:ascii="Garamond" w:hAnsi="Garamond"/>
              </w:rPr>
            </w:pPr>
            <w:r w:rsidRPr="009E5F35">
              <w:rPr>
                <w:rFonts w:ascii="Garamond" w:hAnsi="Garamond"/>
              </w:rPr>
              <w:t>2 – code CUSIP (</w:t>
            </w:r>
            <w:proofErr w:type="spellStart"/>
            <w:r w:rsidRPr="009E5F35">
              <w:rPr>
                <w:rFonts w:ascii="Garamond" w:hAnsi="Garamond"/>
              </w:rPr>
              <w:t>Committee</w:t>
            </w:r>
            <w:proofErr w:type="spellEnd"/>
            <w:r w:rsidRPr="009E5F35">
              <w:rPr>
                <w:rFonts w:ascii="Garamond" w:hAnsi="Garamond"/>
              </w:rPr>
              <w:t xml:space="preserve"> on Uniform Securities Identification </w:t>
            </w:r>
            <w:proofErr w:type="spellStart"/>
            <w:r w:rsidRPr="009E5F35">
              <w:rPr>
                <w:rFonts w:ascii="Garamond" w:hAnsi="Garamond"/>
              </w:rPr>
              <w:t>Procedures</w:t>
            </w:r>
            <w:proofErr w:type="spellEnd"/>
            <w:r w:rsidRPr="009E5F35">
              <w:rPr>
                <w:rFonts w:ascii="Garamond" w:hAnsi="Garamond"/>
              </w:rPr>
              <w:t>): numéro attribué par le CUSIP Service Bureau pour les entreprises américaines et canadiennes</w:t>
            </w:r>
          </w:p>
          <w:p w:rsidR="00376B7C" w:rsidRPr="009E5F35" w:rsidRDefault="00376B7C" w:rsidP="00376B7C">
            <w:pPr>
              <w:rPr>
                <w:rFonts w:ascii="Garamond" w:hAnsi="Garamond"/>
              </w:rPr>
            </w:pPr>
            <w:r w:rsidRPr="009E5F35">
              <w:rPr>
                <w:rFonts w:ascii="Garamond" w:hAnsi="Garamond"/>
              </w:rPr>
              <w:t>3 – SEDOL (Stock Exchange Daily Official List pour la bourse de Londres)</w:t>
            </w:r>
          </w:p>
          <w:p w:rsidR="00376B7C" w:rsidRPr="009E5F35" w:rsidRDefault="00376B7C" w:rsidP="00376B7C">
            <w:pPr>
              <w:rPr>
                <w:rFonts w:ascii="Garamond" w:hAnsi="Garamond"/>
              </w:rPr>
            </w:pPr>
            <w:r w:rsidRPr="009E5F35">
              <w:rPr>
                <w:rFonts w:ascii="Garamond" w:hAnsi="Garamond"/>
              </w:rPr>
              <w:t>4 – WKN (</w:t>
            </w:r>
            <w:proofErr w:type="spellStart"/>
            <w:r w:rsidRPr="009E5F35">
              <w:rPr>
                <w:rFonts w:ascii="Garamond" w:hAnsi="Garamond"/>
              </w:rPr>
              <w:t>Wertpapier</w:t>
            </w:r>
            <w:proofErr w:type="spellEnd"/>
            <w:r w:rsidRPr="009E5F35">
              <w:rPr>
                <w:rFonts w:ascii="Garamond" w:hAnsi="Garamond"/>
              </w:rPr>
              <w:t xml:space="preserve"> Kenn-</w:t>
            </w:r>
            <w:proofErr w:type="spellStart"/>
            <w:r w:rsidRPr="009E5F35">
              <w:rPr>
                <w:rFonts w:ascii="Garamond" w:hAnsi="Garamond"/>
              </w:rPr>
              <w:t>Nummer</w:t>
            </w:r>
            <w:proofErr w:type="spellEnd"/>
            <w:r w:rsidRPr="009E5F35">
              <w:rPr>
                <w:rFonts w:ascii="Garamond" w:hAnsi="Garamond"/>
              </w:rPr>
              <w:t>, le numéro d’identification alphanumérique allemand)</w:t>
            </w:r>
          </w:p>
          <w:p w:rsidR="00376B7C" w:rsidRPr="009E5F35" w:rsidRDefault="00376B7C" w:rsidP="00376B7C">
            <w:pPr>
              <w:rPr>
                <w:rFonts w:ascii="Garamond" w:hAnsi="Garamond"/>
              </w:rPr>
            </w:pPr>
            <w:r w:rsidRPr="009E5F35">
              <w:rPr>
                <w:rFonts w:ascii="Garamond" w:hAnsi="Garamond"/>
              </w:rPr>
              <w:t xml:space="preserve">5 – Bloomberg </w:t>
            </w:r>
            <w:proofErr w:type="spellStart"/>
            <w:r w:rsidRPr="009E5F35">
              <w:rPr>
                <w:rFonts w:ascii="Garamond" w:hAnsi="Garamond"/>
              </w:rPr>
              <w:t>Ticker</w:t>
            </w:r>
            <w:proofErr w:type="spellEnd"/>
            <w:r w:rsidRPr="009E5F35">
              <w:rPr>
                <w:rFonts w:ascii="Garamond" w:hAnsi="Garamond"/>
              </w:rPr>
              <w:t xml:space="preserve"> (code à lettres Bloomberg d’identification des titres d’une société)</w:t>
            </w:r>
          </w:p>
          <w:p w:rsidR="00376B7C" w:rsidRPr="009E5F35" w:rsidRDefault="00376B7C" w:rsidP="00376B7C">
            <w:pPr>
              <w:rPr>
                <w:rFonts w:ascii="Garamond" w:hAnsi="Garamond"/>
              </w:rPr>
            </w:pPr>
            <w:r w:rsidRPr="009E5F35">
              <w:rPr>
                <w:rFonts w:ascii="Garamond" w:hAnsi="Garamond"/>
              </w:rPr>
              <w:t>6 – BBGID (Bloomberg Global ID)</w:t>
            </w:r>
          </w:p>
          <w:p w:rsidR="00376B7C" w:rsidRPr="009E5F35" w:rsidRDefault="00376B7C" w:rsidP="00376B7C">
            <w:pPr>
              <w:rPr>
                <w:rFonts w:ascii="Garamond" w:hAnsi="Garamond"/>
              </w:rPr>
            </w:pPr>
            <w:r w:rsidRPr="009E5F35">
              <w:rPr>
                <w:rFonts w:ascii="Garamond" w:hAnsi="Garamond"/>
              </w:rPr>
              <w:t>7 – Reuters RIC (Reuters Instrument Code)</w:t>
            </w:r>
          </w:p>
          <w:p w:rsidR="00376B7C" w:rsidRPr="009E5F35" w:rsidRDefault="00376B7C" w:rsidP="00376B7C">
            <w:pPr>
              <w:rPr>
                <w:rFonts w:ascii="Garamond" w:hAnsi="Garamond"/>
              </w:rPr>
            </w:pPr>
            <w:r w:rsidRPr="009E5F35">
              <w:rPr>
                <w:rFonts w:ascii="Garamond" w:hAnsi="Garamond"/>
              </w:rPr>
              <w:t>8 – FIGI (Financial Instrument Global Identifier)</w:t>
            </w:r>
          </w:p>
          <w:p w:rsidR="00376B7C" w:rsidRPr="009E5F35" w:rsidRDefault="00376B7C" w:rsidP="00376B7C">
            <w:pPr>
              <w:rPr>
                <w:rFonts w:ascii="Garamond" w:hAnsi="Garamond"/>
              </w:rPr>
            </w:pPr>
            <w:r w:rsidRPr="009E5F35">
              <w:rPr>
                <w:rFonts w:ascii="Garamond" w:hAnsi="Garamond"/>
              </w:rPr>
              <w:t>9 – Autre code attribué par un membre de l’Association des agences nationales de codification</w:t>
            </w:r>
          </w:p>
          <w:p w:rsidR="00376B7C" w:rsidRPr="009E5F35" w:rsidRDefault="00376B7C" w:rsidP="00376B7C">
            <w:pPr>
              <w:rPr>
                <w:rFonts w:ascii="Garamond" w:hAnsi="Garamond"/>
              </w:rPr>
            </w:pPr>
            <w:r w:rsidRPr="009E5F35">
              <w:rPr>
                <w:rFonts w:ascii="Garamond" w:hAnsi="Garamond"/>
              </w:rPr>
              <w:t>99 – Code attribué par le FRPS</w:t>
            </w:r>
          </w:p>
        </w:tc>
      </w:tr>
      <w:tr w:rsidR="00376B7C" w:rsidRPr="009E5F35" w:rsidTr="00376B7C">
        <w:trPr>
          <w:trHeight w:val="300"/>
        </w:trPr>
        <w:tc>
          <w:tcPr>
            <w:tcW w:w="3072" w:type="dxa"/>
            <w:tcBorders>
              <w:top w:val="nil"/>
              <w:left w:val="single" w:sz="4" w:space="0" w:color="auto"/>
              <w:bottom w:val="single" w:sz="4" w:space="0" w:color="auto"/>
              <w:right w:val="single" w:sz="4" w:space="0" w:color="auto"/>
            </w:tcBorders>
            <w:shd w:val="clear" w:color="auto" w:fill="auto"/>
            <w:vAlign w:val="center"/>
          </w:tcPr>
          <w:p w:rsidR="00376B7C" w:rsidRPr="009E5F35" w:rsidRDefault="00376B7C" w:rsidP="00376B7C">
            <w:pPr>
              <w:rPr>
                <w:rFonts w:ascii="Garamond" w:hAnsi="Garamond"/>
              </w:rPr>
            </w:pPr>
            <w:r w:rsidRPr="009E5F35">
              <w:rPr>
                <w:rFonts w:ascii="Garamond" w:hAnsi="Garamond"/>
              </w:rPr>
              <w:t>Catégorie d’actifs sous-jacents</w:t>
            </w:r>
          </w:p>
        </w:tc>
        <w:tc>
          <w:tcPr>
            <w:tcW w:w="922" w:type="dxa"/>
            <w:tcBorders>
              <w:top w:val="nil"/>
              <w:left w:val="single" w:sz="4" w:space="0" w:color="auto"/>
              <w:bottom w:val="single" w:sz="4" w:space="0" w:color="auto"/>
              <w:right w:val="single" w:sz="4" w:space="0" w:color="auto"/>
            </w:tcBorders>
            <w:shd w:val="clear" w:color="auto" w:fill="auto"/>
            <w:vAlign w:val="center"/>
          </w:tcPr>
          <w:p w:rsidR="00376B7C" w:rsidRPr="009E5F35" w:rsidRDefault="00376B7C" w:rsidP="00376B7C">
            <w:pPr>
              <w:jc w:val="center"/>
              <w:rPr>
                <w:rFonts w:ascii="Garamond" w:hAnsi="Garamond"/>
              </w:rPr>
            </w:pPr>
            <w:r w:rsidRPr="009E5F35">
              <w:rPr>
                <w:rFonts w:ascii="Garamond" w:hAnsi="Garamond"/>
              </w:rPr>
              <w:t>C0030</w:t>
            </w:r>
          </w:p>
        </w:tc>
        <w:tc>
          <w:tcPr>
            <w:tcW w:w="5093" w:type="dxa"/>
            <w:tcBorders>
              <w:top w:val="nil"/>
              <w:left w:val="single" w:sz="4" w:space="0" w:color="auto"/>
              <w:bottom w:val="single" w:sz="4" w:space="0" w:color="auto"/>
              <w:right w:val="single" w:sz="4" w:space="0" w:color="auto"/>
            </w:tcBorders>
          </w:tcPr>
          <w:p w:rsidR="00376B7C" w:rsidRPr="009E5F35" w:rsidRDefault="00376B7C" w:rsidP="00376B7C">
            <w:pPr>
              <w:rPr>
                <w:rFonts w:ascii="Garamond" w:hAnsi="Garamond"/>
              </w:rPr>
            </w:pPr>
            <w:r w:rsidRPr="009E5F35">
              <w:rPr>
                <w:rFonts w:ascii="Garamond" w:hAnsi="Garamond"/>
              </w:rPr>
              <w:t>Identifier les catégories d’actifs, les éléments à recevoir et les dérivés au sein de l’OPC. Choisir impérativement l’une des options suivantes:</w:t>
            </w:r>
          </w:p>
          <w:p w:rsidR="00376B7C" w:rsidRPr="009E5F35" w:rsidRDefault="00376B7C" w:rsidP="00376B7C">
            <w:pPr>
              <w:rPr>
                <w:rFonts w:ascii="Garamond" w:hAnsi="Garamond"/>
              </w:rPr>
            </w:pPr>
            <w:r w:rsidRPr="009E5F35">
              <w:rPr>
                <w:rFonts w:ascii="Garamond" w:hAnsi="Garamond"/>
              </w:rPr>
              <w:t>1 – Obligations d’État</w:t>
            </w:r>
          </w:p>
          <w:p w:rsidR="00376B7C" w:rsidRPr="009E5F35" w:rsidRDefault="00376B7C" w:rsidP="00376B7C">
            <w:pPr>
              <w:rPr>
                <w:rFonts w:ascii="Garamond" w:hAnsi="Garamond"/>
              </w:rPr>
            </w:pPr>
            <w:r w:rsidRPr="009E5F35">
              <w:rPr>
                <w:rFonts w:ascii="Garamond" w:hAnsi="Garamond"/>
              </w:rPr>
              <w:t>2 – Obligations d’entreprise</w:t>
            </w:r>
          </w:p>
          <w:p w:rsidR="00376B7C" w:rsidRPr="009E5F35" w:rsidRDefault="00376B7C" w:rsidP="00376B7C">
            <w:pPr>
              <w:rPr>
                <w:rFonts w:ascii="Garamond" w:hAnsi="Garamond"/>
              </w:rPr>
            </w:pPr>
            <w:r w:rsidRPr="009E5F35">
              <w:rPr>
                <w:rFonts w:ascii="Garamond" w:hAnsi="Garamond"/>
              </w:rPr>
              <w:t>3L – Actions cotées</w:t>
            </w:r>
          </w:p>
          <w:p w:rsidR="00376B7C" w:rsidRPr="009E5F35" w:rsidRDefault="00376B7C" w:rsidP="00376B7C">
            <w:pPr>
              <w:rPr>
                <w:rFonts w:ascii="Garamond" w:hAnsi="Garamond"/>
              </w:rPr>
            </w:pPr>
            <w:r w:rsidRPr="009E5F35">
              <w:rPr>
                <w:rFonts w:ascii="Garamond" w:hAnsi="Garamond"/>
              </w:rPr>
              <w:t>3X – Actions non cotées</w:t>
            </w:r>
          </w:p>
          <w:p w:rsidR="00376B7C" w:rsidRPr="009E5F35" w:rsidRDefault="00376B7C" w:rsidP="00376B7C">
            <w:pPr>
              <w:rPr>
                <w:rFonts w:ascii="Garamond" w:hAnsi="Garamond"/>
              </w:rPr>
            </w:pPr>
            <w:r w:rsidRPr="009E5F35">
              <w:rPr>
                <w:rFonts w:ascii="Garamond" w:hAnsi="Garamond"/>
              </w:rPr>
              <w:t>4 – Parts d’organismes de placement collectif</w:t>
            </w:r>
          </w:p>
          <w:p w:rsidR="00376B7C" w:rsidRPr="009E5F35" w:rsidRDefault="00376B7C" w:rsidP="00376B7C">
            <w:pPr>
              <w:rPr>
                <w:rFonts w:ascii="Garamond" w:hAnsi="Garamond"/>
              </w:rPr>
            </w:pPr>
            <w:r w:rsidRPr="009E5F35">
              <w:rPr>
                <w:rFonts w:ascii="Garamond" w:hAnsi="Garamond"/>
              </w:rPr>
              <w:lastRenderedPageBreak/>
              <w:t>5 – Titres structurés</w:t>
            </w:r>
          </w:p>
          <w:p w:rsidR="00376B7C" w:rsidRPr="009E5F35" w:rsidRDefault="00376B7C" w:rsidP="00376B7C">
            <w:pPr>
              <w:rPr>
                <w:rFonts w:ascii="Garamond" w:hAnsi="Garamond"/>
              </w:rPr>
            </w:pPr>
            <w:r w:rsidRPr="009E5F35">
              <w:rPr>
                <w:rFonts w:ascii="Garamond" w:hAnsi="Garamond"/>
              </w:rPr>
              <w:t>6 – Titres garantis</w:t>
            </w:r>
          </w:p>
          <w:p w:rsidR="00376B7C" w:rsidRPr="009E5F35" w:rsidRDefault="00376B7C" w:rsidP="00376B7C">
            <w:pPr>
              <w:rPr>
                <w:rFonts w:ascii="Garamond" w:hAnsi="Garamond"/>
              </w:rPr>
            </w:pPr>
            <w:r w:rsidRPr="009E5F35">
              <w:rPr>
                <w:rFonts w:ascii="Garamond" w:hAnsi="Garamond"/>
              </w:rPr>
              <w:t>7 – Trésorerie et dépôts</w:t>
            </w:r>
          </w:p>
          <w:p w:rsidR="00376B7C" w:rsidRPr="009E5F35" w:rsidRDefault="00376B7C" w:rsidP="00376B7C">
            <w:pPr>
              <w:rPr>
                <w:rFonts w:ascii="Garamond" w:hAnsi="Garamond"/>
              </w:rPr>
            </w:pPr>
            <w:r w:rsidRPr="009E5F35">
              <w:rPr>
                <w:rFonts w:ascii="Garamond" w:hAnsi="Garamond"/>
              </w:rPr>
              <w:t>8 – Prêts et prêts hypothécaires</w:t>
            </w:r>
          </w:p>
          <w:p w:rsidR="00376B7C" w:rsidRPr="009E5F35" w:rsidRDefault="00376B7C" w:rsidP="00376B7C">
            <w:pPr>
              <w:rPr>
                <w:rFonts w:ascii="Garamond" w:hAnsi="Garamond"/>
              </w:rPr>
            </w:pPr>
            <w:r w:rsidRPr="009E5F35">
              <w:rPr>
                <w:rFonts w:ascii="Garamond" w:hAnsi="Garamond"/>
              </w:rPr>
              <w:t>9 – Immobilisations corporelles</w:t>
            </w:r>
          </w:p>
          <w:p w:rsidR="00376B7C" w:rsidRPr="009E5F35" w:rsidRDefault="00376B7C" w:rsidP="00376B7C">
            <w:pPr>
              <w:rPr>
                <w:rFonts w:ascii="Garamond" w:hAnsi="Garamond"/>
              </w:rPr>
            </w:pPr>
            <w:r w:rsidRPr="009E5F35">
              <w:rPr>
                <w:rFonts w:ascii="Garamond" w:hAnsi="Garamond"/>
              </w:rPr>
              <w:t>0 – Autres investissements (y compris éléments à recevoir)</w:t>
            </w:r>
          </w:p>
          <w:p w:rsidR="00376B7C" w:rsidRPr="009E5F35" w:rsidRDefault="00376B7C" w:rsidP="00376B7C">
            <w:pPr>
              <w:rPr>
                <w:rFonts w:ascii="Garamond" w:hAnsi="Garamond"/>
              </w:rPr>
            </w:pPr>
            <w:r w:rsidRPr="009E5F35">
              <w:rPr>
                <w:rFonts w:ascii="Garamond" w:hAnsi="Garamond"/>
              </w:rPr>
              <w:t>A – Contrats à terme standardisés (futures)</w:t>
            </w:r>
          </w:p>
          <w:p w:rsidR="00376B7C" w:rsidRPr="009E5F35" w:rsidRDefault="00376B7C" w:rsidP="00376B7C">
            <w:pPr>
              <w:rPr>
                <w:rFonts w:ascii="Garamond" w:hAnsi="Garamond"/>
                <w:lang w:val="en-US"/>
              </w:rPr>
            </w:pPr>
            <w:r w:rsidRPr="009E5F35">
              <w:rPr>
                <w:rFonts w:ascii="Garamond" w:hAnsi="Garamond"/>
                <w:lang w:val="en-US"/>
              </w:rPr>
              <w:t xml:space="preserve">B – Options </w:t>
            </w:r>
            <w:proofErr w:type="spellStart"/>
            <w:r w:rsidRPr="009E5F35">
              <w:rPr>
                <w:rFonts w:ascii="Garamond" w:hAnsi="Garamond"/>
                <w:lang w:val="en-US"/>
              </w:rPr>
              <w:t>d’achat</w:t>
            </w:r>
            <w:proofErr w:type="spellEnd"/>
            <w:r w:rsidRPr="009E5F35">
              <w:rPr>
                <w:rFonts w:ascii="Garamond" w:hAnsi="Garamond"/>
                <w:lang w:val="en-US"/>
              </w:rPr>
              <w:t xml:space="preserve"> (call options)</w:t>
            </w:r>
          </w:p>
          <w:p w:rsidR="00376B7C" w:rsidRPr="009E5F35" w:rsidRDefault="00376B7C" w:rsidP="00376B7C">
            <w:pPr>
              <w:rPr>
                <w:rFonts w:ascii="Garamond" w:hAnsi="Garamond"/>
              </w:rPr>
            </w:pPr>
            <w:r w:rsidRPr="009E5F35">
              <w:rPr>
                <w:rFonts w:ascii="Garamond" w:hAnsi="Garamond"/>
              </w:rPr>
              <w:t>C – Options de vente (put options)</w:t>
            </w:r>
          </w:p>
          <w:p w:rsidR="00376B7C" w:rsidRPr="009E5F35" w:rsidRDefault="00376B7C" w:rsidP="00376B7C">
            <w:pPr>
              <w:rPr>
                <w:rFonts w:ascii="Garamond" w:hAnsi="Garamond"/>
              </w:rPr>
            </w:pPr>
            <w:r w:rsidRPr="009E5F35">
              <w:rPr>
                <w:rFonts w:ascii="Garamond" w:hAnsi="Garamond"/>
              </w:rPr>
              <w:t>D – Contrats d’échange (swaps)</w:t>
            </w:r>
          </w:p>
          <w:p w:rsidR="00376B7C" w:rsidRPr="009E5F35" w:rsidRDefault="00376B7C" w:rsidP="00376B7C">
            <w:pPr>
              <w:rPr>
                <w:rFonts w:ascii="Garamond" w:hAnsi="Garamond"/>
              </w:rPr>
            </w:pPr>
            <w:r w:rsidRPr="009E5F35">
              <w:rPr>
                <w:rFonts w:ascii="Garamond" w:hAnsi="Garamond"/>
              </w:rPr>
              <w:t>E – Contrats à terme de gré à gré (</w:t>
            </w:r>
            <w:proofErr w:type="spellStart"/>
            <w:r w:rsidRPr="009E5F35">
              <w:rPr>
                <w:rFonts w:ascii="Garamond" w:hAnsi="Garamond"/>
              </w:rPr>
              <w:t>forwards</w:t>
            </w:r>
            <w:proofErr w:type="spellEnd"/>
            <w:r w:rsidRPr="009E5F35">
              <w:rPr>
                <w:rFonts w:ascii="Garamond" w:hAnsi="Garamond"/>
              </w:rPr>
              <w:t>)</w:t>
            </w:r>
          </w:p>
          <w:p w:rsidR="00376B7C" w:rsidRPr="009E5F35" w:rsidRDefault="00376B7C" w:rsidP="00376B7C">
            <w:pPr>
              <w:rPr>
                <w:rFonts w:ascii="Garamond" w:hAnsi="Garamond"/>
              </w:rPr>
            </w:pPr>
            <w:r w:rsidRPr="009E5F35">
              <w:rPr>
                <w:rFonts w:ascii="Garamond" w:hAnsi="Garamond"/>
              </w:rPr>
              <w:t>F – Dérivés de crédit</w:t>
            </w:r>
          </w:p>
          <w:p w:rsidR="00376B7C" w:rsidRPr="009E5F35" w:rsidRDefault="00376B7C" w:rsidP="00376B7C">
            <w:pPr>
              <w:rPr>
                <w:rFonts w:ascii="Garamond" w:hAnsi="Garamond"/>
              </w:rPr>
            </w:pPr>
            <w:r w:rsidRPr="009E5F35">
              <w:rPr>
                <w:rFonts w:ascii="Garamond" w:hAnsi="Garamond"/>
              </w:rPr>
              <w:t>L – Passifs</w:t>
            </w:r>
          </w:p>
          <w:p w:rsidR="00376B7C" w:rsidRPr="009E5F35" w:rsidRDefault="00376B7C" w:rsidP="00376B7C">
            <w:pPr>
              <w:rPr>
                <w:rFonts w:ascii="Garamond" w:hAnsi="Garamond"/>
              </w:rPr>
            </w:pPr>
          </w:p>
          <w:p w:rsidR="00376B7C" w:rsidRPr="009E5F35" w:rsidRDefault="00376B7C" w:rsidP="00376B7C">
            <w:pPr>
              <w:rPr>
                <w:rFonts w:ascii="Garamond" w:hAnsi="Garamond"/>
                <w:color w:val="FF0000"/>
              </w:rPr>
            </w:pPr>
            <w:r w:rsidRPr="009E5F35">
              <w:rPr>
                <w:rFonts w:ascii="Garamond" w:hAnsi="Garamond"/>
              </w:rPr>
              <w:t>La catégorie 4 «Parts d’organismes de placement collectif» ne peut être utilisée que pour les valeurs résiduelles non significatives</w:t>
            </w:r>
          </w:p>
        </w:tc>
      </w:tr>
      <w:tr w:rsidR="00376B7C" w:rsidRPr="00376B7C" w:rsidTr="00376B7C">
        <w:trPr>
          <w:trHeight w:val="300"/>
        </w:trPr>
        <w:tc>
          <w:tcPr>
            <w:tcW w:w="3072" w:type="dxa"/>
            <w:tcBorders>
              <w:top w:val="nil"/>
              <w:left w:val="single" w:sz="4" w:space="0" w:color="auto"/>
              <w:bottom w:val="single" w:sz="4" w:space="0" w:color="auto"/>
              <w:right w:val="single" w:sz="4" w:space="0" w:color="auto"/>
            </w:tcBorders>
            <w:shd w:val="clear" w:color="auto" w:fill="auto"/>
            <w:vAlign w:val="center"/>
          </w:tcPr>
          <w:p w:rsidR="00376B7C" w:rsidRPr="009E5F35" w:rsidRDefault="00376B7C" w:rsidP="00376B7C">
            <w:pPr>
              <w:rPr>
                <w:rFonts w:ascii="Garamond" w:hAnsi="Garamond"/>
              </w:rPr>
            </w:pPr>
            <w:r w:rsidRPr="009E5F35">
              <w:rPr>
                <w:rFonts w:ascii="Garamond" w:hAnsi="Garamond"/>
              </w:rPr>
              <w:lastRenderedPageBreak/>
              <w:t>Pays d’émission</w:t>
            </w:r>
          </w:p>
        </w:tc>
        <w:tc>
          <w:tcPr>
            <w:tcW w:w="922" w:type="dxa"/>
            <w:tcBorders>
              <w:top w:val="nil"/>
              <w:left w:val="single" w:sz="4" w:space="0" w:color="auto"/>
              <w:bottom w:val="single" w:sz="4" w:space="0" w:color="auto"/>
              <w:right w:val="single" w:sz="4" w:space="0" w:color="auto"/>
            </w:tcBorders>
            <w:shd w:val="clear" w:color="auto" w:fill="auto"/>
            <w:vAlign w:val="center"/>
          </w:tcPr>
          <w:p w:rsidR="00376B7C" w:rsidRPr="009E5F35" w:rsidRDefault="00376B7C" w:rsidP="00376B7C">
            <w:pPr>
              <w:jc w:val="center"/>
              <w:rPr>
                <w:rFonts w:ascii="Garamond" w:hAnsi="Garamond"/>
              </w:rPr>
            </w:pPr>
            <w:r w:rsidRPr="009E5F35">
              <w:rPr>
                <w:rFonts w:ascii="Garamond" w:hAnsi="Garamond"/>
              </w:rPr>
              <w:t>C0040</w:t>
            </w:r>
          </w:p>
        </w:tc>
        <w:tc>
          <w:tcPr>
            <w:tcW w:w="5093" w:type="dxa"/>
            <w:tcBorders>
              <w:top w:val="nil"/>
              <w:left w:val="single" w:sz="4" w:space="0" w:color="auto"/>
              <w:bottom w:val="single" w:sz="4" w:space="0" w:color="auto"/>
              <w:right w:val="single" w:sz="4" w:space="0" w:color="auto"/>
            </w:tcBorders>
          </w:tcPr>
          <w:p w:rsidR="00376B7C" w:rsidRPr="009E5F35" w:rsidRDefault="00376B7C" w:rsidP="00376B7C">
            <w:pPr>
              <w:rPr>
                <w:rFonts w:ascii="Garamond" w:hAnsi="Garamond"/>
              </w:rPr>
            </w:pPr>
            <w:r w:rsidRPr="009E5F35">
              <w:rPr>
                <w:rFonts w:ascii="Garamond" w:hAnsi="Garamond"/>
              </w:rPr>
              <w:t xml:space="preserve">Ventilation de chaque catégorie d’actifs identifiée sous C0030, par pays d’émission. Identifier le pays de localisation de l’émetteur. </w:t>
            </w:r>
          </w:p>
          <w:p w:rsidR="00376B7C" w:rsidRPr="009E5F35" w:rsidRDefault="00376B7C" w:rsidP="00376B7C">
            <w:pPr>
              <w:rPr>
                <w:rFonts w:ascii="Garamond" w:hAnsi="Garamond"/>
              </w:rPr>
            </w:pPr>
            <w:r w:rsidRPr="009E5F35">
              <w:rPr>
                <w:rFonts w:ascii="Garamond" w:hAnsi="Garamond"/>
              </w:rPr>
              <w:t>La localisation de l’émetteur est déterminée par l’adresse de l’entité qui émet l’actif.</w:t>
            </w:r>
          </w:p>
          <w:p w:rsidR="00376B7C" w:rsidRPr="009E5F35" w:rsidRDefault="00376B7C" w:rsidP="00376B7C">
            <w:pPr>
              <w:rPr>
                <w:rFonts w:ascii="Garamond" w:hAnsi="Garamond"/>
              </w:rPr>
            </w:pPr>
            <w:r w:rsidRPr="009E5F35">
              <w:rPr>
                <w:rFonts w:ascii="Garamond" w:hAnsi="Garamond"/>
              </w:rPr>
              <w:t xml:space="preserve">Choisir l’une des options suivantes: </w:t>
            </w:r>
          </w:p>
          <w:p w:rsidR="00376B7C" w:rsidRPr="009E5F35" w:rsidRDefault="00376B7C" w:rsidP="00376B7C">
            <w:pPr>
              <w:rPr>
                <w:rFonts w:ascii="Garamond" w:hAnsi="Garamond"/>
              </w:rPr>
            </w:pPr>
            <w:r w:rsidRPr="009E5F35">
              <w:rPr>
                <w:rFonts w:ascii="Garamond" w:hAnsi="Garamond"/>
              </w:rPr>
              <w:t xml:space="preserve">  – code ISO 3166-1 alpha-2</w:t>
            </w:r>
          </w:p>
          <w:p w:rsidR="00376B7C" w:rsidRPr="009E5F35" w:rsidRDefault="00376B7C" w:rsidP="00376B7C">
            <w:pPr>
              <w:rPr>
                <w:rFonts w:ascii="Garamond" w:hAnsi="Garamond"/>
              </w:rPr>
            </w:pPr>
            <w:r w:rsidRPr="009E5F35">
              <w:rPr>
                <w:rFonts w:ascii="Garamond" w:hAnsi="Garamond"/>
              </w:rPr>
              <w:t xml:space="preserve">  – XA: émetteurs supranationaux</w:t>
            </w:r>
          </w:p>
          <w:p w:rsidR="00376B7C" w:rsidRPr="009E5F35" w:rsidRDefault="00376B7C" w:rsidP="00376B7C">
            <w:pPr>
              <w:rPr>
                <w:rFonts w:ascii="Garamond" w:hAnsi="Garamond"/>
              </w:rPr>
            </w:pPr>
            <w:r w:rsidRPr="009E5F35">
              <w:rPr>
                <w:rFonts w:ascii="Garamond" w:hAnsi="Garamond"/>
              </w:rPr>
              <w:t xml:space="preserve">  – UE: institutions de l’Union européenne</w:t>
            </w:r>
          </w:p>
          <w:p w:rsidR="00376B7C" w:rsidRPr="009E5F35" w:rsidRDefault="00376B7C" w:rsidP="00376B7C">
            <w:pPr>
              <w:rPr>
                <w:rFonts w:ascii="Garamond" w:hAnsi="Garamond"/>
              </w:rPr>
            </w:pPr>
            <w:r w:rsidRPr="009E5F35">
              <w:rPr>
                <w:rFonts w:ascii="Garamond" w:hAnsi="Garamond"/>
              </w:rPr>
              <w:t xml:space="preserve">  – AA: pays agrégées en raison de l’application du seuil</w:t>
            </w:r>
          </w:p>
          <w:p w:rsidR="00376B7C" w:rsidRPr="009E5F35" w:rsidRDefault="00376B7C" w:rsidP="00376B7C">
            <w:pPr>
              <w:rPr>
                <w:rFonts w:ascii="Garamond" w:hAnsi="Garamond"/>
              </w:rPr>
            </w:pPr>
            <w:r w:rsidRPr="009E5F35">
              <w:rPr>
                <w:rFonts w:ascii="Garamond" w:hAnsi="Garamond"/>
              </w:rPr>
              <w:t>Ne s’applique pas aux catégories 8 et 9 de l’élément C0030.</w:t>
            </w:r>
          </w:p>
          <w:p w:rsidR="00376B7C" w:rsidRPr="00054A98" w:rsidRDefault="00376B7C" w:rsidP="00376B7C">
            <w:pPr>
              <w:rPr>
                <w:rFonts w:ascii="Garamond" w:hAnsi="Garamond"/>
              </w:rPr>
            </w:pPr>
          </w:p>
        </w:tc>
      </w:tr>
      <w:tr w:rsidR="00376B7C" w:rsidRPr="009E5F35" w:rsidTr="00376B7C">
        <w:trPr>
          <w:trHeight w:val="300"/>
        </w:trPr>
        <w:tc>
          <w:tcPr>
            <w:tcW w:w="3072" w:type="dxa"/>
            <w:tcBorders>
              <w:top w:val="nil"/>
              <w:left w:val="single" w:sz="4" w:space="0" w:color="auto"/>
              <w:bottom w:val="single" w:sz="4" w:space="0" w:color="auto"/>
              <w:right w:val="single" w:sz="4" w:space="0" w:color="auto"/>
            </w:tcBorders>
            <w:shd w:val="clear" w:color="auto" w:fill="auto"/>
            <w:vAlign w:val="center"/>
          </w:tcPr>
          <w:p w:rsidR="00376B7C" w:rsidRPr="009E5F35" w:rsidRDefault="00376B7C" w:rsidP="00376B7C">
            <w:pPr>
              <w:rPr>
                <w:rFonts w:ascii="Garamond" w:hAnsi="Garamond"/>
              </w:rPr>
            </w:pPr>
            <w:r w:rsidRPr="009E5F35">
              <w:rPr>
                <w:rFonts w:ascii="Garamond" w:hAnsi="Garamond"/>
              </w:rPr>
              <w:lastRenderedPageBreak/>
              <w:t>Monnaie</w:t>
            </w:r>
          </w:p>
        </w:tc>
        <w:tc>
          <w:tcPr>
            <w:tcW w:w="922" w:type="dxa"/>
            <w:tcBorders>
              <w:top w:val="nil"/>
              <w:left w:val="single" w:sz="4" w:space="0" w:color="auto"/>
              <w:bottom w:val="single" w:sz="4" w:space="0" w:color="auto"/>
              <w:right w:val="single" w:sz="4" w:space="0" w:color="auto"/>
            </w:tcBorders>
            <w:shd w:val="clear" w:color="auto" w:fill="auto"/>
            <w:vAlign w:val="center"/>
          </w:tcPr>
          <w:p w:rsidR="00376B7C" w:rsidRPr="009E5F35" w:rsidRDefault="00376B7C" w:rsidP="00376B7C">
            <w:pPr>
              <w:jc w:val="center"/>
              <w:rPr>
                <w:rFonts w:ascii="Garamond" w:hAnsi="Garamond"/>
              </w:rPr>
            </w:pPr>
            <w:r w:rsidRPr="009E5F35">
              <w:rPr>
                <w:rFonts w:ascii="Garamond" w:hAnsi="Garamond"/>
              </w:rPr>
              <w:t>C0050</w:t>
            </w:r>
          </w:p>
        </w:tc>
        <w:tc>
          <w:tcPr>
            <w:tcW w:w="5093" w:type="dxa"/>
            <w:tcBorders>
              <w:top w:val="nil"/>
              <w:left w:val="single" w:sz="4" w:space="0" w:color="auto"/>
              <w:bottom w:val="single" w:sz="4" w:space="0" w:color="auto"/>
              <w:right w:val="single" w:sz="4" w:space="0" w:color="auto"/>
            </w:tcBorders>
          </w:tcPr>
          <w:p w:rsidR="00376B7C" w:rsidRPr="009E5F35" w:rsidRDefault="00376B7C" w:rsidP="00376B7C">
            <w:pPr>
              <w:rPr>
                <w:rFonts w:ascii="Garamond" w:hAnsi="Garamond"/>
              </w:rPr>
            </w:pPr>
            <w:r w:rsidRPr="009E5F35">
              <w:rPr>
                <w:rFonts w:ascii="Garamond" w:hAnsi="Garamond"/>
              </w:rPr>
              <w:t>Indiquer si la monnaie de la catégorie d’actifs est la monnaie de déclaration ou une monnaie étrangère. Les monnaies étrangères sont toutes les autres monnaies que la monnaie de déclaration. Choisir impérativement l’une des options suivantes:</w:t>
            </w:r>
          </w:p>
          <w:p w:rsidR="00376B7C" w:rsidRPr="009E5F35" w:rsidRDefault="00376B7C" w:rsidP="00376B7C">
            <w:pPr>
              <w:rPr>
                <w:rFonts w:ascii="Garamond" w:hAnsi="Garamond"/>
              </w:rPr>
            </w:pPr>
            <w:r w:rsidRPr="009E5F35">
              <w:rPr>
                <w:rFonts w:ascii="Garamond" w:hAnsi="Garamond"/>
              </w:rPr>
              <w:t xml:space="preserve">1 </w:t>
            </w:r>
            <w:r w:rsidR="0002010E">
              <w:rPr>
                <w:rFonts w:ascii="Garamond" w:hAnsi="Garamond"/>
              </w:rPr>
              <w:t>-</w:t>
            </w:r>
            <w:r w:rsidRPr="009E5F35">
              <w:rPr>
                <w:rFonts w:ascii="Garamond" w:hAnsi="Garamond"/>
              </w:rPr>
              <w:t xml:space="preserve"> Monnaie de déclaration</w:t>
            </w:r>
          </w:p>
          <w:p w:rsidR="00376B7C" w:rsidRDefault="00376B7C" w:rsidP="00376B7C">
            <w:pPr>
              <w:rPr>
                <w:rFonts w:ascii="Garamond" w:hAnsi="Garamond"/>
              </w:rPr>
            </w:pPr>
            <w:r w:rsidRPr="009E5F35">
              <w:rPr>
                <w:rFonts w:ascii="Garamond" w:hAnsi="Garamond"/>
              </w:rPr>
              <w:t xml:space="preserve">2 </w:t>
            </w:r>
            <w:r w:rsidR="0002010E">
              <w:rPr>
                <w:rFonts w:ascii="Garamond" w:hAnsi="Garamond"/>
              </w:rPr>
              <w:t>-</w:t>
            </w:r>
            <w:r w:rsidRPr="009E5F35">
              <w:rPr>
                <w:rFonts w:ascii="Garamond" w:hAnsi="Garamond"/>
              </w:rPr>
              <w:t xml:space="preserve"> Monnaie étrangère</w:t>
            </w:r>
          </w:p>
          <w:p w:rsidR="0002010E" w:rsidRPr="009E5F35" w:rsidRDefault="0002010E" w:rsidP="00376B7C">
            <w:pPr>
              <w:rPr>
                <w:rFonts w:ascii="Garamond" w:hAnsi="Garamond"/>
                <w:color w:val="FF0000"/>
              </w:rPr>
            </w:pPr>
            <w:r>
              <w:t>3 - Agrégat de monnaies en raison de l'application du seuil</w:t>
            </w:r>
          </w:p>
        </w:tc>
      </w:tr>
      <w:tr w:rsidR="00376B7C" w:rsidRPr="0002010E" w:rsidTr="00376B7C">
        <w:trPr>
          <w:trHeight w:val="300"/>
        </w:trPr>
        <w:tc>
          <w:tcPr>
            <w:tcW w:w="3072" w:type="dxa"/>
            <w:tcBorders>
              <w:top w:val="nil"/>
              <w:left w:val="single" w:sz="4" w:space="0" w:color="auto"/>
              <w:bottom w:val="single" w:sz="4" w:space="0" w:color="auto"/>
              <w:right w:val="single" w:sz="4" w:space="0" w:color="auto"/>
            </w:tcBorders>
            <w:shd w:val="clear" w:color="auto" w:fill="auto"/>
            <w:vAlign w:val="center"/>
          </w:tcPr>
          <w:p w:rsidR="00376B7C" w:rsidRPr="009E5F35" w:rsidRDefault="00376B7C" w:rsidP="00376B7C">
            <w:pPr>
              <w:rPr>
                <w:rFonts w:ascii="Garamond" w:hAnsi="Garamond"/>
              </w:rPr>
            </w:pPr>
            <w:r w:rsidRPr="009E5F35">
              <w:rPr>
                <w:rFonts w:ascii="Garamond" w:hAnsi="Garamond"/>
              </w:rPr>
              <w:t>Montant total</w:t>
            </w:r>
          </w:p>
        </w:tc>
        <w:tc>
          <w:tcPr>
            <w:tcW w:w="922" w:type="dxa"/>
            <w:tcBorders>
              <w:top w:val="nil"/>
              <w:left w:val="single" w:sz="4" w:space="0" w:color="auto"/>
              <w:bottom w:val="single" w:sz="4" w:space="0" w:color="auto"/>
              <w:right w:val="single" w:sz="4" w:space="0" w:color="auto"/>
            </w:tcBorders>
            <w:shd w:val="clear" w:color="auto" w:fill="auto"/>
            <w:vAlign w:val="center"/>
          </w:tcPr>
          <w:p w:rsidR="00376B7C" w:rsidRPr="009E5F35" w:rsidRDefault="00376B7C" w:rsidP="00376B7C">
            <w:pPr>
              <w:jc w:val="center"/>
              <w:rPr>
                <w:rFonts w:ascii="Garamond" w:hAnsi="Garamond"/>
              </w:rPr>
            </w:pPr>
            <w:r w:rsidRPr="009E5F35">
              <w:rPr>
                <w:rFonts w:ascii="Garamond" w:hAnsi="Garamond"/>
              </w:rPr>
              <w:t>C0060</w:t>
            </w:r>
          </w:p>
        </w:tc>
        <w:tc>
          <w:tcPr>
            <w:tcW w:w="5093" w:type="dxa"/>
            <w:tcBorders>
              <w:top w:val="nil"/>
              <w:left w:val="single" w:sz="4" w:space="0" w:color="auto"/>
              <w:bottom w:val="single" w:sz="4" w:space="0" w:color="auto"/>
              <w:right w:val="single" w:sz="4" w:space="0" w:color="auto"/>
            </w:tcBorders>
          </w:tcPr>
          <w:p w:rsidR="00376B7C" w:rsidRPr="009E5F35" w:rsidRDefault="00376B7C" w:rsidP="00376B7C">
            <w:pPr>
              <w:rPr>
                <w:rFonts w:ascii="Garamond" w:hAnsi="Garamond"/>
              </w:rPr>
            </w:pPr>
            <w:r w:rsidRPr="009E5F35">
              <w:rPr>
                <w:rFonts w:ascii="Garamond" w:hAnsi="Garamond"/>
              </w:rPr>
              <w:t xml:space="preserve">Montant total investi par l’intermédiaire d’organismes de placement collectif, par catégorie d’actifs, pays et monnaie. </w:t>
            </w:r>
          </w:p>
          <w:p w:rsidR="0002010E" w:rsidRPr="0002010E" w:rsidRDefault="0002010E" w:rsidP="0002010E">
            <w:pPr>
              <w:rPr>
                <w:rFonts w:ascii="Garamond" w:hAnsi="Garamond"/>
              </w:rPr>
            </w:pPr>
            <w:r w:rsidRPr="0002010E">
              <w:rPr>
                <w:rFonts w:ascii="Garamond" w:hAnsi="Garamond"/>
              </w:rPr>
              <w:t>Pour les passifs, un montant positif doit être déclaré, à moins qu'ils ne</w:t>
            </w:r>
            <w:r>
              <w:rPr>
                <w:rFonts w:ascii="Garamond" w:hAnsi="Garamond"/>
              </w:rPr>
              <w:t xml:space="preserve"> </w:t>
            </w:r>
            <w:r w:rsidRPr="0002010E">
              <w:rPr>
                <w:rFonts w:ascii="Garamond" w:hAnsi="Garamond"/>
              </w:rPr>
              <w:t>soient liés à des instruments dérivés.</w:t>
            </w:r>
          </w:p>
          <w:p w:rsidR="00376B7C" w:rsidRPr="00054A98" w:rsidRDefault="0002010E" w:rsidP="00376B7C">
            <w:pPr>
              <w:rPr>
                <w:rFonts w:ascii="Garamond" w:hAnsi="Garamond"/>
                <w:color w:val="FF0000"/>
              </w:rPr>
            </w:pPr>
            <w:r w:rsidRPr="0002010E">
              <w:rPr>
                <w:rFonts w:ascii="Garamond" w:hAnsi="Garamond"/>
              </w:rPr>
              <w:t>Pour les dérivés, le montant total peut être positif (s'il s'agit d'un actif)</w:t>
            </w:r>
            <w:r>
              <w:rPr>
                <w:rFonts w:ascii="Garamond" w:hAnsi="Garamond"/>
              </w:rPr>
              <w:t xml:space="preserve"> </w:t>
            </w:r>
            <w:r w:rsidRPr="0002010E">
              <w:rPr>
                <w:rFonts w:ascii="Garamond" w:hAnsi="Garamond"/>
              </w:rPr>
              <w:t>ou négatif (s'il s'agit d'un passif).</w:t>
            </w:r>
          </w:p>
        </w:tc>
      </w:tr>
    </w:tbl>
    <w:p w:rsidR="009E5F35" w:rsidRPr="00054A98" w:rsidRDefault="009E5F35" w:rsidP="009E5F35">
      <w:pPr>
        <w:jc w:val="center"/>
        <w:rPr>
          <w:rFonts w:ascii="Garamond" w:hAnsi="Garamond"/>
        </w:rPr>
      </w:pPr>
    </w:p>
    <w:p w:rsidR="009E5F35" w:rsidRPr="00054A98" w:rsidRDefault="009E5F35" w:rsidP="00054A98">
      <w:pPr>
        <w:spacing w:after="0" w:line="240" w:lineRule="auto"/>
      </w:pPr>
    </w:p>
    <w:p w:rsidR="009E5F35" w:rsidRPr="00054A98" w:rsidRDefault="009E5F35" w:rsidP="009E5F35">
      <w:pPr>
        <w:spacing w:after="0" w:line="240" w:lineRule="auto"/>
        <w:jc w:val="center"/>
      </w:pPr>
    </w:p>
    <w:p w:rsidR="009E5F35" w:rsidRPr="00054A98" w:rsidRDefault="009E5F35" w:rsidP="009E5F35">
      <w:pPr>
        <w:spacing w:after="0" w:line="240" w:lineRule="auto"/>
        <w:jc w:val="center"/>
      </w:pPr>
    </w:p>
    <w:p w:rsidR="009E5F35" w:rsidRPr="00054A98" w:rsidRDefault="009E5F35" w:rsidP="009E5F35">
      <w:pPr>
        <w:spacing w:after="0" w:line="240" w:lineRule="auto"/>
        <w:jc w:val="center"/>
      </w:pPr>
    </w:p>
    <w:p w:rsidR="009E5F35" w:rsidRPr="00054A98" w:rsidRDefault="009E5F35" w:rsidP="009E5F35">
      <w:pPr>
        <w:spacing w:after="0" w:line="240" w:lineRule="auto"/>
        <w:jc w:val="center"/>
      </w:pPr>
    </w:p>
    <w:p w:rsidR="009E5F35" w:rsidRPr="00054A98" w:rsidRDefault="009E5F35" w:rsidP="009E5F35">
      <w:pPr>
        <w:spacing w:after="0" w:line="240" w:lineRule="auto"/>
        <w:jc w:val="center"/>
      </w:pPr>
    </w:p>
    <w:p w:rsidR="009E5F35" w:rsidRPr="00054A98" w:rsidRDefault="009E5F35" w:rsidP="009E5F35">
      <w:pPr>
        <w:spacing w:after="0" w:line="240" w:lineRule="auto"/>
        <w:jc w:val="center"/>
      </w:pPr>
    </w:p>
    <w:p w:rsidR="009E5F35" w:rsidRPr="00054A98" w:rsidRDefault="009E5F35" w:rsidP="009E5F35">
      <w:pPr>
        <w:spacing w:after="0" w:line="240" w:lineRule="auto"/>
        <w:jc w:val="center"/>
      </w:pPr>
    </w:p>
    <w:p w:rsidR="009E5F35" w:rsidRPr="00054A98" w:rsidRDefault="009E5F35" w:rsidP="009E5F35">
      <w:pPr>
        <w:spacing w:after="0" w:line="240" w:lineRule="auto"/>
        <w:jc w:val="center"/>
      </w:pPr>
    </w:p>
    <w:p w:rsidR="009E5F35" w:rsidRPr="00054A98" w:rsidRDefault="009E5F35" w:rsidP="009E5F35">
      <w:pPr>
        <w:spacing w:after="0" w:line="240" w:lineRule="auto"/>
        <w:jc w:val="center"/>
      </w:pPr>
    </w:p>
    <w:p w:rsidR="009E5F35" w:rsidRPr="00054A98" w:rsidRDefault="009E5F35" w:rsidP="009E5F35">
      <w:pPr>
        <w:spacing w:after="0" w:line="240" w:lineRule="auto"/>
        <w:jc w:val="center"/>
      </w:pPr>
    </w:p>
    <w:p w:rsidR="009E5F35" w:rsidRPr="00054A98" w:rsidRDefault="009E5F35" w:rsidP="009E5F35">
      <w:pPr>
        <w:spacing w:after="0" w:line="240" w:lineRule="auto"/>
        <w:sectPr w:rsidR="009E5F35" w:rsidRPr="00054A98">
          <w:footerReference w:type="default" r:id="rId8"/>
          <w:pgSz w:w="11906" w:h="16838"/>
          <w:pgMar w:top="1417" w:right="1417" w:bottom="1417" w:left="1417" w:header="708" w:footer="708" w:gutter="0"/>
          <w:cols w:space="708"/>
          <w:docGrid w:linePitch="360"/>
        </w:sectPr>
      </w:pPr>
    </w:p>
    <w:p w:rsidR="009E5F35" w:rsidRPr="009E5F35" w:rsidRDefault="009E5F35" w:rsidP="009E5F35">
      <w:pPr>
        <w:spacing w:after="0" w:line="240" w:lineRule="auto"/>
        <w:jc w:val="center"/>
        <w:rPr>
          <w:lang w:val="en-US"/>
        </w:rPr>
      </w:pPr>
      <w:r w:rsidRPr="009E5F35">
        <w:rPr>
          <w:noProof/>
          <w:lang w:eastAsia="fr-FR"/>
        </w:rPr>
        <w:lastRenderedPageBreak/>
        <w:drawing>
          <wp:inline distT="0" distB="0" distL="0" distR="0">
            <wp:extent cx="8169275" cy="238950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69275" cy="2389505"/>
                    </a:xfrm>
                    <a:prstGeom prst="rect">
                      <a:avLst/>
                    </a:prstGeom>
                    <a:noFill/>
                    <a:ln>
                      <a:noFill/>
                    </a:ln>
                  </pic:spPr>
                </pic:pic>
              </a:graphicData>
            </a:graphic>
          </wp:inline>
        </w:drawing>
      </w:r>
    </w:p>
    <w:sectPr w:rsidR="009E5F35" w:rsidRPr="009E5F35" w:rsidSect="009E5F35">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1C2E" w:rsidRDefault="00491C2E" w:rsidP="00C44F2A">
      <w:pPr>
        <w:spacing w:after="0" w:line="240" w:lineRule="auto"/>
      </w:pPr>
      <w:r>
        <w:separator/>
      </w:r>
    </w:p>
  </w:endnote>
  <w:endnote w:type="continuationSeparator" w:id="0">
    <w:p w:rsidR="00491C2E" w:rsidRDefault="00491C2E" w:rsidP="00C44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1170189"/>
      <w:docPartObj>
        <w:docPartGallery w:val="Page Numbers (Bottom of Page)"/>
        <w:docPartUnique/>
      </w:docPartObj>
    </w:sdtPr>
    <w:sdtEndPr/>
    <w:sdtContent>
      <w:p w:rsidR="00491C2E" w:rsidRDefault="00491C2E">
        <w:pPr>
          <w:pStyle w:val="Pieddepage"/>
        </w:pPr>
        <w:r>
          <w:fldChar w:fldCharType="begin"/>
        </w:r>
        <w:r>
          <w:instrText>PAGE   \* MERGEFORMAT</w:instrText>
        </w:r>
        <w:r>
          <w:fldChar w:fldCharType="separate"/>
        </w:r>
        <w:r w:rsidR="00843537">
          <w:rPr>
            <w:noProof/>
          </w:rPr>
          <w:t>4</w:t>
        </w:r>
        <w:r>
          <w:fldChar w:fldCharType="end"/>
        </w:r>
      </w:p>
    </w:sdtContent>
  </w:sdt>
  <w:p w:rsidR="00491C2E" w:rsidRDefault="00491C2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1C2E" w:rsidRDefault="00491C2E" w:rsidP="00C44F2A">
      <w:pPr>
        <w:spacing w:after="0" w:line="240" w:lineRule="auto"/>
      </w:pPr>
      <w:r>
        <w:separator/>
      </w:r>
    </w:p>
  </w:footnote>
  <w:footnote w:type="continuationSeparator" w:id="0">
    <w:p w:rsidR="00491C2E" w:rsidRDefault="00491C2E" w:rsidP="00C44F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15:restartNumberingAfterBreak="0">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C367BA"/>
    <w:multiLevelType w:val="hybridMultilevel"/>
    <w:tmpl w:val="367C938A"/>
    <w:lvl w:ilvl="0" w:tplc="522014C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3F2368"/>
    <w:multiLevelType w:val="hybridMultilevel"/>
    <w:tmpl w:val="25AC9F20"/>
    <w:lvl w:ilvl="0" w:tplc="03F2D5D0">
      <w:start w:val="1"/>
      <w:numFmt w:val="decimal"/>
      <w:lvlText w:val="%1."/>
      <w:lvlJc w:val="left"/>
      <w:pPr>
        <w:ind w:left="1800" w:hanging="360"/>
      </w:pPr>
      <w:rPr>
        <w:rFonts w:ascii="Times New Roman" w:eastAsia="Times New Roman" w:hAnsi="Times New Roman"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4" w15:restartNumberingAfterBreak="0">
    <w:nsid w:val="44C44EE5"/>
    <w:multiLevelType w:val="hybridMultilevel"/>
    <w:tmpl w:val="25AC9F20"/>
    <w:lvl w:ilvl="0" w:tplc="03F2D5D0">
      <w:start w:val="1"/>
      <w:numFmt w:val="decimal"/>
      <w:lvlText w:val="%1."/>
      <w:lvlJc w:val="left"/>
      <w:pPr>
        <w:ind w:left="1800" w:hanging="360"/>
      </w:pPr>
      <w:rPr>
        <w:rFonts w:ascii="Times New Roman" w:eastAsia="Times New Roman" w:hAnsi="Times New Roman"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num w:numId="1">
    <w:abstractNumId w:val="2"/>
  </w:num>
  <w:num w:numId="2">
    <w:abstractNumId w:val="3"/>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F2A"/>
    <w:rsid w:val="0002010E"/>
    <w:rsid w:val="000212E3"/>
    <w:rsid w:val="00042413"/>
    <w:rsid w:val="00054A98"/>
    <w:rsid w:val="0005644C"/>
    <w:rsid w:val="00074DE9"/>
    <w:rsid w:val="0008685D"/>
    <w:rsid w:val="0015156E"/>
    <w:rsid w:val="00152B2E"/>
    <w:rsid w:val="00176292"/>
    <w:rsid w:val="001B2DDA"/>
    <w:rsid w:val="002205D3"/>
    <w:rsid w:val="00241A4A"/>
    <w:rsid w:val="00286886"/>
    <w:rsid w:val="002907D2"/>
    <w:rsid w:val="002A6E5D"/>
    <w:rsid w:val="002A7101"/>
    <w:rsid w:val="002B70C6"/>
    <w:rsid w:val="002C47BD"/>
    <w:rsid w:val="002C636D"/>
    <w:rsid w:val="00321B2B"/>
    <w:rsid w:val="0036293A"/>
    <w:rsid w:val="00373B38"/>
    <w:rsid w:val="00376B7C"/>
    <w:rsid w:val="003A6FE8"/>
    <w:rsid w:val="003E28FC"/>
    <w:rsid w:val="004855C8"/>
    <w:rsid w:val="00491C2E"/>
    <w:rsid w:val="00493D8B"/>
    <w:rsid w:val="004B020E"/>
    <w:rsid w:val="004E6797"/>
    <w:rsid w:val="004F2657"/>
    <w:rsid w:val="00517232"/>
    <w:rsid w:val="00571701"/>
    <w:rsid w:val="00594644"/>
    <w:rsid w:val="005C3B6E"/>
    <w:rsid w:val="0066744D"/>
    <w:rsid w:val="006C2D2C"/>
    <w:rsid w:val="006C60BD"/>
    <w:rsid w:val="006F06B9"/>
    <w:rsid w:val="006F4C23"/>
    <w:rsid w:val="00811036"/>
    <w:rsid w:val="00843537"/>
    <w:rsid w:val="00870F47"/>
    <w:rsid w:val="00877D8F"/>
    <w:rsid w:val="00891E81"/>
    <w:rsid w:val="00951F25"/>
    <w:rsid w:val="00991509"/>
    <w:rsid w:val="009B0140"/>
    <w:rsid w:val="009C233E"/>
    <w:rsid w:val="009E5F35"/>
    <w:rsid w:val="00A05F50"/>
    <w:rsid w:val="00A3378A"/>
    <w:rsid w:val="00A873E7"/>
    <w:rsid w:val="00B24561"/>
    <w:rsid w:val="00BC6970"/>
    <w:rsid w:val="00BE386F"/>
    <w:rsid w:val="00BF46FC"/>
    <w:rsid w:val="00C15EB9"/>
    <w:rsid w:val="00C166E0"/>
    <w:rsid w:val="00C44F2A"/>
    <w:rsid w:val="00C56A00"/>
    <w:rsid w:val="00C71391"/>
    <w:rsid w:val="00CB36C7"/>
    <w:rsid w:val="00CD17A3"/>
    <w:rsid w:val="00CD58A5"/>
    <w:rsid w:val="00D40FB1"/>
    <w:rsid w:val="00D43D45"/>
    <w:rsid w:val="00D66CEF"/>
    <w:rsid w:val="00D77674"/>
    <w:rsid w:val="00D95E2F"/>
    <w:rsid w:val="00DA437B"/>
    <w:rsid w:val="00DA5C99"/>
    <w:rsid w:val="00DA6EA0"/>
    <w:rsid w:val="00DB3049"/>
    <w:rsid w:val="00DB60AB"/>
    <w:rsid w:val="00DC7ADB"/>
    <w:rsid w:val="00E54B68"/>
    <w:rsid w:val="00EE0316"/>
    <w:rsid w:val="00EF4B15"/>
    <w:rsid w:val="00EF5D29"/>
    <w:rsid w:val="00F02B38"/>
    <w:rsid w:val="00F07144"/>
    <w:rsid w:val="00F20136"/>
    <w:rsid w:val="00F3043D"/>
    <w:rsid w:val="00FD24E9"/>
    <w:rsid w:val="00FE6C34"/>
    <w:rsid w:val="00FF45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23E530-105F-4158-8A00-FFD29E4BC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4F2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C44F2A"/>
    <w:rPr>
      <w:color w:val="0000FF" w:themeColor="hyperlink"/>
      <w:u w:val="single"/>
    </w:rPr>
  </w:style>
  <w:style w:type="paragraph" w:styleId="Paragraphedeliste">
    <w:name w:val="List Paragraph"/>
    <w:basedOn w:val="Normal"/>
    <w:uiPriority w:val="34"/>
    <w:qFormat/>
    <w:rsid w:val="00C44F2A"/>
    <w:pPr>
      <w:ind w:left="720"/>
      <w:contextualSpacing/>
    </w:pPr>
  </w:style>
  <w:style w:type="paragraph" w:customStyle="1" w:styleId="Paragraphedeliste1">
    <w:name w:val="Paragraphe de liste1"/>
    <w:basedOn w:val="Normal"/>
    <w:rsid w:val="00C44F2A"/>
    <w:pPr>
      <w:spacing w:after="0" w:line="240" w:lineRule="auto"/>
      <w:ind w:left="720"/>
      <w:contextualSpacing/>
      <w:jc w:val="both"/>
    </w:pPr>
    <w:rPr>
      <w:rFonts w:ascii="Times New Roman" w:eastAsia="Times New Roman" w:hAnsi="Times New Roman" w:cs="Times New Roman"/>
      <w:szCs w:val="20"/>
      <w:lang w:eastAsia="fr-FR"/>
    </w:rPr>
  </w:style>
  <w:style w:type="character" w:styleId="Marquedecommentaire">
    <w:name w:val="annotation reference"/>
    <w:basedOn w:val="Policepardfaut"/>
    <w:uiPriority w:val="99"/>
    <w:semiHidden/>
    <w:unhideWhenUsed/>
    <w:rsid w:val="00C44F2A"/>
    <w:rPr>
      <w:sz w:val="16"/>
      <w:szCs w:val="16"/>
    </w:rPr>
  </w:style>
  <w:style w:type="paragraph" w:styleId="Commentaire">
    <w:name w:val="annotation text"/>
    <w:basedOn w:val="Normal"/>
    <w:link w:val="CommentaireCar"/>
    <w:uiPriority w:val="99"/>
    <w:semiHidden/>
    <w:unhideWhenUsed/>
    <w:rsid w:val="00C44F2A"/>
    <w:pPr>
      <w:spacing w:line="240" w:lineRule="auto"/>
    </w:pPr>
    <w:rPr>
      <w:sz w:val="20"/>
      <w:szCs w:val="20"/>
    </w:rPr>
  </w:style>
  <w:style w:type="character" w:customStyle="1" w:styleId="CommentaireCar">
    <w:name w:val="Commentaire Car"/>
    <w:basedOn w:val="Policepardfaut"/>
    <w:link w:val="Commentaire"/>
    <w:uiPriority w:val="99"/>
    <w:semiHidden/>
    <w:rsid w:val="00C44F2A"/>
    <w:rPr>
      <w:sz w:val="20"/>
      <w:szCs w:val="20"/>
    </w:rPr>
  </w:style>
  <w:style w:type="paragraph" w:styleId="Textedebulles">
    <w:name w:val="Balloon Text"/>
    <w:basedOn w:val="Normal"/>
    <w:link w:val="TextedebullesCar"/>
    <w:uiPriority w:val="99"/>
    <w:semiHidden/>
    <w:unhideWhenUsed/>
    <w:rsid w:val="00C44F2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44F2A"/>
    <w:rPr>
      <w:rFonts w:ascii="Tahoma" w:hAnsi="Tahoma" w:cs="Tahoma"/>
      <w:sz w:val="16"/>
      <w:szCs w:val="16"/>
    </w:rPr>
  </w:style>
  <w:style w:type="paragraph" w:styleId="En-tte">
    <w:name w:val="header"/>
    <w:basedOn w:val="Normal"/>
    <w:link w:val="En-tteCar"/>
    <w:uiPriority w:val="99"/>
    <w:unhideWhenUsed/>
    <w:rsid w:val="00C44F2A"/>
    <w:pPr>
      <w:tabs>
        <w:tab w:val="center" w:pos="4536"/>
        <w:tab w:val="right" w:pos="9072"/>
      </w:tabs>
      <w:spacing w:after="0" w:line="240" w:lineRule="auto"/>
    </w:pPr>
  </w:style>
  <w:style w:type="character" w:customStyle="1" w:styleId="En-tteCar">
    <w:name w:val="En-tête Car"/>
    <w:basedOn w:val="Policepardfaut"/>
    <w:link w:val="En-tte"/>
    <w:uiPriority w:val="99"/>
    <w:rsid w:val="00C44F2A"/>
  </w:style>
  <w:style w:type="paragraph" w:styleId="Pieddepage">
    <w:name w:val="footer"/>
    <w:basedOn w:val="Normal"/>
    <w:link w:val="PieddepageCar"/>
    <w:uiPriority w:val="99"/>
    <w:unhideWhenUsed/>
    <w:rsid w:val="00C44F2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44F2A"/>
  </w:style>
  <w:style w:type="paragraph" w:styleId="Objetducommentaire">
    <w:name w:val="annotation subject"/>
    <w:basedOn w:val="Commentaire"/>
    <w:next w:val="Commentaire"/>
    <w:link w:val="ObjetducommentaireCar"/>
    <w:uiPriority w:val="99"/>
    <w:semiHidden/>
    <w:unhideWhenUsed/>
    <w:rsid w:val="00877D8F"/>
    <w:rPr>
      <w:b/>
      <w:bCs/>
    </w:rPr>
  </w:style>
  <w:style w:type="character" w:customStyle="1" w:styleId="ObjetducommentaireCar">
    <w:name w:val="Objet du commentaire Car"/>
    <w:basedOn w:val="CommentaireCar"/>
    <w:link w:val="Objetducommentaire"/>
    <w:uiPriority w:val="99"/>
    <w:semiHidden/>
    <w:rsid w:val="00877D8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248808">
      <w:bodyDiv w:val="1"/>
      <w:marLeft w:val="0"/>
      <w:marRight w:val="0"/>
      <w:marTop w:val="0"/>
      <w:marBottom w:val="0"/>
      <w:divBdr>
        <w:top w:val="none" w:sz="0" w:space="0" w:color="auto"/>
        <w:left w:val="none" w:sz="0" w:space="0" w:color="auto"/>
        <w:bottom w:val="none" w:sz="0" w:space="0" w:color="auto"/>
        <w:right w:val="none" w:sz="0" w:space="0" w:color="auto"/>
      </w:divBdr>
    </w:div>
    <w:div w:id="2124574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759</Words>
  <Characters>4175</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ADNOT</dc:creator>
  <cp:lastModifiedBy>WILKINSON Baptiste (UA 2775)</cp:lastModifiedBy>
  <cp:revision>5</cp:revision>
  <dcterms:created xsi:type="dcterms:W3CDTF">2020-12-17T17:15:00Z</dcterms:created>
  <dcterms:modified xsi:type="dcterms:W3CDTF">2023-01-02T16:19:00Z</dcterms:modified>
</cp:coreProperties>
</file>