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2A" w:rsidRPr="00C44F2A" w:rsidRDefault="00C44F2A" w:rsidP="00C44F2A">
      <w:pPr>
        <w:spacing w:after="0" w:line="240" w:lineRule="auto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321B2B" w:rsidRDefault="00007C26" w:rsidP="00321B2B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6081BB37" wp14:editId="6BF82876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</w:p>
    <w:p w:rsidR="00321B2B" w:rsidRDefault="00321B2B" w:rsidP="00321B2B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BE5446">
        <w:rPr>
          <w:rFonts w:ascii="Garamond" w:hAnsi="Garamond"/>
          <w:szCs w:val="22"/>
        </w:rPr>
        <w:t>l’instruction 2020-I-05.</w:t>
      </w:r>
    </w:p>
    <w:p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3F5C6B" w:rsidRPr="003F5C6B" w:rsidRDefault="0079462A" w:rsidP="003F5C6B">
      <w:pPr>
        <w:spacing w:before="20" w:after="0" w:line="240" w:lineRule="auto"/>
        <w:ind w:left="720"/>
        <w:contextualSpacing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PF.29.05</w:t>
      </w:r>
    </w:p>
    <w:p w:rsidR="003F5C6B" w:rsidRPr="003F5C6B" w:rsidRDefault="0079462A" w:rsidP="003F5C6B">
      <w:pPr>
        <w:spacing w:before="20" w:after="0" w:line="240" w:lineRule="auto"/>
        <w:jc w:val="center"/>
        <w:rPr>
          <w:rFonts w:ascii="Garamond" w:eastAsia="Times New Roman" w:hAnsi="Garamond" w:cs="Times New Roman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Évolution des provisions techniques</w:t>
      </w: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spacing w:after="0" w:line="240" w:lineRule="auto"/>
        <w:rPr>
          <w:rFonts w:ascii="Garamond" w:eastAsia="Times New Roman" w:hAnsi="Garamond" w:cs="Times New Roman"/>
          <w:lang w:eastAsia="fr-FR"/>
        </w:rPr>
      </w:pPr>
    </w:p>
    <w:p w:rsidR="0079462A" w:rsidRPr="0079462A" w:rsidRDefault="0079462A" w:rsidP="0079462A">
      <w:pPr>
        <w:numPr>
          <w:ilvl w:val="0"/>
          <w:numId w:val="8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79462A">
        <w:rPr>
          <w:rFonts w:ascii="Garamond" w:eastAsia="Times New Roman" w:hAnsi="Garamond" w:cs="Times New Roman"/>
          <w:b/>
          <w:lang w:eastAsia="fr-FR"/>
        </w:rPr>
        <w:t>Colonnes</w:t>
      </w:r>
    </w:p>
    <w:p w:rsidR="0079462A" w:rsidRPr="0079462A" w:rsidRDefault="0079462A" w:rsidP="0079462A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:rsidR="0079462A" w:rsidRPr="0079462A" w:rsidRDefault="0079462A" w:rsidP="0079462A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9462A">
        <w:rPr>
          <w:rFonts w:ascii="Garamond" w:eastAsia="Calibri" w:hAnsi="Garamond" w:cs="Times New Roman"/>
          <w:lang w:eastAsia="ar-SA"/>
        </w:rPr>
        <w:t>Le tableau de l’état comporte :</w:t>
      </w:r>
    </w:p>
    <w:p w:rsidR="0079462A" w:rsidRPr="0079462A" w:rsidRDefault="0079462A" w:rsidP="0079462A">
      <w:pPr>
        <w:numPr>
          <w:ilvl w:val="0"/>
          <w:numId w:val="6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79462A">
        <w:rPr>
          <w:rFonts w:ascii="Garamond" w:eastAsia="Calibri" w:hAnsi="Garamond" w:cs="Times New Roman"/>
          <w:lang w:eastAsia="ar-SA"/>
        </w:rPr>
        <w:t>Une colonne </w:t>
      </w:r>
      <w:r w:rsidRPr="0079462A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A16AB8">
        <w:rPr>
          <w:rFonts w:ascii="Garamond" w:eastAsia="Times New Roman" w:hAnsi="Garamond" w:cs="Times New Roman"/>
          <w:lang w:eastAsia="fr-FR"/>
        </w:rPr>
        <w:t>les indemnités de fin de carrière et les anciens</w:t>
      </w:r>
      <w:r w:rsidR="00FF2F0E">
        <w:rPr>
          <w:rFonts w:ascii="Garamond" w:eastAsia="Times New Roman" w:hAnsi="Garamond" w:cs="Times New Roman"/>
          <w:lang w:eastAsia="fr-FR"/>
        </w:rPr>
        <w:t xml:space="preserve"> </w:t>
      </w:r>
      <w:r w:rsidR="00A16AB8">
        <w:rPr>
          <w:rFonts w:ascii="Garamond" w:eastAsia="Times New Roman" w:hAnsi="Garamond" w:cs="Times New Roman"/>
          <w:lang w:eastAsia="fr-FR"/>
        </w:rPr>
        <w:t>contrats article 39</w:t>
      </w:r>
      <w:r w:rsidRPr="0079462A">
        <w:rPr>
          <w:rFonts w:ascii="Garamond" w:eastAsia="Times New Roman" w:hAnsi="Garamond" w:cs="Times New Roman"/>
          <w:lang w:eastAsia="fr-FR"/>
        </w:rPr>
        <w:t>)</w:t>
      </w:r>
    </w:p>
    <w:p w:rsidR="0079462A" w:rsidRPr="0079462A" w:rsidRDefault="0079462A" w:rsidP="0079462A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79462A">
        <w:rPr>
          <w:rFonts w:ascii="Garamond" w:eastAsia="Times New Roman" w:hAnsi="Garamond" w:cs="Times New Roman"/>
          <w:lang w:eastAsia="fr-FR"/>
        </w:rPr>
        <w:t>Une colonne C0020 C</w:t>
      </w:r>
      <w:r w:rsidR="00C52D9F">
        <w:rPr>
          <w:rFonts w:ascii="Garamond" w:eastAsia="Times New Roman" w:hAnsi="Garamond" w:cs="Times New Roman"/>
          <w:lang w:eastAsia="fr-FR"/>
        </w:rPr>
        <w:t xml:space="preserve">ontrats à cotisations définies </w:t>
      </w:r>
      <w:r w:rsidRPr="0079462A">
        <w:rPr>
          <w:rFonts w:ascii="Garamond" w:eastAsia="Times New Roman" w:hAnsi="Garamond" w:cs="Times New Roman"/>
          <w:lang w:eastAsia="fr-FR"/>
        </w:rPr>
        <w:t>(</w:t>
      </w:r>
      <w:r w:rsidR="00BE5446">
        <w:rPr>
          <w:rFonts w:ascii="Garamond" w:eastAsia="Times New Roman" w:hAnsi="Garamond" w:cs="Times New Roman"/>
          <w:lang w:eastAsia="fr-FR"/>
        </w:rPr>
        <w:t>hors</w:t>
      </w:r>
      <w:r w:rsidR="00A16AB8">
        <w:rPr>
          <w:rFonts w:ascii="Garamond" w:eastAsia="Times New Roman" w:hAnsi="Garamond" w:cs="Times New Roman"/>
          <w:lang w:eastAsia="fr-FR"/>
        </w:rPr>
        <w:t xml:space="preserve"> indemnités de fin de carrière</w:t>
      </w:r>
      <w:r w:rsidR="00BE5446">
        <w:rPr>
          <w:rFonts w:ascii="Garamond" w:eastAsia="Times New Roman" w:hAnsi="Garamond" w:cs="Times New Roman"/>
          <w:lang w:eastAsia="fr-FR"/>
        </w:rPr>
        <w:t>, hors</w:t>
      </w:r>
      <w:r w:rsidR="00A16AB8">
        <w:rPr>
          <w:rFonts w:ascii="Garamond" w:eastAsia="Times New Roman" w:hAnsi="Garamond" w:cs="Times New Roman"/>
          <w:lang w:eastAsia="fr-FR"/>
        </w:rPr>
        <w:t xml:space="preserve"> anciens</w:t>
      </w:r>
      <w:r w:rsidR="00A16AB8" w:rsidRPr="00EF2CE1">
        <w:rPr>
          <w:rFonts w:ascii="Garamond" w:eastAsia="Times New Roman" w:hAnsi="Garamond" w:cs="Times New Roman"/>
          <w:lang w:eastAsia="fr-FR"/>
        </w:rPr>
        <w:t xml:space="preserve"> </w:t>
      </w:r>
      <w:r w:rsidR="00706ED1">
        <w:rPr>
          <w:rFonts w:ascii="Garamond" w:eastAsia="Times New Roman" w:hAnsi="Garamond" w:cs="Times New Roman"/>
          <w:lang w:eastAsia="fr-FR"/>
        </w:rPr>
        <w:t xml:space="preserve">contrats </w:t>
      </w:r>
      <w:r w:rsidR="00A16AB8" w:rsidRPr="00EF2CE1">
        <w:rPr>
          <w:rFonts w:ascii="Garamond" w:eastAsia="Times New Roman" w:hAnsi="Garamond" w:cs="Times New Roman"/>
          <w:lang w:eastAsia="fr-FR"/>
        </w:rPr>
        <w:t>article 39</w:t>
      </w:r>
      <w:r w:rsidRPr="0079462A">
        <w:rPr>
          <w:rFonts w:ascii="Garamond" w:eastAsia="Times New Roman" w:hAnsi="Garamond" w:cs="Times New Roman"/>
          <w:lang w:eastAsia="fr-FR"/>
        </w:rPr>
        <w:t>)</w:t>
      </w:r>
    </w:p>
    <w:p w:rsidR="0079462A" w:rsidRPr="0079462A" w:rsidRDefault="0079462A" w:rsidP="0079462A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79462A">
        <w:rPr>
          <w:rFonts w:ascii="Garamond" w:eastAsia="Times New Roman" w:hAnsi="Garamond" w:cs="Times New Roman"/>
          <w:lang w:eastAsia="fr-FR"/>
        </w:rPr>
        <w:t>Une colonne C0040 Total</w:t>
      </w:r>
    </w:p>
    <w:p w:rsidR="0079462A" w:rsidRPr="0079462A" w:rsidRDefault="0079462A" w:rsidP="0079462A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79462A" w:rsidRPr="0079462A" w:rsidRDefault="0079462A" w:rsidP="0079462A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79462A" w:rsidRPr="005E76A1" w:rsidRDefault="0079462A" w:rsidP="0079462A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5E76A1">
        <w:rPr>
          <w:rFonts w:ascii="Garamond" w:eastAsia="Times New Roman" w:hAnsi="Garamond" w:cs="Times New Roman"/>
          <w:lang w:eastAsia="fr-FR"/>
        </w:rPr>
        <w:t>Les clés de répartition sont à la discrétion de l’organisme</w:t>
      </w:r>
      <w:r w:rsidR="000757AF" w:rsidRPr="005E76A1">
        <w:rPr>
          <w:rFonts w:ascii="Garamond" w:hAnsi="Garamond"/>
        </w:rPr>
        <w:t>, mais pourront être justifiées si le superviseur le demande</w:t>
      </w:r>
      <w:r w:rsidRPr="005E76A1">
        <w:rPr>
          <w:rFonts w:ascii="Garamond" w:eastAsia="Times New Roman" w:hAnsi="Garamond" w:cs="Times New Roman"/>
          <w:lang w:eastAsia="fr-FR"/>
        </w:rPr>
        <w:t>.</w:t>
      </w:r>
    </w:p>
    <w:p w:rsidR="0079462A" w:rsidRPr="0079462A" w:rsidRDefault="0079462A" w:rsidP="0079462A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:rsidR="0079462A" w:rsidRPr="0079462A" w:rsidRDefault="0079462A" w:rsidP="0079462A">
      <w:pPr>
        <w:numPr>
          <w:ilvl w:val="0"/>
          <w:numId w:val="8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79462A">
        <w:rPr>
          <w:rFonts w:ascii="Garamond" w:eastAsia="Times New Roman" w:hAnsi="Garamond" w:cs="Times New Roman"/>
          <w:b/>
          <w:lang w:eastAsia="fr-FR"/>
        </w:rPr>
        <w:t>L</w:t>
      </w:r>
      <w:r w:rsidRPr="0079462A">
        <w:rPr>
          <w:rFonts w:ascii="Garamond" w:hAnsi="Garamond" w:cs="Times New Roman"/>
          <w:b/>
        </w:rPr>
        <w:t>ignes</w:t>
      </w:r>
    </w:p>
    <w:p w:rsidR="0079462A" w:rsidRPr="0079462A" w:rsidRDefault="0079462A" w:rsidP="0079462A">
      <w:pPr>
        <w:rPr>
          <w:rFonts w:ascii="Garamond" w:hAnsi="Garamond"/>
        </w:rPr>
      </w:pPr>
    </w:p>
    <w:tbl>
      <w:tblPr>
        <w:tblW w:w="9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2"/>
        <w:gridCol w:w="922"/>
        <w:gridCol w:w="5093"/>
      </w:tblGrid>
      <w:tr w:rsidR="0079462A" w:rsidRPr="0079462A" w:rsidTr="003E7E94">
        <w:trPr>
          <w:trHeight w:val="30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79462A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79462A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62A" w:rsidRPr="0079462A" w:rsidRDefault="0079462A" w:rsidP="007946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79462A">
              <w:rPr>
                <w:rFonts w:ascii="Garamond" w:eastAsia="Times New Roman" w:hAnsi="Garamond" w:cs="Times New Roman"/>
                <w:b/>
                <w:bCs/>
                <w:lang w:eastAsia="fr-FR"/>
              </w:rPr>
              <w:t>Colonne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79462A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79462A" w:rsidRPr="0079462A" w:rsidTr="003E7E94">
        <w:trPr>
          <w:trHeight w:val="425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Provisions techniques à l’ouverture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R0010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Default="0079462A" w:rsidP="00AA2BE5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79462A">
              <w:rPr>
                <w:rFonts w:ascii="Garamond" w:hAnsi="Garamond" w:cs="Verdana"/>
                <w:color w:val="000000"/>
              </w:rPr>
              <w:t xml:space="preserve">Valeur des provisions techniques dans le bilan d’ouverture de la période ; </w:t>
            </w:r>
          </w:p>
          <w:p w:rsidR="00AA2BE5" w:rsidRPr="0079462A" w:rsidRDefault="00AA2BE5" w:rsidP="00AA2BE5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>
              <w:rPr>
                <w:rFonts w:ascii="Garamond" w:hAnsi="Garamond" w:cs="Verdana"/>
                <w:color w:val="000000"/>
              </w:rPr>
              <w:t xml:space="preserve">Les provisions techniques doivent être déclarées brutes de réassurance. </w:t>
            </w: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Coût des services rendus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R0020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16270" w:rsidP="0079462A">
            <w:pPr>
              <w:rPr>
                <w:rFonts w:ascii="Garamond" w:hAnsi="Garamond" w:cs="Verdana"/>
                <w:color w:val="000000"/>
              </w:rPr>
            </w:pPr>
            <w:r>
              <w:rPr>
                <w:rFonts w:ascii="Garamond" w:hAnsi="Garamond" w:cs="Verdana"/>
                <w:color w:val="000000"/>
              </w:rPr>
              <w:t xml:space="preserve">Évolutions des provisions au court de la période de </w:t>
            </w:r>
            <w:proofErr w:type="spellStart"/>
            <w:r>
              <w:rPr>
                <w:rFonts w:ascii="Garamond" w:hAnsi="Garamond" w:cs="Verdana"/>
                <w:color w:val="000000"/>
              </w:rPr>
              <w:t>reporting</w:t>
            </w:r>
            <w:proofErr w:type="spellEnd"/>
            <w:r>
              <w:rPr>
                <w:rFonts w:ascii="Garamond" w:hAnsi="Garamond" w:cs="Verdana"/>
                <w:color w:val="000000"/>
              </w:rPr>
              <w:t>.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lastRenderedPageBreak/>
              <w:t>Changement du taux technique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R0030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79462A">
              <w:rPr>
                <w:rFonts w:ascii="Garamond" w:hAnsi="Garamond" w:cs="Verdana"/>
                <w:color w:val="000000"/>
              </w:rPr>
              <w:t>Effet de l’augmentation / de tout changement du taux d’actualisation</w:t>
            </w:r>
          </w:p>
          <w:p w:rsidR="0079462A" w:rsidRPr="0079462A" w:rsidRDefault="0079462A" w:rsidP="002E1A0B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Écarts actuariels : Évolutions liées à l'expérience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R0040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79462A">
              <w:rPr>
                <w:rFonts w:ascii="Garamond" w:hAnsi="Garamond" w:cs="Verdana"/>
                <w:color w:val="000000"/>
              </w:rPr>
              <w:t>Changement des hypothèses de calcul des provisions techniques, basés sur l’expérience.</w:t>
            </w: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Autres changements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R0050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 w:cs="Verdana"/>
                <w:color w:val="000000"/>
              </w:rPr>
              <w:t>Autres changements non répertoriés dans les catégories précédentes</w:t>
            </w: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 xml:space="preserve">Provisions techniques à la </w:t>
            </w:r>
            <w:r w:rsidR="00FB3B57" w:rsidRPr="0079462A">
              <w:rPr>
                <w:rFonts w:ascii="Garamond" w:hAnsi="Garamond"/>
              </w:rPr>
              <w:t>clôture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R0060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79462A">
              <w:rPr>
                <w:rFonts w:ascii="Garamond" w:hAnsi="Garamond" w:cs="Verdana"/>
                <w:color w:val="000000"/>
              </w:rPr>
              <w:t>Valeur des provisions techniques dans le bilan de clôture de la période</w:t>
            </w:r>
            <w:r w:rsidR="00716270">
              <w:rPr>
                <w:rFonts w:ascii="Garamond" w:hAnsi="Garamond" w:cs="Verdana"/>
                <w:color w:val="000000"/>
              </w:rPr>
              <w:t>.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Taux technique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R0070</w:t>
            </w:r>
          </w:p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79462A" w:rsidRDefault="0079462A" w:rsidP="0079462A">
            <w:pPr>
              <w:rPr>
                <w:rFonts w:ascii="Garamond" w:hAnsi="Garamond" w:cs="Verdana"/>
                <w:color w:val="000000"/>
              </w:rPr>
            </w:pPr>
            <w:r w:rsidRPr="0079462A">
              <w:rPr>
                <w:rFonts w:ascii="Garamond" w:hAnsi="Garamond" w:cs="Verdana"/>
                <w:color w:val="000000"/>
              </w:rPr>
              <w:t>Taux d'actualisation utilisé</w:t>
            </w:r>
            <w:r w:rsidR="00C52D9F">
              <w:rPr>
                <w:rFonts w:ascii="Garamond" w:hAnsi="Garamond" w:cs="Verdana"/>
                <w:color w:val="000000"/>
              </w:rPr>
              <w:t xml:space="preserve"> en fin de période</w:t>
            </w:r>
          </w:p>
          <w:p w:rsidR="0079462A" w:rsidRPr="0079462A" w:rsidRDefault="0079462A" w:rsidP="0079462A">
            <w:pPr>
              <w:rPr>
                <w:rFonts w:ascii="Garamond" w:hAnsi="Garamond"/>
              </w:rPr>
            </w:pPr>
          </w:p>
        </w:tc>
      </w:tr>
      <w:tr w:rsidR="0079462A" w:rsidRPr="0079462A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Fourchettes de taux techniques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2A" w:rsidRPr="0079462A" w:rsidRDefault="0079462A" w:rsidP="0079462A">
            <w:pPr>
              <w:jc w:val="center"/>
              <w:rPr>
                <w:rFonts w:ascii="Garamond" w:hAnsi="Garamond"/>
              </w:rPr>
            </w:pPr>
            <w:r w:rsidRPr="0079462A">
              <w:rPr>
                <w:rFonts w:ascii="Garamond" w:hAnsi="Garamond"/>
              </w:rPr>
              <w:t>R0080</w:t>
            </w: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2A" w:rsidRPr="00C52D9F" w:rsidRDefault="0079462A" w:rsidP="0079462A">
            <w:pPr>
              <w:rPr>
                <w:rFonts w:ascii="Garamond" w:hAnsi="Garamond"/>
              </w:rPr>
            </w:pPr>
            <w:r w:rsidRPr="0079462A">
              <w:rPr>
                <w:rFonts w:ascii="Garamond" w:hAnsi="Garamond" w:cs="Calibri"/>
              </w:rPr>
              <w:t>Fourchettes de taux d'actualisation utilisés</w:t>
            </w:r>
            <w:r w:rsidR="00C52D9F">
              <w:rPr>
                <w:rFonts w:ascii="Garamond" w:hAnsi="Garamond" w:cs="Calibri"/>
              </w:rPr>
              <w:t xml:space="preserve"> </w:t>
            </w:r>
            <w:r w:rsidR="00FB3B57">
              <w:rPr>
                <w:rFonts w:ascii="Garamond" w:hAnsi="Garamond" w:cs="Calibri"/>
              </w:rPr>
              <w:t>(</w:t>
            </w:r>
            <w:r w:rsidR="00C52D9F">
              <w:rPr>
                <w:rFonts w:ascii="Garamond" w:hAnsi="Garamond" w:cs="Calibri"/>
              </w:rPr>
              <w:t>s’il n’y pas qu’un seul taux utilisé</w:t>
            </w:r>
            <w:r w:rsidR="00FB3B57">
              <w:rPr>
                <w:rFonts w:ascii="Garamond" w:hAnsi="Garamond" w:cs="Calibri"/>
              </w:rPr>
              <w:t>). Dans le cas de taux au comptant (spot rates), rajouter un « s » avant de définir la fourchette, « s0,1%-5,0% ».</w:t>
            </w:r>
          </w:p>
        </w:tc>
      </w:tr>
    </w:tbl>
    <w:p w:rsidR="0079462A" w:rsidRPr="0079462A" w:rsidRDefault="0079462A" w:rsidP="0079462A">
      <w:pPr>
        <w:jc w:val="center"/>
        <w:rPr>
          <w:rFonts w:ascii="Garamond" w:hAnsi="Garamond"/>
        </w:rPr>
      </w:pPr>
    </w:p>
    <w:p w:rsidR="0079462A" w:rsidRPr="0079462A" w:rsidRDefault="0079462A" w:rsidP="0079462A">
      <w:pPr>
        <w:jc w:val="center"/>
        <w:rPr>
          <w:rFonts w:ascii="Garamond" w:hAnsi="Garamond"/>
        </w:rPr>
      </w:pPr>
    </w:p>
    <w:p w:rsidR="003F5C6B" w:rsidRDefault="003F5C6B" w:rsidP="009E5F35">
      <w:pPr>
        <w:spacing w:after="0" w:line="240" w:lineRule="auto"/>
        <w:jc w:val="center"/>
        <w:sectPr w:rsidR="003F5C6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5F35" w:rsidRPr="003F5C6B" w:rsidRDefault="009E5F35" w:rsidP="009E5F35">
      <w:pPr>
        <w:spacing w:after="0" w:line="240" w:lineRule="auto"/>
        <w:jc w:val="center"/>
      </w:pPr>
    </w:p>
    <w:p w:rsidR="003F5C6B" w:rsidRPr="00FB3B57" w:rsidRDefault="0079462A" w:rsidP="00D14F75">
      <w:pPr>
        <w:spacing w:after="0" w:line="240" w:lineRule="auto"/>
        <w:jc w:val="center"/>
      </w:pPr>
      <w:r w:rsidRPr="0079462A">
        <w:rPr>
          <w:noProof/>
          <w:lang w:eastAsia="fr-FR"/>
        </w:rPr>
        <w:drawing>
          <wp:inline distT="0" distB="0" distL="0" distR="0" wp14:anchorId="2B7DCD65" wp14:editId="143D56F6">
            <wp:extent cx="7835265" cy="38150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265" cy="38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5C6B" w:rsidRPr="00FB3B57" w:rsidSect="003F5C6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2E" w:rsidRDefault="00491C2E" w:rsidP="00C44F2A">
      <w:pPr>
        <w:spacing w:after="0" w:line="240" w:lineRule="auto"/>
      </w:pPr>
      <w:r>
        <w:separator/>
      </w:r>
    </w:p>
  </w:endnote>
  <w:end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170189"/>
      <w:docPartObj>
        <w:docPartGallery w:val="Page Numbers (Bottom of Page)"/>
        <w:docPartUnique/>
      </w:docPartObj>
    </w:sdtPr>
    <w:sdtEndPr/>
    <w:sdtContent>
      <w:p w:rsidR="00491C2E" w:rsidRDefault="00491C2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75">
          <w:rPr>
            <w:noProof/>
          </w:rPr>
          <w:t>1</w:t>
        </w:r>
        <w:r>
          <w:fldChar w:fldCharType="end"/>
        </w:r>
      </w:p>
    </w:sdtContent>
  </w:sdt>
  <w:p w:rsidR="00491C2E" w:rsidRDefault="00491C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2E" w:rsidRDefault="00491C2E" w:rsidP="00C44F2A">
      <w:pPr>
        <w:spacing w:after="0" w:line="240" w:lineRule="auto"/>
      </w:pPr>
      <w:r>
        <w:separator/>
      </w:r>
    </w:p>
  </w:footnote>
  <w:foot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F236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4C44EE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44298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6DD0152"/>
    <w:multiLevelType w:val="hybridMultilevel"/>
    <w:tmpl w:val="23F837C6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A"/>
    <w:rsid w:val="00007C26"/>
    <w:rsid w:val="000212E3"/>
    <w:rsid w:val="0005644C"/>
    <w:rsid w:val="000757AF"/>
    <w:rsid w:val="0008685D"/>
    <w:rsid w:val="0015156E"/>
    <w:rsid w:val="00152B2E"/>
    <w:rsid w:val="001B2DDA"/>
    <w:rsid w:val="002205D3"/>
    <w:rsid w:val="00241A4A"/>
    <w:rsid w:val="00286886"/>
    <w:rsid w:val="002907D2"/>
    <w:rsid w:val="002A6E5D"/>
    <w:rsid w:val="002A7101"/>
    <w:rsid w:val="002B70C6"/>
    <w:rsid w:val="002C47BD"/>
    <w:rsid w:val="002C636D"/>
    <w:rsid w:val="002E1A0B"/>
    <w:rsid w:val="00321B2B"/>
    <w:rsid w:val="0036293A"/>
    <w:rsid w:val="00373B38"/>
    <w:rsid w:val="003E28FC"/>
    <w:rsid w:val="003F5C6B"/>
    <w:rsid w:val="004855C8"/>
    <w:rsid w:val="00491C2E"/>
    <w:rsid w:val="00493D8B"/>
    <w:rsid w:val="004F2657"/>
    <w:rsid w:val="00517232"/>
    <w:rsid w:val="00571701"/>
    <w:rsid w:val="00594644"/>
    <w:rsid w:val="005C3B6E"/>
    <w:rsid w:val="005E76A1"/>
    <w:rsid w:val="0066744D"/>
    <w:rsid w:val="006701D8"/>
    <w:rsid w:val="006F06B9"/>
    <w:rsid w:val="006F4C23"/>
    <w:rsid w:val="00706ED1"/>
    <w:rsid w:val="00716270"/>
    <w:rsid w:val="0079462A"/>
    <w:rsid w:val="00811036"/>
    <w:rsid w:val="00870F47"/>
    <w:rsid w:val="00877D8F"/>
    <w:rsid w:val="00891E81"/>
    <w:rsid w:val="00951F25"/>
    <w:rsid w:val="009B0140"/>
    <w:rsid w:val="009E5F35"/>
    <w:rsid w:val="00A16AB8"/>
    <w:rsid w:val="00A3378A"/>
    <w:rsid w:val="00A873E7"/>
    <w:rsid w:val="00AA2BE5"/>
    <w:rsid w:val="00B24561"/>
    <w:rsid w:val="00BC6970"/>
    <w:rsid w:val="00BE386F"/>
    <w:rsid w:val="00BE5446"/>
    <w:rsid w:val="00BF46FC"/>
    <w:rsid w:val="00C15EB9"/>
    <w:rsid w:val="00C166E0"/>
    <w:rsid w:val="00C44F2A"/>
    <w:rsid w:val="00C52D9F"/>
    <w:rsid w:val="00C56A00"/>
    <w:rsid w:val="00C71391"/>
    <w:rsid w:val="00CB36C7"/>
    <w:rsid w:val="00CB4B13"/>
    <w:rsid w:val="00CD17A3"/>
    <w:rsid w:val="00D14F75"/>
    <w:rsid w:val="00D40FB1"/>
    <w:rsid w:val="00D43D45"/>
    <w:rsid w:val="00D66CEF"/>
    <w:rsid w:val="00D77674"/>
    <w:rsid w:val="00D95E2F"/>
    <w:rsid w:val="00DA437B"/>
    <w:rsid w:val="00DA5C99"/>
    <w:rsid w:val="00DA6EA0"/>
    <w:rsid w:val="00DB3049"/>
    <w:rsid w:val="00DC7ADB"/>
    <w:rsid w:val="00E54B68"/>
    <w:rsid w:val="00EE0316"/>
    <w:rsid w:val="00EF4B15"/>
    <w:rsid w:val="00EF5D29"/>
    <w:rsid w:val="00F02B38"/>
    <w:rsid w:val="00F07144"/>
    <w:rsid w:val="00F3043D"/>
    <w:rsid w:val="00FB3B57"/>
    <w:rsid w:val="00FD24E9"/>
    <w:rsid w:val="00FE6C34"/>
    <w:rsid w:val="00FF2F0E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4F4C4-1ACB-4CBD-BF2B-596B8BA0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4F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4F2A"/>
    <w:pPr>
      <w:ind w:left="720"/>
      <w:contextualSpacing/>
    </w:pPr>
  </w:style>
  <w:style w:type="paragraph" w:customStyle="1" w:styleId="Paragraphedeliste1">
    <w:name w:val="Paragraphe de liste1"/>
    <w:basedOn w:val="Normal"/>
    <w:rsid w:val="00C44F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44F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F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4F2A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2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4F2A"/>
  </w:style>
  <w:style w:type="paragraph" w:styleId="Pieddepage">
    <w:name w:val="footer"/>
    <w:basedOn w:val="Normal"/>
    <w:link w:val="Pieddepag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4F2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D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WILKINSON Baptiste (UA 2775)</cp:lastModifiedBy>
  <cp:revision>8</cp:revision>
  <dcterms:created xsi:type="dcterms:W3CDTF">2020-12-17T17:23:00Z</dcterms:created>
  <dcterms:modified xsi:type="dcterms:W3CDTF">2023-01-02T16:26:00Z</dcterms:modified>
</cp:coreProperties>
</file>