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E9C0D23" w14:textId="11865B46" w:rsidR="003B74A5" w:rsidRDefault="003B74A5" w:rsidP="004C2163">
      <w:pPr>
        <w:rPr>
          <w:b/>
          <w:sz w:val="32"/>
          <w:u w:val="single"/>
          <w:lang w:eastAsia="en-US"/>
        </w:rPr>
      </w:pPr>
      <w:bookmarkStart w:id="0" w:name="_GoBack"/>
      <w:bookmarkEnd w:id="0"/>
    </w:p>
    <w:p w14:paraId="0B20972E" w14:textId="6C27D179" w:rsidR="003B74A5" w:rsidRPr="004C2163" w:rsidRDefault="003B74A5" w:rsidP="004C2163">
      <w:pPr>
        <w:jc w:val="center"/>
        <w:rPr>
          <w:b/>
          <w:sz w:val="28"/>
          <w:u w:val="single"/>
          <w:lang w:eastAsia="en-US"/>
        </w:rPr>
      </w:pPr>
      <w:proofErr w:type="spellStart"/>
      <w:r w:rsidRPr="004C2163">
        <w:rPr>
          <w:b/>
          <w:sz w:val="28"/>
          <w:u w:val="single"/>
          <w:lang w:eastAsia="en-US"/>
        </w:rPr>
        <w:t>Reporting</w:t>
      </w:r>
      <w:proofErr w:type="spellEnd"/>
      <w:r w:rsidRPr="004C2163">
        <w:rPr>
          <w:b/>
          <w:sz w:val="28"/>
          <w:u w:val="single"/>
          <w:lang w:eastAsia="en-US"/>
        </w:rPr>
        <w:t xml:space="preserve"> ORPS</w:t>
      </w:r>
    </w:p>
    <w:p w14:paraId="7ABA55B9" w14:textId="6F893517" w:rsidR="006E363E" w:rsidRPr="004C2163" w:rsidRDefault="00126A39" w:rsidP="004C2163">
      <w:pPr>
        <w:jc w:val="center"/>
        <w:rPr>
          <w:b/>
          <w:sz w:val="28"/>
          <w:u w:val="single"/>
          <w:lang w:eastAsia="en-US"/>
        </w:rPr>
      </w:pPr>
      <w:r w:rsidRPr="004C2163">
        <w:rPr>
          <w:b/>
          <w:sz w:val="28"/>
          <w:u w:val="single"/>
          <w:lang w:eastAsia="en-US"/>
        </w:rPr>
        <w:t>Communication relative aux</w:t>
      </w:r>
      <w:r w:rsidR="004C2163" w:rsidRPr="004C2163">
        <w:rPr>
          <w:b/>
          <w:sz w:val="28"/>
          <w:u w:val="single"/>
          <w:lang w:eastAsia="en-US"/>
        </w:rPr>
        <w:t xml:space="preserve"> </w:t>
      </w:r>
      <w:r w:rsidR="007E7368" w:rsidRPr="004C2163">
        <w:rPr>
          <w:b/>
          <w:sz w:val="28"/>
          <w:u w:val="single"/>
          <w:lang w:eastAsia="en-US"/>
        </w:rPr>
        <w:t>transactions financières et aux valorisations</w:t>
      </w:r>
    </w:p>
    <w:p w14:paraId="161D66EE" w14:textId="2B71B4DB" w:rsidR="00A42D85" w:rsidRPr="00A42D85" w:rsidRDefault="00A42D85" w:rsidP="003B74A5">
      <w:pPr>
        <w:jc w:val="right"/>
        <w:rPr>
          <w:lang w:eastAsia="en-US"/>
        </w:rPr>
      </w:pPr>
      <w:r>
        <w:rPr>
          <w:lang w:eastAsia="en-US"/>
        </w:rPr>
        <w:t>Le 1</w:t>
      </w:r>
      <w:r w:rsidR="00F55A67">
        <w:rPr>
          <w:lang w:eastAsia="en-US"/>
        </w:rPr>
        <w:t>2</w:t>
      </w:r>
      <w:r>
        <w:rPr>
          <w:lang w:eastAsia="en-US"/>
        </w:rPr>
        <w:t xml:space="preserve"> février 2020</w:t>
      </w:r>
    </w:p>
    <w:p w14:paraId="43D2C135" w14:textId="77777777" w:rsidR="00F47256" w:rsidRPr="00D42706" w:rsidRDefault="00F47256" w:rsidP="00F47256">
      <w:pPr>
        <w:jc w:val="both"/>
        <w:rPr>
          <w:b/>
          <w:lang w:eastAsia="en-US"/>
        </w:rPr>
      </w:pPr>
      <w:r>
        <w:rPr>
          <w:b/>
          <w:lang w:eastAsia="en-US"/>
        </w:rPr>
        <w:t>Conformément au règlement et aux</w:t>
      </w:r>
      <w:r w:rsidRPr="00D42706">
        <w:rPr>
          <w:b/>
          <w:lang w:eastAsia="en-US"/>
        </w:rPr>
        <w:t xml:space="preserve"> guides méthodologiques</w:t>
      </w:r>
      <w:r w:rsidRPr="00D42706">
        <w:rPr>
          <w:rStyle w:val="Appelnotedebasdep"/>
          <w:b/>
          <w:lang w:eastAsia="en-US"/>
        </w:rPr>
        <w:footnoteReference w:id="1"/>
      </w:r>
      <w:r w:rsidRPr="00D42706">
        <w:rPr>
          <w:b/>
          <w:lang w:eastAsia="en-US"/>
        </w:rPr>
        <w:t xml:space="preserve"> (relatifs aux états EP.02.01.30, EP.03.01.30 et EP.04.01.30) </w:t>
      </w:r>
      <w:r>
        <w:rPr>
          <w:b/>
          <w:lang w:eastAsia="en-US"/>
        </w:rPr>
        <w:t>qui prévoient</w:t>
      </w:r>
      <w:r w:rsidRPr="00D42706">
        <w:rPr>
          <w:b/>
          <w:lang w:eastAsia="en-US"/>
        </w:rPr>
        <w:t xml:space="preserve"> que les B</w:t>
      </w:r>
      <w:r>
        <w:rPr>
          <w:b/>
          <w:lang w:eastAsia="en-US"/>
        </w:rPr>
        <w:t>anques centrales nationales</w:t>
      </w:r>
      <w:r w:rsidRPr="00D42706">
        <w:rPr>
          <w:b/>
          <w:lang w:eastAsia="en-US"/>
        </w:rPr>
        <w:t xml:space="preserve"> indique</w:t>
      </w:r>
      <w:r>
        <w:rPr>
          <w:b/>
          <w:lang w:eastAsia="en-US"/>
        </w:rPr>
        <w:t>nt</w:t>
      </w:r>
      <w:r w:rsidRPr="00D42706">
        <w:rPr>
          <w:b/>
          <w:lang w:eastAsia="en-US"/>
        </w:rPr>
        <w:t xml:space="preserve"> s’il convient de déclarer les valorisations (y compris effets de change) ou les transactions financières</w:t>
      </w:r>
      <w:r>
        <w:rPr>
          <w:b/>
          <w:lang w:eastAsia="en-US"/>
        </w:rPr>
        <w:t xml:space="preserve">, </w:t>
      </w:r>
      <w:r w:rsidRPr="00D42706">
        <w:rPr>
          <w:b/>
          <w:lang w:eastAsia="en-US"/>
        </w:rPr>
        <w:t xml:space="preserve"> </w:t>
      </w:r>
      <w:r>
        <w:rPr>
          <w:b/>
          <w:lang w:eastAsia="en-US"/>
        </w:rPr>
        <w:t>l</w:t>
      </w:r>
      <w:r w:rsidRPr="00D42706">
        <w:rPr>
          <w:b/>
          <w:lang w:eastAsia="en-US"/>
        </w:rPr>
        <w:t xml:space="preserve">a Banque de France a </w:t>
      </w:r>
      <w:r>
        <w:rPr>
          <w:b/>
          <w:lang w:eastAsia="en-US"/>
        </w:rPr>
        <w:t>opté pour</w:t>
      </w:r>
      <w:r w:rsidRPr="00D42706">
        <w:rPr>
          <w:b/>
          <w:lang w:eastAsia="en-US"/>
        </w:rPr>
        <w:t xml:space="preserve"> les transactions financières. Outre les encours et les autres changements de volume, les remettants </w:t>
      </w:r>
      <w:r>
        <w:rPr>
          <w:b/>
          <w:lang w:eastAsia="en-US"/>
        </w:rPr>
        <w:t>devront</w:t>
      </w:r>
      <w:r w:rsidRPr="00D42706">
        <w:rPr>
          <w:b/>
          <w:lang w:eastAsia="en-US"/>
        </w:rPr>
        <w:t xml:space="preserve"> donc</w:t>
      </w:r>
      <w:r>
        <w:rPr>
          <w:b/>
          <w:lang w:eastAsia="en-US"/>
        </w:rPr>
        <w:t xml:space="preserve"> déclarer</w:t>
      </w:r>
      <w:r w:rsidRPr="00D42706">
        <w:rPr>
          <w:b/>
          <w:lang w:eastAsia="en-US"/>
        </w:rPr>
        <w:t xml:space="preserve"> les transactions financières.</w:t>
      </w:r>
    </w:p>
    <w:p w14:paraId="62B146BB" w14:textId="0C910454" w:rsidR="00B7714A" w:rsidRDefault="00C54D73" w:rsidP="00420C9C">
      <w:pPr>
        <w:jc w:val="both"/>
        <w:rPr>
          <w:lang w:eastAsia="en-US"/>
        </w:rPr>
      </w:pPr>
      <w:r>
        <w:rPr>
          <w:lang w:eastAsia="en-US"/>
        </w:rPr>
        <w:t>En effet</w:t>
      </w:r>
      <w:r w:rsidR="00817C38">
        <w:rPr>
          <w:lang w:eastAsia="en-US"/>
        </w:rPr>
        <w:t>,</w:t>
      </w:r>
      <w:r>
        <w:rPr>
          <w:lang w:eastAsia="en-US"/>
        </w:rPr>
        <w:t xml:space="preserve"> l</w:t>
      </w:r>
      <w:r w:rsidR="00332EA4">
        <w:rPr>
          <w:lang w:eastAsia="en-US"/>
        </w:rPr>
        <w:t xml:space="preserve">e règlement </w:t>
      </w:r>
      <w:r w:rsidR="00332EA4" w:rsidRPr="00686D9D">
        <w:rPr>
          <w:lang w:eastAsia="en-US"/>
        </w:rPr>
        <w:t xml:space="preserve">(UE) 2018/231 </w:t>
      </w:r>
      <w:r w:rsidR="00332EA4">
        <w:rPr>
          <w:lang w:eastAsia="en-US"/>
        </w:rPr>
        <w:t xml:space="preserve">de la Banque Centrale Européenne </w:t>
      </w:r>
      <w:r w:rsidR="00332EA4" w:rsidRPr="00686D9D">
        <w:rPr>
          <w:lang w:eastAsia="en-US"/>
        </w:rPr>
        <w:t>du 26 janvier 2018</w:t>
      </w:r>
      <w:r w:rsidR="00332EA4">
        <w:rPr>
          <w:lang w:eastAsia="en-US"/>
        </w:rPr>
        <w:t xml:space="preserve"> </w:t>
      </w:r>
      <w:r w:rsidR="00332EA4" w:rsidRPr="00686D9D">
        <w:rPr>
          <w:lang w:eastAsia="en-US"/>
        </w:rPr>
        <w:t>relatif aux obligations de déclaration statistique applicables aux fonds de pension (BCE/2018/2)</w:t>
      </w:r>
      <w:r w:rsidR="00332EA4">
        <w:rPr>
          <w:lang w:eastAsia="en-US"/>
        </w:rPr>
        <w:t xml:space="preserve"> affirme que « </w:t>
      </w:r>
      <w:r w:rsidR="00332EA4" w:rsidRPr="00332EA4">
        <w:rPr>
          <w:lang w:eastAsia="en-US"/>
        </w:rPr>
        <w:t>Les données agrégées doivent être fournies en termes d'encours et, selon les instructions de la banque centrale</w:t>
      </w:r>
      <w:r w:rsidR="00332EA4">
        <w:rPr>
          <w:lang w:eastAsia="en-US"/>
        </w:rPr>
        <w:t xml:space="preserve"> </w:t>
      </w:r>
      <w:r w:rsidR="00332EA4" w:rsidRPr="00332EA4">
        <w:rPr>
          <w:lang w:eastAsia="en-US"/>
        </w:rPr>
        <w:t>nationale (BCN) concernée, en termes soit</w:t>
      </w:r>
      <w:r w:rsidR="00332EA4">
        <w:rPr>
          <w:lang w:eastAsia="en-US"/>
        </w:rPr>
        <w:t xml:space="preserve"> </w:t>
      </w:r>
      <w:r w:rsidR="00332EA4" w:rsidRPr="00332EA4">
        <w:rPr>
          <w:lang w:eastAsia="en-US"/>
        </w:rPr>
        <w:t>: a) de réévaluations dues aux variations de prix et de taux de change, soit</w:t>
      </w:r>
      <w:r w:rsidR="00332EA4">
        <w:rPr>
          <w:lang w:eastAsia="en-US"/>
        </w:rPr>
        <w:t xml:space="preserve"> </w:t>
      </w:r>
      <w:r w:rsidR="00332EA4" w:rsidRPr="00332EA4">
        <w:rPr>
          <w:lang w:eastAsia="en-US"/>
        </w:rPr>
        <w:t>b) d'opérations financières.</w:t>
      </w:r>
      <w:r w:rsidR="00332EA4">
        <w:rPr>
          <w:lang w:eastAsia="en-US"/>
        </w:rPr>
        <w:t> »</w:t>
      </w:r>
      <w:r w:rsidR="00166976">
        <w:rPr>
          <w:lang w:eastAsia="en-US"/>
        </w:rPr>
        <w:t xml:space="preserve"> Ce règlement est disponible en versions </w:t>
      </w:r>
      <w:hyperlink r:id="rId8" w:history="1">
        <w:r w:rsidR="00166976" w:rsidRPr="00686D9D">
          <w:rPr>
            <w:rStyle w:val="Lienhypertexte"/>
            <w:rFonts w:ascii="Calibri" w:hAnsi="Calibri" w:cs="Calibri"/>
            <w:sz w:val="22"/>
            <w:szCs w:val="22"/>
            <w:lang w:eastAsia="en-US"/>
          </w:rPr>
          <w:t>anglaise</w:t>
        </w:r>
      </w:hyperlink>
      <w:r w:rsidR="00166976">
        <w:rPr>
          <w:lang w:eastAsia="en-US"/>
        </w:rPr>
        <w:t xml:space="preserve"> et </w:t>
      </w:r>
      <w:hyperlink r:id="rId9" w:history="1">
        <w:r w:rsidR="00166976" w:rsidRPr="00686D9D">
          <w:rPr>
            <w:rStyle w:val="Lienhypertexte"/>
            <w:rFonts w:ascii="Calibri" w:hAnsi="Calibri" w:cs="Calibri"/>
            <w:sz w:val="22"/>
            <w:szCs w:val="22"/>
            <w:lang w:eastAsia="en-US"/>
          </w:rPr>
          <w:t>française</w:t>
        </w:r>
      </w:hyperlink>
      <w:r w:rsidR="00166976">
        <w:rPr>
          <w:lang w:eastAsia="en-US"/>
        </w:rPr>
        <w:t>.</w:t>
      </w:r>
    </w:p>
    <w:p w14:paraId="69CB06EC" w14:textId="00C6C5C9" w:rsidR="00EF3C43" w:rsidRDefault="00665772" w:rsidP="00420C9C">
      <w:pPr>
        <w:jc w:val="both"/>
        <w:rPr>
          <w:lang w:eastAsia="en-US"/>
        </w:rPr>
      </w:pPr>
      <w:r>
        <w:rPr>
          <w:lang w:eastAsia="en-US"/>
        </w:rPr>
        <w:t>Dans la présente l</w:t>
      </w:r>
      <w:r w:rsidR="00EF3C43">
        <w:rPr>
          <w:lang w:eastAsia="en-US"/>
        </w:rPr>
        <w:t>es termes de valorisations et d’ajustements liés aux réévaluations </w:t>
      </w:r>
      <w:r w:rsidR="00122960">
        <w:rPr>
          <w:lang w:eastAsia="en-US"/>
        </w:rPr>
        <w:t>s</w:t>
      </w:r>
      <w:r w:rsidR="00EF3C43">
        <w:rPr>
          <w:lang w:eastAsia="en-US"/>
        </w:rPr>
        <w:t xml:space="preserve">ont considérés comme équivalents et traduisent </w:t>
      </w:r>
      <w:r w:rsidR="004F148D">
        <w:rPr>
          <w:lang w:eastAsia="en-US"/>
        </w:rPr>
        <w:t xml:space="preserve">la notion de </w:t>
      </w:r>
      <w:r w:rsidR="00EF3C43">
        <w:rPr>
          <w:lang w:eastAsia="en-US"/>
        </w:rPr>
        <w:t>« </w:t>
      </w:r>
      <w:proofErr w:type="spellStart"/>
      <w:r w:rsidR="00EF3C43" w:rsidRPr="009D63CB">
        <w:rPr>
          <w:lang w:eastAsia="en-US"/>
        </w:rPr>
        <w:t>revaluation</w:t>
      </w:r>
      <w:proofErr w:type="spellEnd"/>
      <w:r w:rsidR="00EF3C43" w:rsidRPr="009D63CB">
        <w:rPr>
          <w:lang w:eastAsia="en-US"/>
        </w:rPr>
        <w:t xml:space="preserve"> </w:t>
      </w:r>
      <w:proofErr w:type="spellStart"/>
      <w:r w:rsidR="00EF3C43" w:rsidRPr="009D63CB">
        <w:rPr>
          <w:lang w:eastAsia="en-US"/>
        </w:rPr>
        <w:t>adjustments</w:t>
      </w:r>
      <w:proofErr w:type="spellEnd"/>
      <w:r w:rsidR="00EF3C43">
        <w:rPr>
          <w:lang w:eastAsia="en-US"/>
        </w:rPr>
        <w:t xml:space="preserve"> ». </w:t>
      </w:r>
      <w:r w:rsidR="00FB4896">
        <w:rPr>
          <w:lang w:eastAsia="en-US"/>
        </w:rPr>
        <w:t>Le règlement les définit comme « </w:t>
      </w:r>
      <w:r w:rsidR="00FB4896" w:rsidRPr="00FB4896">
        <w:rPr>
          <w:lang w:eastAsia="en-US"/>
        </w:rPr>
        <w:t>des ajustements de la valeur d'actifs et de passifs qui résultent de fluctuations</w:t>
      </w:r>
      <w:r w:rsidR="00FB4896">
        <w:rPr>
          <w:lang w:eastAsia="en-US"/>
        </w:rPr>
        <w:t xml:space="preserve"> </w:t>
      </w:r>
      <w:r w:rsidR="00FB4896" w:rsidRPr="00FB4896">
        <w:rPr>
          <w:lang w:eastAsia="en-US"/>
        </w:rPr>
        <w:t>du prix des actifs et des passifs et/ou de l'incidence des taux de change sur les valeurs, exprimées en euros, d'actifs</w:t>
      </w:r>
      <w:r w:rsidR="00FB4896">
        <w:rPr>
          <w:lang w:eastAsia="en-US"/>
        </w:rPr>
        <w:t xml:space="preserve"> </w:t>
      </w:r>
      <w:r w:rsidR="00FB4896" w:rsidRPr="00FB4896">
        <w:rPr>
          <w:lang w:eastAsia="en-US"/>
        </w:rPr>
        <w:t>et de passifs libellés en devises, comme cela est décrit plus en détail à l'annexe II, cinquième partie</w:t>
      </w:r>
      <w:r w:rsidR="00FB4896">
        <w:rPr>
          <w:lang w:eastAsia="en-US"/>
        </w:rPr>
        <w:t xml:space="preserve"> [du règlement]</w:t>
      </w:r>
      <w:r w:rsidR="00FB4896" w:rsidRPr="00FB4896">
        <w:rPr>
          <w:lang w:eastAsia="en-US"/>
        </w:rPr>
        <w:t>.</w:t>
      </w:r>
      <w:r w:rsidR="00FB4896">
        <w:rPr>
          <w:lang w:eastAsia="en-US"/>
        </w:rPr>
        <w:t> »</w:t>
      </w:r>
    </w:p>
    <w:p w14:paraId="7B50DB1E" w14:textId="03274229" w:rsidR="00FB4896" w:rsidRDefault="004F148D" w:rsidP="00420C9C">
      <w:pPr>
        <w:jc w:val="both"/>
        <w:rPr>
          <w:lang w:eastAsia="en-US"/>
        </w:rPr>
      </w:pPr>
      <w:r>
        <w:rPr>
          <w:lang w:eastAsia="en-US"/>
        </w:rPr>
        <w:t>L</w:t>
      </w:r>
      <w:r w:rsidR="00FB4896">
        <w:rPr>
          <w:lang w:eastAsia="en-US"/>
        </w:rPr>
        <w:t>es termes de transaction financière, opération financière</w:t>
      </w:r>
      <w:r w:rsidR="00122960">
        <w:rPr>
          <w:lang w:eastAsia="en-US"/>
        </w:rPr>
        <w:t xml:space="preserve"> et flux s</w:t>
      </w:r>
      <w:r w:rsidR="00FB4896">
        <w:rPr>
          <w:lang w:eastAsia="en-US"/>
        </w:rPr>
        <w:t>ont considérés comme équivalents et traduisent l’anglais « </w:t>
      </w:r>
      <w:proofErr w:type="spellStart"/>
      <w:r w:rsidR="00FB4896">
        <w:rPr>
          <w:lang w:eastAsia="en-US"/>
        </w:rPr>
        <w:t>financial</w:t>
      </w:r>
      <w:proofErr w:type="spellEnd"/>
      <w:r w:rsidR="00FB4896">
        <w:rPr>
          <w:lang w:eastAsia="en-US"/>
        </w:rPr>
        <w:t xml:space="preserve"> transaction ». Le règlement les définit comme « </w:t>
      </w:r>
      <w:r w:rsidR="00FB4896" w:rsidRPr="00FB4896">
        <w:rPr>
          <w:lang w:eastAsia="en-US"/>
        </w:rPr>
        <w:t>une opération résultant de la création, de la liquidation ou de la modification de la propriété</w:t>
      </w:r>
      <w:r w:rsidR="00FB4896">
        <w:rPr>
          <w:lang w:eastAsia="en-US"/>
        </w:rPr>
        <w:t xml:space="preserve"> </w:t>
      </w:r>
      <w:r w:rsidR="00FB4896" w:rsidRPr="00FB4896">
        <w:rPr>
          <w:lang w:eastAsia="en-US"/>
        </w:rPr>
        <w:t>d'actifs ou de passifs financiers, conformément à la description détaillée de l'annexe II, cinquième partie</w:t>
      </w:r>
      <w:r w:rsidR="00FB4896">
        <w:rPr>
          <w:lang w:eastAsia="en-US"/>
        </w:rPr>
        <w:t> » du règlement.</w:t>
      </w:r>
    </w:p>
    <w:p w14:paraId="7FB51D35" w14:textId="6F8DA3D3" w:rsidR="00122960" w:rsidRDefault="004F148D" w:rsidP="00420C9C">
      <w:pPr>
        <w:jc w:val="both"/>
        <w:rPr>
          <w:lang w:eastAsia="en-US"/>
        </w:rPr>
      </w:pPr>
      <w:r>
        <w:rPr>
          <w:lang w:eastAsia="en-US"/>
        </w:rPr>
        <w:t>L</w:t>
      </w:r>
      <w:r w:rsidR="00122960">
        <w:rPr>
          <w:lang w:eastAsia="en-US"/>
        </w:rPr>
        <w:t>es termes de reclassements ou autres changements de volume sont considérés comme équivalents et traduisent l’anglais « r</w:t>
      </w:r>
      <w:r w:rsidR="00122960" w:rsidRPr="00122960">
        <w:rPr>
          <w:lang w:eastAsia="en-US"/>
        </w:rPr>
        <w:t xml:space="preserve">eclassifications </w:t>
      </w:r>
      <w:proofErr w:type="spellStart"/>
      <w:r w:rsidR="00122960" w:rsidRPr="00122960">
        <w:rPr>
          <w:lang w:eastAsia="en-US"/>
        </w:rPr>
        <w:t>adjustments</w:t>
      </w:r>
      <w:proofErr w:type="spellEnd"/>
      <w:r w:rsidR="00122960">
        <w:rPr>
          <w:lang w:eastAsia="en-US"/>
        </w:rPr>
        <w:t> ». Le terme d’encours traduit l’anglais « stock ».</w:t>
      </w:r>
    </w:p>
    <w:p w14:paraId="1E4D77C4" w14:textId="77777777" w:rsidR="00126A39" w:rsidRDefault="00126A39" w:rsidP="00420C9C">
      <w:pPr>
        <w:jc w:val="both"/>
        <w:rPr>
          <w:lang w:eastAsia="en-US"/>
        </w:rPr>
        <w:sectPr w:rsidR="00126A39" w:rsidSect="00BD77A6">
          <w:footerReference w:type="default" r:id="rId10"/>
          <w:headerReference w:type="first" r:id="rId11"/>
          <w:pgSz w:w="11907" w:h="16840" w:code="9"/>
          <w:pgMar w:top="2268" w:right="1134" w:bottom="2268" w:left="1418" w:header="567" w:footer="510" w:gutter="0"/>
          <w:cols w:space="720"/>
          <w:formProt w:val="0"/>
          <w:titlePg/>
        </w:sectPr>
      </w:pPr>
    </w:p>
    <w:p w14:paraId="735A7CC0" w14:textId="27825098" w:rsidR="00126A39" w:rsidRPr="00126A39" w:rsidRDefault="00126A39" w:rsidP="00126A39">
      <w:pPr>
        <w:pStyle w:val="Titre1"/>
        <w:numPr>
          <w:ilvl w:val="0"/>
          <w:numId w:val="0"/>
        </w:numPr>
        <w:ind w:left="567" w:hanging="567"/>
        <w:jc w:val="both"/>
        <w:rPr>
          <w:lang w:val="fr-FR"/>
        </w:rPr>
      </w:pPr>
      <w:r>
        <w:rPr>
          <w:lang w:val="fr-FR"/>
        </w:rPr>
        <w:lastRenderedPageBreak/>
        <w:t>Compléments</w:t>
      </w:r>
      <w:r w:rsidRPr="00126A39">
        <w:rPr>
          <w:lang w:val="fr-FR"/>
        </w:rPr>
        <w:t xml:space="preserve"> sur les différentes notions utilisées</w:t>
      </w:r>
    </w:p>
    <w:p w14:paraId="446EBB01" w14:textId="10CFB8A0" w:rsidR="00C94D73" w:rsidRPr="00B92CC0" w:rsidRDefault="00C94D73" w:rsidP="00C94D73">
      <w:pPr>
        <w:pStyle w:val="Titre2"/>
        <w:numPr>
          <w:ilvl w:val="0"/>
          <w:numId w:val="0"/>
        </w:numPr>
        <w:ind w:left="567" w:hanging="567"/>
        <w:rPr>
          <w:lang w:val="fr-FR"/>
        </w:rPr>
      </w:pPr>
      <w:r w:rsidRPr="00B92CC0">
        <w:rPr>
          <w:lang w:val="fr-FR"/>
        </w:rPr>
        <w:t>Annexe II du règlement</w:t>
      </w:r>
    </w:p>
    <w:p w14:paraId="19864DE8" w14:textId="02B2D79C" w:rsidR="00126A39" w:rsidRDefault="00126A39" w:rsidP="00420C9C">
      <w:pPr>
        <w:jc w:val="both"/>
        <w:rPr>
          <w:lang w:eastAsia="en-US"/>
        </w:rPr>
      </w:pPr>
      <w:r>
        <w:rPr>
          <w:lang w:eastAsia="en-US"/>
        </w:rPr>
        <w:t>Plus d’informations sur les « opérations financières » et les « ajustements liés aux réévaluations » sont disponibles dans la cinquième partie de l’annexe II du règlement</w:t>
      </w:r>
      <w:r w:rsidR="00B92CC0">
        <w:rPr>
          <w:lang w:eastAsia="en-US"/>
        </w:rPr>
        <w:t xml:space="preserve"> </w:t>
      </w:r>
      <w:r w:rsidR="00B92CC0" w:rsidRPr="00686D9D">
        <w:rPr>
          <w:lang w:eastAsia="en-US"/>
        </w:rPr>
        <w:t>BCE/2018/2</w:t>
      </w:r>
      <w:r>
        <w:rPr>
          <w:lang w:eastAsia="en-US"/>
        </w:rPr>
        <w:t> </w:t>
      </w:r>
      <w:r w:rsidR="000C2B3F">
        <w:rPr>
          <w:lang w:eastAsia="en-US"/>
        </w:rPr>
        <w:t xml:space="preserve">susmentionné </w:t>
      </w:r>
      <w:r>
        <w:rPr>
          <w:lang w:eastAsia="en-US"/>
        </w:rPr>
        <w:t>:</w:t>
      </w:r>
    </w:p>
    <w:p w14:paraId="7503C63F" w14:textId="77777777" w:rsidR="00D15948" w:rsidRDefault="00D15948" w:rsidP="00D15948">
      <w:pPr>
        <w:rPr>
          <w:rFonts w:ascii="Calibri" w:hAnsi="Calibri" w:cs="Calibri"/>
          <w:color w:val="1F497D"/>
          <w:sz w:val="22"/>
          <w:szCs w:val="22"/>
          <w:lang w:eastAsia="en-US"/>
        </w:rPr>
      </w:pPr>
      <w:r>
        <w:rPr>
          <w:noProof/>
        </w:rPr>
        <w:drawing>
          <wp:inline distT="0" distB="0" distL="0" distR="0" wp14:anchorId="7EFD134A" wp14:editId="4DD9F518">
            <wp:extent cx="6400800" cy="3220995"/>
            <wp:effectExtent l="0" t="0" r="0" b="0"/>
            <wp:docPr id="1" name="Image 1" descr="cid:image004.png@01D58982.87DB2EE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descr="cid:image004.png@01D58982.87DB2EE0"/>
                    <pic:cNvPicPr>
                      <a:picLocks noChangeAspect="1" noChangeArrowheads="1"/>
                    </pic:cNvPicPr>
                  </pic:nvPicPr>
                  <pic:blipFill>
                    <a:blip r:embed="rId12" r:link="rId13">
                      <a:extLst>
                        <a:ext uri="{28A0092B-C50C-407E-A947-70E740481C1C}">
                          <a14:useLocalDpi xmlns:a14="http://schemas.microsoft.com/office/drawing/2010/main" val="0"/>
                        </a:ext>
                      </a:extLst>
                    </a:blip>
                    <a:srcRect/>
                    <a:stretch>
                      <a:fillRect/>
                    </a:stretch>
                  </pic:blipFill>
                  <pic:spPr bwMode="auto">
                    <a:xfrm>
                      <a:off x="0" y="0"/>
                      <a:ext cx="6421512" cy="3231418"/>
                    </a:xfrm>
                    <a:prstGeom prst="rect">
                      <a:avLst/>
                    </a:prstGeom>
                    <a:noFill/>
                    <a:ln>
                      <a:noFill/>
                    </a:ln>
                  </pic:spPr>
                </pic:pic>
              </a:graphicData>
            </a:graphic>
          </wp:inline>
        </w:drawing>
      </w:r>
    </w:p>
    <w:p w14:paraId="34037AEE" w14:textId="4EDF24FE" w:rsidR="00B7714A" w:rsidRPr="001F10AE" w:rsidRDefault="00B7714A" w:rsidP="001F10AE">
      <w:pPr>
        <w:pStyle w:val="Titre2"/>
        <w:numPr>
          <w:ilvl w:val="0"/>
          <w:numId w:val="0"/>
        </w:numPr>
        <w:ind w:left="567" w:hanging="567"/>
        <w:rPr>
          <w:lang w:val="fr-FR"/>
        </w:rPr>
      </w:pPr>
      <w:r w:rsidRPr="001F10AE">
        <w:rPr>
          <w:lang w:val="fr-FR"/>
        </w:rPr>
        <w:t>Calcul des transactions financières</w:t>
      </w:r>
    </w:p>
    <w:p w14:paraId="08C0E803" w14:textId="432CDEAC" w:rsidR="00B7714A" w:rsidRDefault="00B7714A" w:rsidP="00633C5E">
      <w:pPr>
        <w:jc w:val="both"/>
      </w:pPr>
      <w:r>
        <w:t xml:space="preserve">Selon le SEC 2010 (en anglais « ESA 2010 »), une opération </w:t>
      </w:r>
      <w:r w:rsidR="00C24EB6">
        <w:t xml:space="preserve">(ou transaction) </w:t>
      </w:r>
      <w:r>
        <w:t>est « un flux écono</w:t>
      </w:r>
      <w:r>
        <w:softHyphen/>
        <w:t>mique entre unités institutionnelles agissant de commun accord »</w:t>
      </w:r>
      <w:r w:rsidR="004F66C1">
        <w:t>.</w:t>
      </w:r>
      <w:r w:rsidR="001F10AE">
        <w:t xml:space="preserve"> Les opérations (par opposition aux « autres changements ») mesurent l’activité économique. Il est pertinent de distinguer entre les </w:t>
      </w:r>
      <w:r w:rsidR="00C24EB6">
        <w:t>opérations</w:t>
      </w:r>
      <w:r w:rsidR="001F10AE">
        <w:t xml:space="preserve">, et les autres facteurs affectant les encours et leur changement au cours de la période de référence. Ces autres facteurs incluent les valorisations </w:t>
      </w:r>
      <w:r w:rsidR="00EF78F5">
        <w:t>venant de changements dans l</w:t>
      </w:r>
      <w:r w:rsidR="00943F14">
        <w:t>es prix/les taux d’intérêt ou dans les taux de change, reclassements, abandons/réductions de créances.</w:t>
      </w:r>
    </w:p>
    <w:p w14:paraId="30C4C685" w14:textId="256439FF" w:rsidR="00943F14" w:rsidRDefault="00943F14" w:rsidP="00633C5E">
      <w:pPr>
        <w:jc w:val="both"/>
      </w:pPr>
      <w:r>
        <w:t xml:space="preserve">Pour les Fonds de Pension, les transactions financières peuvent être calculées comme la différence entre les encours aux dates de déclarations de fins de périodes, dont il est retiré l’effet des changements </w:t>
      </w:r>
      <w:r w:rsidR="00491B0E">
        <w:t xml:space="preserve">qui surviennent dues à des </w:t>
      </w:r>
      <w:r>
        <w:t>influences</w:t>
      </w:r>
      <w:r w:rsidR="008B62AD">
        <w:t xml:space="preserve"> autres que des transactions. La formule montre comment les transactions financières peuvent être dérivées :</w:t>
      </w:r>
    </w:p>
    <w:p w14:paraId="709AB374" w14:textId="77777777" w:rsidR="00BD77A6" w:rsidRPr="009218EB" w:rsidRDefault="007956FB" w:rsidP="00BD77A6">
      <w:pPr>
        <w:pStyle w:val="ECBBodyText"/>
        <w:spacing w:before="360"/>
        <w:jc w:val="both"/>
        <w:rPr>
          <w:rFonts w:cs="Arial"/>
          <w:szCs w:val="20"/>
          <w:lang w:val="fr-FR"/>
        </w:rPr>
      </w:pPr>
      <m:oMath>
        <m:sSub>
          <m:sSubPr>
            <m:ctrlPr>
              <w:rPr>
                <w:rFonts w:ascii="Cambria Math" w:hAnsi="Cambria Math" w:cs="Arial"/>
                <w:i/>
                <w:szCs w:val="20"/>
              </w:rPr>
            </m:ctrlPr>
          </m:sSubPr>
          <m:e>
            <m:r>
              <w:rPr>
                <w:rFonts w:ascii="Cambria Math" w:hAnsi="Cambria Math" w:cs="Arial"/>
                <w:szCs w:val="20"/>
              </w:rPr>
              <m:t>F</m:t>
            </m:r>
          </m:e>
          <m:sub>
            <m:r>
              <w:rPr>
                <w:rFonts w:ascii="Cambria Math" w:hAnsi="Cambria Math" w:cs="Arial"/>
                <w:szCs w:val="20"/>
              </w:rPr>
              <m:t>t</m:t>
            </m:r>
          </m:sub>
        </m:sSub>
        <m:r>
          <w:rPr>
            <w:rFonts w:ascii="Cambria Math" w:hAnsi="Cambria Math" w:cs="Arial"/>
            <w:szCs w:val="20"/>
            <w:lang w:val="fr-FR"/>
          </w:rPr>
          <m:t>=</m:t>
        </m:r>
        <m:d>
          <m:dPr>
            <m:ctrlPr>
              <w:rPr>
                <w:rFonts w:ascii="Cambria Math" w:hAnsi="Cambria Math" w:cs="Arial"/>
                <w:i/>
                <w:szCs w:val="20"/>
              </w:rPr>
            </m:ctrlPr>
          </m:dPr>
          <m:e>
            <m:sSub>
              <m:sSubPr>
                <m:ctrlPr>
                  <w:rPr>
                    <w:rFonts w:ascii="Cambria Math" w:hAnsi="Cambria Math" w:cs="Arial"/>
                    <w:i/>
                    <w:szCs w:val="20"/>
                  </w:rPr>
                </m:ctrlPr>
              </m:sSubPr>
              <m:e>
                <m:r>
                  <w:rPr>
                    <w:rFonts w:ascii="Cambria Math" w:hAnsi="Cambria Math" w:cs="Arial"/>
                    <w:szCs w:val="20"/>
                  </w:rPr>
                  <m:t>L</m:t>
                </m:r>
              </m:e>
              <m:sub>
                <m:r>
                  <w:rPr>
                    <w:rFonts w:ascii="Cambria Math" w:hAnsi="Cambria Math" w:cs="Arial"/>
                    <w:szCs w:val="20"/>
                  </w:rPr>
                  <m:t>t</m:t>
                </m:r>
              </m:sub>
            </m:sSub>
            <m:r>
              <w:rPr>
                <w:rFonts w:ascii="Cambria Math" w:hAnsi="Cambria Math" w:cs="Arial"/>
                <w:szCs w:val="20"/>
                <w:lang w:val="fr-FR"/>
              </w:rPr>
              <m:t>-</m:t>
            </m:r>
            <m:sSub>
              <m:sSubPr>
                <m:ctrlPr>
                  <w:rPr>
                    <w:rFonts w:ascii="Cambria Math" w:hAnsi="Cambria Math" w:cs="Arial"/>
                    <w:i/>
                    <w:szCs w:val="20"/>
                  </w:rPr>
                </m:ctrlPr>
              </m:sSubPr>
              <m:e>
                <m:r>
                  <w:rPr>
                    <w:rFonts w:ascii="Cambria Math" w:hAnsi="Cambria Math" w:cs="Arial"/>
                    <w:szCs w:val="20"/>
                  </w:rPr>
                  <m:t>L</m:t>
                </m:r>
              </m:e>
              <m:sub>
                <m:r>
                  <w:rPr>
                    <w:rFonts w:ascii="Cambria Math" w:hAnsi="Cambria Math" w:cs="Arial"/>
                    <w:szCs w:val="20"/>
                  </w:rPr>
                  <m:t>t</m:t>
                </m:r>
                <m:r>
                  <w:rPr>
                    <w:rFonts w:ascii="Cambria Math" w:hAnsi="Cambria Math" w:cs="Arial"/>
                    <w:szCs w:val="20"/>
                    <w:lang w:val="fr-FR"/>
                  </w:rPr>
                  <m:t>-1</m:t>
                </m:r>
              </m:sub>
            </m:sSub>
          </m:e>
        </m:d>
        <m:r>
          <w:rPr>
            <w:rFonts w:ascii="Cambria Math" w:hAnsi="Cambria Math" w:cs="Arial"/>
            <w:szCs w:val="20"/>
            <w:lang w:val="fr-FR"/>
          </w:rPr>
          <m:t>-</m:t>
        </m:r>
        <m:sSub>
          <m:sSubPr>
            <m:ctrlPr>
              <w:rPr>
                <w:rFonts w:ascii="Cambria Math" w:hAnsi="Cambria Math" w:cs="Arial"/>
                <w:i/>
                <w:szCs w:val="20"/>
              </w:rPr>
            </m:ctrlPr>
          </m:sSubPr>
          <m:e>
            <m:r>
              <w:rPr>
                <w:rFonts w:ascii="Cambria Math" w:hAnsi="Cambria Math" w:cs="Arial"/>
                <w:szCs w:val="20"/>
              </w:rPr>
              <m:t>R</m:t>
            </m:r>
          </m:e>
          <m:sub>
            <m:r>
              <w:rPr>
                <w:rFonts w:ascii="Cambria Math" w:hAnsi="Cambria Math" w:cs="Arial"/>
                <w:szCs w:val="20"/>
              </w:rPr>
              <m:t>t</m:t>
            </m:r>
          </m:sub>
        </m:sSub>
        <m:r>
          <w:rPr>
            <w:rFonts w:ascii="Cambria Math" w:hAnsi="Cambria Math" w:cs="Arial"/>
            <w:szCs w:val="20"/>
            <w:lang w:val="fr-FR"/>
          </w:rPr>
          <m:t>-</m:t>
        </m:r>
        <m:sSub>
          <m:sSubPr>
            <m:ctrlPr>
              <w:rPr>
                <w:rFonts w:ascii="Cambria Math" w:hAnsi="Cambria Math" w:cs="Arial"/>
                <w:i/>
                <w:szCs w:val="20"/>
              </w:rPr>
            </m:ctrlPr>
          </m:sSubPr>
          <m:e>
            <m:r>
              <w:rPr>
                <w:rFonts w:ascii="Cambria Math" w:hAnsi="Cambria Math" w:cs="Arial"/>
                <w:szCs w:val="20"/>
              </w:rPr>
              <m:t>V</m:t>
            </m:r>
          </m:e>
          <m:sub>
            <m:r>
              <w:rPr>
                <w:rFonts w:ascii="Cambria Math" w:hAnsi="Cambria Math" w:cs="Arial"/>
                <w:szCs w:val="20"/>
              </w:rPr>
              <m:t>t</m:t>
            </m:r>
          </m:sub>
        </m:sSub>
        <m:r>
          <w:rPr>
            <w:rFonts w:ascii="Cambria Math" w:hAnsi="Cambria Math" w:cs="Arial"/>
            <w:szCs w:val="20"/>
            <w:lang w:val="fr-FR"/>
          </w:rPr>
          <m:t>-</m:t>
        </m:r>
        <m:sSub>
          <m:sSubPr>
            <m:ctrlPr>
              <w:rPr>
                <w:rFonts w:ascii="Cambria Math" w:hAnsi="Cambria Math" w:cs="Arial"/>
                <w:i/>
                <w:szCs w:val="20"/>
              </w:rPr>
            </m:ctrlPr>
          </m:sSubPr>
          <m:e>
            <m:r>
              <w:rPr>
                <w:rFonts w:ascii="Cambria Math" w:hAnsi="Cambria Math" w:cs="Arial"/>
                <w:szCs w:val="20"/>
              </w:rPr>
              <m:t>E</m:t>
            </m:r>
          </m:e>
          <m:sub>
            <m:r>
              <w:rPr>
                <w:rFonts w:ascii="Cambria Math" w:hAnsi="Cambria Math" w:cs="Arial"/>
                <w:szCs w:val="20"/>
              </w:rPr>
              <m:t>t</m:t>
            </m:r>
          </m:sub>
        </m:sSub>
      </m:oMath>
      <w:r w:rsidR="00BD77A6" w:rsidRPr="009218EB">
        <w:rPr>
          <w:rFonts w:cs="Arial"/>
          <w:szCs w:val="20"/>
          <w:lang w:val="fr-FR"/>
        </w:rPr>
        <w:t xml:space="preserve">  </w:t>
      </w:r>
    </w:p>
    <w:p w14:paraId="79E35063" w14:textId="77777777" w:rsidR="00BD77A6" w:rsidRPr="009218EB" w:rsidRDefault="00BD77A6" w:rsidP="00BD77A6">
      <w:pPr>
        <w:pStyle w:val="ECBBodyText"/>
        <w:spacing w:before="0" w:after="0"/>
        <w:jc w:val="both"/>
        <w:rPr>
          <w:rFonts w:cs="Arial"/>
          <w:sz w:val="18"/>
          <w:szCs w:val="18"/>
          <w:lang w:val="fr-FR"/>
        </w:rPr>
      </w:pPr>
    </w:p>
    <w:p w14:paraId="208FF1DC" w14:textId="7EE368B4" w:rsidR="00BD77A6" w:rsidRPr="00416A59" w:rsidRDefault="00BD77A6" w:rsidP="00BD77A6">
      <w:pPr>
        <w:pStyle w:val="ECBBodyText"/>
        <w:spacing w:before="0" w:after="0"/>
        <w:jc w:val="both"/>
        <w:rPr>
          <w:rFonts w:cs="Arial"/>
          <w:sz w:val="18"/>
          <w:szCs w:val="18"/>
          <w:lang w:val="fr-FR"/>
        </w:rPr>
      </w:pPr>
      <w:proofErr w:type="spellStart"/>
      <w:r w:rsidRPr="00416A59">
        <w:rPr>
          <w:rFonts w:cs="Arial"/>
          <w:sz w:val="18"/>
          <w:szCs w:val="18"/>
          <w:lang w:val="fr-FR"/>
        </w:rPr>
        <w:t>F</w:t>
      </w:r>
      <w:r w:rsidRPr="00416A59">
        <w:rPr>
          <w:rFonts w:cs="Arial"/>
          <w:sz w:val="18"/>
          <w:szCs w:val="18"/>
          <w:vertAlign w:val="subscript"/>
          <w:lang w:val="fr-FR"/>
        </w:rPr>
        <w:t>t</w:t>
      </w:r>
      <w:proofErr w:type="spellEnd"/>
      <w:r w:rsidR="00416A59" w:rsidRPr="00416A59">
        <w:rPr>
          <w:rFonts w:cs="Arial"/>
          <w:sz w:val="18"/>
          <w:szCs w:val="18"/>
          <w:lang w:val="fr-FR"/>
        </w:rPr>
        <w:t xml:space="preserve"> = Flux</w:t>
      </w:r>
      <w:r w:rsidRPr="00416A59">
        <w:rPr>
          <w:rFonts w:cs="Arial"/>
          <w:sz w:val="18"/>
          <w:szCs w:val="18"/>
          <w:lang w:val="fr-FR"/>
        </w:rPr>
        <w:t xml:space="preserve"> (</w:t>
      </w:r>
      <w:r w:rsidR="009218EB">
        <w:rPr>
          <w:rFonts w:cs="Arial"/>
          <w:sz w:val="18"/>
          <w:szCs w:val="18"/>
          <w:lang w:val="fr-FR"/>
        </w:rPr>
        <w:t>aussi appelé « </w:t>
      </w:r>
      <w:r w:rsidR="00416A59" w:rsidRPr="00416A59">
        <w:rPr>
          <w:rFonts w:cs="Arial"/>
          <w:sz w:val="18"/>
          <w:szCs w:val="18"/>
          <w:lang w:val="fr-FR"/>
        </w:rPr>
        <w:t>transactions financières</w:t>
      </w:r>
      <w:r w:rsidR="009218EB">
        <w:rPr>
          <w:rFonts w:cs="Arial"/>
          <w:sz w:val="18"/>
          <w:szCs w:val="18"/>
          <w:lang w:val="fr-FR"/>
        </w:rPr>
        <w:t> »</w:t>
      </w:r>
      <w:r w:rsidRPr="00416A59">
        <w:rPr>
          <w:rFonts w:cs="Arial"/>
          <w:sz w:val="18"/>
          <w:szCs w:val="18"/>
          <w:lang w:val="fr-FR"/>
        </w:rPr>
        <w:t>)</w:t>
      </w:r>
    </w:p>
    <w:p w14:paraId="4D3E3D31" w14:textId="4040687A" w:rsidR="00BD77A6" w:rsidRPr="00416A59" w:rsidRDefault="00BD77A6" w:rsidP="00BD77A6">
      <w:pPr>
        <w:pStyle w:val="ECBBodyText"/>
        <w:spacing w:before="0" w:after="0"/>
        <w:jc w:val="both"/>
        <w:rPr>
          <w:rFonts w:cs="Arial"/>
          <w:sz w:val="18"/>
          <w:szCs w:val="18"/>
          <w:lang w:val="fr-FR"/>
        </w:rPr>
      </w:pPr>
      <w:proofErr w:type="spellStart"/>
      <w:r w:rsidRPr="00416A59">
        <w:rPr>
          <w:rFonts w:cs="Arial"/>
          <w:sz w:val="18"/>
          <w:szCs w:val="18"/>
          <w:lang w:val="fr-FR"/>
        </w:rPr>
        <w:t>L</w:t>
      </w:r>
      <w:r w:rsidRPr="00416A59">
        <w:rPr>
          <w:rFonts w:cs="Arial"/>
          <w:sz w:val="18"/>
          <w:szCs w:val="18"/>
          <w:vertAlign w:val="subscript"/>
          <w:lang w:val="fr-FR"/>
        </w:rPr>
        <w:t>t</w:t>
      </w:r>
      <w:proofErr w:type="spellEnd"/>
      <w:r w:rsidRPr="00416A59">
        <w:rPr>
          <w:rFonts w:cs="Arial"/>
          <w:sz w:val="18"/>
          <w:szCs w:val="18"/>
          <w:lang w:val="fr-FR"/>
        </w:rPr>
        <w:t xml:space="preserve"> = </w:t>
      </w:r>
      <w:r w:rsidR="00416A59" w:rsidRPr="00416A59">
        <w:rPr>
          <w:rFonts w:cs="Arial"/>
          <w:sz w:val="18"/>
          <w:szCs w:val="18"/>
          <w:lang w:val="fr-FR"/>
        </w:rPr>
        <w:t>Encours à la fin de la période</w:t>
      </w:r>
    </w:p>
    <w:p w14:paraId="67BE6A73" w14:textId="1AF956AB" w:rsidR="00BD77A6" w:rsidRPr="00416A59" w:rsidRDefault="00BD77A6" w:rsidP="00BD77A6">
      <w:pPr>
        <w:pStyle w:val="ECBBodyText"/>
        <w:spacing w:before="0" w:after="0"/>
        <w:jc w:val="both"/>
        <w:rPr>
          <w:rFonts w:cs="Arial"/>
          <w:sz w:val="18"/>
          <w:szCs w:val="18"/>
          <w:lang w:val="fr-FR"/>
        </w:rPr>
      </w:pPr>
      <w:r w:rsidRPr="00416A59">
        <w:rPr>
          <w:rFonts w:cs="Arial"/>
          <w:sz w:val="18"/>
          <w:szCs w:val="18"/>
          <w:lang w:val="fr-FR"/>
        </w:rPr>
        <w:t>L</w:t>
      </w:r>
      <w:r w:rsidRPr="00416A59">
        <w:rPr>
          <w:rFonts w:cs="Arial"/>
          <w:sz w:val="18"/>
          <w:szCs w:val="18"/>
          <w:vertAlign w:val="subscript"/>
          <w:lang w:val="fr-FR"/>
        </w:rPr>
        <w:t>t-1</w:t>
      </w:r>
      <w:r w:rsidRPr="00416A59">
        <w:rPr>
          <w:rFonts w:cs="Arial"/>
          <w:sz w:val="18"/>
          <w:szCs w:val="18"/>
          <w:lang w:val="fr-FR"/>
        </w:rPr>
        <w:t xml:space="preserve"> = </w:t>
      </w:r>
      <w:r w:rsidR="00416A59" w:rsidRPr="00416A59">
        <w:rPr>
          <w:rFonts w:cs="Arial"/>
          <w:sz w:val="18"/>
          <w:szCs w:val="18"/>
          <w:lang w:val="fr-FR"/>
        </w:rPr>
        <w:t>Encours à la fin de la période précédente</w:t>
      </w:r>
    </w:p>
    <w:p w14:paraId="0F069BF7" w14:textId="7B4B9D53" w:rsidR="00BD77A6" w:rsidRPr="00C63D24" w:rsidRDefault="00BD77A6" w:rsidP="00BD77A6">
      <w:pPr>
        <w:pStyle w:val="ECBBodyText"/>
        <w:spacing w:before="0" w:after="0"/>
        <w:jc w:val="both"/>
        <w:rPr>
          <w:rFonts w:cs="Arial"/>
          <w:sz w:val="18"/>
          <w:szCs w:val="18"/>
          <w:lang w:val="fr-FR"/>
        </w:rPr>
      </w:pPr>
      <w:proofErr w:type="spellStart"/>
      <w:r w:rsidRPr="00C63D24">
        <w:rPr>
          <w:rFonts w:cs="Arial"/>
          <w:sz w:val="18"/>
          <w:szCs w:val="18"/>
          <w:lang w:val="fr-FR"/>
        </w:rPr>
        <w:t>R</w:t>
      </w:r>
      <w:r w:rsidRPr="00C63D24">
        <w:rPr>
          <w:rFonts w:cs="Arial"/>
          <w:sz w:val="18"/>
          <w:szCs w:val="18"/>
          <w:vertAlign w:val="subscript"/>
          <w:lang w:val="fr-FR"/>
        </w:rPr>
        <w:t>t</w:t>
      </w:r>
      <w:proofErr w:type="spellEnd"/>
      <w:r w:rsidRPr="00C63D24">
        <w:rPr>
          <w:rFonts w:cs="Arial"/>
          <w:sz w:val="18"/>
          <w:szCs w:val="18"/>
          <w:lang w:val="fr-FR"/>
        </w:rPr>
        <w:t xml:space="preserve"> = </w:t>
      </w:r>
      <w:r w:rsidR="00C63D24" w:rsidRPr="00C63D24">
        <w:rPr>
          <w:rFonts w:cs="Arial"/>
          <w:sz w:val="18"/>
          <w:szCs w:val="18"/>
          <w:lang w:val="fr-FR"/>
        </w:rPr>
        <w:t>Autre changement de volume</w:t>
      </w:r>
      <w:r w:rsidR="00AD0D8D">
        <w:rPr>
          <w:rFonts w:cs="Arial"/>
          <w:sz w:val="18"/>
          <w:szCs w:val="18"/>
          <w:lang w:val="fr-FR"/>
        </w:rPr>
        <w:t xml:space="preserve"> (</w:t>
      </w:r>
      <w:r w:rsidR="009218EB">
        <w:rPr>
          <w:rFonts w:cs="Arial"/>
          <w:sz w:val="18"/>
          <w:szCs w:val="18"/>
          <w:lang w:val="fr-FR"/>
        </w:rPr>
        <w:t>aussi appelé « </w:t>
      </w:r>
      <w:r w:rsidR="00AD0D8D">
        <w:rPr>
          <w:rFonts w:cs="Arial"/>
          <w:sz w:val="18"/>
          <w:szCs w:val="18"/>
          <w:lang w:val="fr-FR"/>
        </w:rPr>
        <w:t>reclassement</w:t>
      </w:r>
      <w:r w:rsidR="009218EB">
        <w:rPr>
          <w:rFonts w:cs="Arial"/>
          <w:sz w:val="18"/>
          <w:szCs w:val="18"/>
          <w:lang w:val="fr-FR"/>
        </w:rPr>
        <w:t> »</w:t>
      </w:r>
      <w:r w:rsidR="00AD0D8D">
        <w:rPr>
          <w:rFonts w:cs="Arial"/>
          <w:sz w:val="18"/>
          <w:szCs w:val="18"/>
          <w:lang w:val="fr-FR"/>
        </w:rPr>
        <w:t>)</w:t>
      </w:r>
    </w:p>
    <w:p w14:paraId="0B9A1293" w14:textId="72549C4E" w:rsidR="00BD77A6" w:rsidRPr="009218EB" w:rsidRDefault="00BD77A6" w:rsidP="00BD77A6">
      <w:pPr>
        <w:pStyle w:val="ECBBodyText"/>
        <w:spacing w:before="0" w:after="0"/>
        <w:jc w:val="both"/>
        <w:rPr>
          <w:rFonts w:cs="Arial"/>
          <w:sz w:val="18"/>
          <w:szCs w:val="18"/>
          <w:lang w:val="fr-FR"/>
        </w:rPr>
      </w:pPr>
      <w:proofErr w:type="spellStart"/>
      <w:r w:rsidRPr="009218EB">
        <w:rPr>
          <w:rFonts w:cs="Arial"/>
          <w:sz w:val="18"/>
          <w:szCs w:val="18"/>
          <w:lang w:val="fr-FR"/>
        </w:rPr>
        <w:lastRenderedPageBreak/>
        <w:t>V</w:t>
      </w:r>
      <w:r w:rsidRPr="009218EB">
        <w:rPr>
          <w:rFonts w:cs="Arial"/>
          <w:sz w:val="18"/>
          <w:szCs w:val="18"/>
          <w:vertAlign w:val="subscript"/>
          <w:lang w:val="fr-FR"/>
        </w:rPr>
        <w:t>t</w:t>
      </w:r>
      <w:proofErr w:type="spellEnd"/>
      <w:r w:rsidRPr="009218EB">
        <w:rPr>
          <w:rFonts w:cs="Arial"/>
          <w:sz w:val="18"/>
          <w:szCs w:val="18"/>
          <w:lang w:val="fr-FR"/>
        </w:rPr>
        <w:t xml:space="preserve"> = </w:t>
      </w:r>
      <w:r w:rsidR="00C63D24" w:rsidRPr="009218EB">
        <w:rPr>
          <w:rFonts w:cs="Arial"/>
          <w:sz w:val="18"/>
          <w:szCs w:val="18"/>
          <w:lang w:val="fr-FR"/>
        </w:rPr>
        <w:t>Valorisation</w:t>
      </w:r>
    </w:p>
    <w:p w14:paraId="30C73B97" w14:textId="61AACE5A" w:rsidR="00BD77A6" w:rsidRPr="00C63D24" w:rsidRDefault="00BD77A6" w:rsidP="00BD77A6">
      <w:pPr>
        <w:pStyle w:val="ECBBodyText"/>
        <w:spacing w:before="0" w:after="0"/>
        <w:jc w:val="both"/>
        <w:rPr>
          <w:rFonts w:cs="Arial"/>
          <w:sz w:val="18"/>
          <w:szCs w:val="18"/>
          <w:lang w:val="fr-FR"/>
        </w:rPr>
      </w:pPr>
      <w:r w:rsidRPr="00C63D24">
        <w:rPr>
          <w:rFonts w:cs="Arial"/>
          <w:sz w:val="18"/>
          <w:szCs w:val="18"/>
          <w:lang w:val="fr-FR"/>
        </w:rPr>
        <w:t>E</w:t>
      </w:r>
      <w:r w:rsidRPr="00C63D24">
        <w:rPr>
          <w:rFonts w:cs="Arial"/>
          <w:sz w:val="18"/>
          <w:szCs w:val="18"/>
          <w:vertAlign w:val="subscript"/>
          <w:lang w:val="fr-FR"/>
        </w:rPr>
        <w:t>t</w:t>
      </w:r>
      <w:r w:rsidRPr="00C63D24">
        <w:rPr>
          <w:rFonts w:cs="Arial"/>
          <w:sz w:val="18"/>
          <w:szCs w:val="18"/>
          <w:lang w:val="fr-FR"/>
        </w:rPr>
        <w:t xml:space="preserve"> = </w:t>
      </w:r>
      <w:r w:rsidR="00C63D24" w:rsidRPr="00C63D24">
        <w:rPr>
          <w:rFonts w:cs="Arial"/>
          <w:sz w:val="18"/>
          <w:szCs w:val="18"/>
          <w:lang w:val="fr-FR"/>
        </w:rPr>
        <w:t>Effet de change</w:t>
      </w:r>
    </w:p>
    <w:p w14:paraId="6645CD72" w14:textId="23C5D882" w:rsidR="00BD77A6" w:rsidRDefault="00BD77A6" w:rsidP="00BD77A6">
      <w:pPr>
        <w:pStyle w:val="ECBBodyText"/>
        <w:spacing w:before="0" w:after="0"/>
        <w:jc w:val="both"/>
        <w:rPr>
          <w:rFonts w:cs="Arial"/>
          <w:szCs w:val="20"/>
          <w:lang w:val="fr-FR"/>
        </w:rPr>
      </w:pPr>
    </w:p>
    <w:p w14:paraId="1EE77418" w14:textId="658A1FD0" w:rsidR="00BD77A6" w:rsidRDefault="00633C5E" w:rsidP="00BD77A6">
      <w:pPr>
        <w:pStyle w:val="ECBBodyText"/>
        <w:spacing w:before="0" w:after="0"/>
        <w:jc w:val="both"/>
        <w:rPr>
          <w:rFonts w:cs="Arial"/>
          <w:szCs w:val="20"/>
          <w:lang w:val="fr-FR"/>
        </w:rPr>
      </w:pPr>
      <w:r w:rsidRPr="00633C5E">
        <w:rPr>
          <w:lang w:val="fr-FR"/>
        </w:rPr>
        <w:t>Dans ce context</w:t>
      </w:r>
      <w:r w:rsidRPr="00513704">
        <w:rPr>
          <w:lang w:val="fr-FR"/>
        </w:rPr>
        <w:t>e</w:t>
      </w:r>
      <w:r w:rsidRPr="00633C5E">
        <w:rPr>
          <w:lang w:val="fr-FR"/>
        </w:rPr>
        <w:t xml:space="preserve"> veuillez noter</w:t>
      </w:r>
      <w:r w:rsidR="00BD77A6" w:rsidRPr="00633C5E">
        <w:rPr>
          <w:lang w:val="fr-FR"/>
        </w:rPr>
        <w:t xml:space="preserve"> </w:t>
      </w:r>
      <w:r w:rsidRPr="00633C5E">
        <w:rPr>
          <w:lang w:val="fr-FR"/>
        </w:rPr>
        <w:t>que conform</w:t>
      </w:r>
      <w:r w:rsidR="00AD0D8D">
        <w:rPr>
          <w:lang w:val="fr-FR"/>
        </w:rPr>
        <w:t>ém</w:t>
      </w:r>
      <w:r w:rsidRPr="00633C5E">
        <w:rPr>
          <w:lang w:val="fr-FR"/>
        </w:rPr>
        <w:t>ent au SEC 2010</w:t>
      </w:r>
      <w:r w:rsidR="00BD77A6" w:rsidRPr="00633C5E">
        <w:rPr>
          <w:lang w:val="fr-FR"/>
        </w:rPr>
        <w:t>, para. 7.39 (d)</w:t>
      </w:r>
      <w:r w:rsidR="00BD77A6" w:rsidRPr="00633C5E">
        <w:rPr>
          <w:rFonts w:cs="Arial"/>
          <w:szCs w:val="20"/>
          <w:lang w:val="fr-FR"/>
        </w:rPr>
        <w:t xml:space="preserve"> “</w:t>
      </w:r>
      <w:r w:rsidRPr="00633C5E">
        <w:rPr>
          <w:rFonts w:cs="Arial"/>
          <w:i/>
          <w:szCs w:val="20"/>
          <w:lang w:val="fr-FR"/>
        </w:rPr>
        <w:t>valeur aux prix du marché</w:t>
      </w:r>
      <w:r w:rsidR="00BD77A6" w:rsidRPr="00633C5E">
        <w:rPr>
          <w:rFonts w:cs="Arial"/>
          <w:i/>
          <w:szCs w:val="20"/>
          <w:lang w:val="fr-FR"/>
        </w:rPr>
        <w:t xml:space="preserve"> = </w:t>
      </w:r>
      <w:r w:rsidRPr="00633C5E">
        <w:rPr>
          <w:rFonts w:cs="Arial"/>
          <w:i/>
          <w:szCs w:val="20"/>
          <w:lang w:val="fr-FR"/>
        </w:rPr>
        <w:t>valeur nominale</w:t>
      </w:r>
      <w:r w:rsidR="00BD77A6" w:rsidRPr="00633C5E">
        <w:rPr>
          <w:rFonts w:cs="Arial"/>
          <w:i/>
          <w:szCs w:val="20"/>
          <w:lang w:val="fr-FR"/>
        </w:rPr>
        <w:t xml:space="preserve"> + </w:t>
      </w:r>
      <w:r w:rsidRPr="00633C5E">
        <w:rPr>
          <w:rFonts w:cs="Arial"/>
          <w:i/>
          <w:szCs w:val="20"/>
          <w:lang w:val="fr-FR"/>
        </w:rPr>
        <w:t xml:space="preserve">réévaluations résultant des variations des prix du marché </w:t>
      </w:r>
      <w:r w:rsidR="00BD77A6" w:rsidRPr="00633C5E">
        <w:rPr>
          <w:rFonts w:cs="Arial"/>
          <w:szCs w:val="20"/>
          <w:lang w:val="fr-FR"/>
        </w:rPr>
        <w:t>”</w:t>
      </w:r>
    </w:p>
    <w:p w14:paraId="7EF35087" w14:textId="57654B05" w:rsidR="00941207" w:rsidRDefault="00941207" w:rsidP="00BD77A6">
      <w:pPr>
        <w:pStyle w:val="ECBBodyText"/>
        <w:spacing w:before="0" w:after="0"/>
        <w:jc w:val="both"/>
        <w:rPr>
          <w:rFonts w:cs="Arial"/>
          <w:szCs w:val="20"/>
          <w:lang w:val="fr-FR"/>
        </w:rPr>
      </w:pPr>
    </w:p>
    <w:p w14:paraId="63FBE1F2" w14:textId="2F2261C7" w:rsidR="00941207" w:rsidRPr="006B3405" w:rsidRDefault="00941207" w:rsidP="00244700">
      <w:pPr>
        <w:pStyle w:val="Titre2"/>
        <w:numPr>
          <w:ilvl w:val="0"/>
          <w:numId w:val="0"/>
        </w:numPr>
        <w:ind w:left="567" w:hanging="567"/>
        <w:rPr>
          <w:lang w:val="fr-FR"/>
        </w:rPr>
      </w:pPr>
      <w:r w:rsidRPr="006B3405">
        <w:rPr>
          <w:lang w:val="fr-FR"/>
        </w:rPr>
        <w:t>Autres changements de volume</w:t>
      </w:r>
      <w:r w:rsidR="00F80F87" w:rsidRPr="006B3405">
        <w:rPr>
          <w:lang w:val="fr-FR"/>
        </w:rPr>
        <w:t xml:space="preserve"> (aussi appelés reclassements)</w:t>
      </w:r>
    </w:p>
    <w:p w14:paraId="04342F44" w14:textId="3E61EBDD" w:rsidR="00941207" w:rsidRDefault="00941207" w:rsidP="0092773D">
      <w:pPr>
        <w:jc w:val="both"/>
        <w:rPr>
          <w:rFonts w:cs="Arial"/>
          <w:szCs w:val="20"/>
        </w:rPr>
      </w:pPr>
      <w:r w:rsidRPr="00941207">
        <w:rPr>
          <w:rFonts w:cs="Arial"/>
          <w:szCs w:val="20"/>
        </w:rPr>
        <w:t xml:space="preserve">Les « autres changements de volume » </w:t>
      </w:r>
      <w:r w:rsidR="00D84660">
        <w:rPr>
          <w:rFonts w:cs="Arial"/>
          <w:szCs w:val="20"/>
        </w:rPr>
        <w:t xml:space="preserve">reflètent toutes les variations d’encours qui ne sont pas imputables à des transactions ou effets valorisation : impact des réorganisations (par exemple : changement de secteur ou/et de pays suite à une fusion-acquisition du déclarant ou d’un actif qu’il possède), changements de nomenclatures et corrections d’erreurs déclaratives lorsqu’elles ne sont pas </w:t>
      </w:r>
      <w:r w:rsidR="00C34924">
        <w:rPr>
          <w:rFonts w:cs="Arial"/>
          <w:szCs w:val="20"/>
        </w:rPr>
        <w:t>corrigées</w:t>
      </w:r>
      <w:r w:rsidR="00D84660">
        <w:rPr>
          <w:rFonts w:cs="Arial"/>
          <w:szCs w:val="20"/>
        </w:rPr>
        <w:t xml:space="preserve"> dans le passé.</w:t>
      </w:r>
    </w:p>
    <w:p w14:paraId="46601DD2" w14:textId="6D0E8EA9" w:rsidR="00941207" w:rsidRPr="00941207" w:rsidRDefault="00D84660" w:rsidP="00244700">
      <w:pPr>
        <w:rPr>
          <w:rFonts w:cs="Arial"/>
          <w:szCs w:val="20"/>
        </w:rPr>
      </w:pPr>
      <w:r>
        <w:rPr>
          <w:rFonts w:cs="Arial"/>
          <w:szCs w:val="20"/>
        </w:rPr>
        <w:t xml:space="preserve">Des exemples de reclassements liés à des corrections d’erreur déclaratives sont indiqués </w:t>
      </w:r>
      <w:r w:rsidR="00AF26A4">
        <w:rPr>
          <w:rFonts w:cs="Arial"/>
          <w:szCs w:val="20"/>
        </w:rPr>
        <w:t>dans</w:t>
      </w:r>
      <w:r w:rsidR="003144E5">
        <w:rPr>
          <w:rFonts w:cs="Arial"/>
          <w:szCs w:val="20"/>
        </w:rPr>
        <w:t xml:space="preserve"> le</w:t>
      </w:r>
      <w:r w:rsidR="00941207">
        <w:rPr>
          <w:rFonts w:cs="Arial"/>
          <w:szCs w:val="20"/>
        </w:rPr>
        <w:t xml:space="preserve"> guide méthodologique </w:t>
      </w:r>
      <w:r w:rsidR="00941207" w:rsidRPr="003144E5">
        <w:rPr>
          <w:rFonts w:cs="Arial"/>
          <w:szCs w:val="20"/>
        </w:rPr>
        <w:t>EP.02.01.30</w:t>
      </w:r>
      <w:r w:rsidR="003144E5">
        <w:rPr>
          <w:rFonts w:cs="Arial"/>
          <w:szCs w:val="20"/>
        </w:rPr>
        <w:t>.</w:t>
      </w:r>
    </w:p>
    <w:p w14:paraId="24D6D7FE" w14:textId="77777777" w:rsidR="00BD77A6" w:rsidRPr="00762681" w:rsidRDefault="00BD77A6" w:rsidP="007A09CB">
      <w:pPr>
        <w:tabs>
          <w:tab w:val="left" w:pos="2257"/>
        </w:tabs>
        <w:spacing w:before="120" w:beforeAutospacing="0" w:after="60" w:afterAutospacing="0" w:line="360" w:lineRule="auto"/>
        <w:jc w:val="both"/>
      </w:pPr>
    </w:p>
    <w:sectPr w:rsidR="00BD77A6" w:rsidRPr="0076268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527203" w14:textId="77777777" w:rsidR="00BD77A6" w:rsidRDefault="00BD77A6" w:rsidP="00BD77A6">
      <w:pPr>
        <w:spacing w:before="0" w:after="0"/>
      </w:pPr>
      <w:r>
        <w:separator/>
      </w:r>
    </w:p>
  </w:endnote>
  <w:endnote w:type="continuationSeparator" w:id="0">
    <w:p w14:paraId="542EE0B6" w14:textId="77777777" w:rsidR="00BD77A6" w:rsidRDefault="00BD77A6" w:rsidP="00BD77A6">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ndnya">
    <w:altName w:val="Courier New"/>
    <w:panose1 w:val="00000400000000000000"/>
    <w:charset w:val="01"/>
    <w:family w:val="roman"/>
    <w:notTrueType/>
    <w:pitch w:val="variable"/>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EECA6A" w14:textId="27801079" w:rsidR="00490173" w:rsidRDefault="00490173">
    <w:pPr>
      <w:pStyle w:val="Pieddepage"/>
    </w:pPr>
  </w:p>
  <w:p w14:paraId="4671C49E" w14:textId="77777777" w:rsidR="00BD77A6" w:rsidRDefault="00BD77A6" w:rsidP="00E46E94">
    <w:pPr>
      <w:pStyle w:val="Pieddepage"/>
      <w:jc w:val="both"/>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C1C1818" w14:textId="77777777" w:rsidR="00BD77A6" w:rsidRDefault="00BD77A6" w:rsidP="00BD77A6">
      <w:pPr>
        <w:spacing w:before="0" w:after="0"/>
      </w:pPr>
      <w:r>
        <w:separator/>
      </w:r>
    </w:p>
  </w:footnote>
  <w:footnote w:type="continuationSeparator" w:id="0">
    <w:p w14:paraId="4A3B9132" w14:textId="77777777" w:rsidR="00BD77A6" w:rsidRDefault="00BD77A6" w:rsidP="00BD77A6">
      <w:pPr>
        <w:spacing w:before="0" w:after="0"/>
      </w:pPr>
      <w:r>
        <w:continuationSeparator/>
      </w:r>
    </w:p>
  </w:footnote>
  <w:footnote w:id="1">
    <w:p w14:paraId="074ADD88" w14:textId="77777777" w:rsidR="00F47256" w:rsidRPr="0085292E" w:rsidRDefault="00F47256" w:rsidP="00F47256">
      <w:pPr>
        <w:pStyle w:val="Notedebasdepage"/>
        <w:rPr>
          <w:lang w:val="fr-FR"/>
        </w:rPr>
      </w:pPr>
      <w:r>
        <w:rPr>
          <w:rStyle w:val="Appelnotedebasdep"/>
        </w:rPr>
        <w:footnoteRef/>
      </w:r>
      <w:r w:rsidRPr="0085292E">
        <w:rPr>
          <w:lang w:val="fr-FR"/>
        </w:rPr>
        <w:t xml:space="preserve"> </w:t>
      </w:r>
      <w:r>
        <w:rPr>
          <w:lang w:val="fr-FR"/>
        </w:rPr>
        <w:t>Les guides méthodologiques</w:t>
      </w:r>
      <w:r w:rsidRPr="0085292E">
        <w:rPr>
          <w:lang w:val="fr-FR"/>
        </w:rPr>
        <w:t xml:space="preserve"> sont disponibles à ce chemin : </w:t>
      </w:r>
      <w:hyperlink r:id="rId1" w:history="1">
        <w:r w:rsidRPr="00C26B09">
          <w:rPr>
            <w:rStyle w:val="Lienhypertexte"/>
            <w:lang w:val="fr-FR"/>
          </w:rPr>
          <w:t>https://esurfi-assurance.banque-france.fr/current/reporting/reporting-orps</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B1CBE1" w14:textId="617E2772" w:rsidR="00C65DB4" w:rsidRDefault="00C65DB4">
    <w:pPr>
      <w:pStyle w:val="En-tte"/>
    </w:pPr>
    <w:r w:rsidRPr="00186C94">
      <w:rPr>
        <w:noProof/>
        <w:color w:val="FFFFFF"/>
      </w:rPr>
      <w:drawing>
        <wp:inline distT="0" distB="0" distL="0" distR="0" wp14:anchorId="3FBC1B61" wp14:editId="2E731F59">
          <wp:extent cx="1110545" cy="990021"/>
          <wp:effectExtent l="0" t="0" r="0" b="635"/>
          <wp:docPr id="2"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 descr="logobleunote.eps"/>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119861" cy="998326"/>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471FDA"/>
    <w:multiLevelType w:val="hybridMultilevel"/>
    <w:tmpl w:val="C94A99C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5F9B10E5"/>
    <w:multiLevelType w:val="hybridMultilevel"/>
    <w:tmpl w:val="DD60393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6E7D7469"/>
    <w:multiLevelType w:val="multilevel"/>
    <w:tmpl w:val="15024088"/>
    <w:lvl w:ilvl="0">
      <w:start w:val="1"/>
      <w:numFmt w:val="decimal"/>
      <w:pStyle w:val="Titre1"/>
      <w:lvlText w:val="%1."/>
      <w:lvlJc w:val="left"/>
      <w:pPr>
        <w:tabs>
          <w:tab w:val="num" w:pos="567"/>
        </w:tabs>
        <w:ind w:left="567" w:hanging="567"/>
      </w:pPr>
    </w:lvl>
    <w:lvl w:ilvl="1">
      <w:start w:val="1"/>
      <w:numFmt w:val="decimal"/>
      <w:pStyle w:val="Titre2"/>
      <w:lvlText w:val="%1.%2"/>
      <w:lvlJc w:val="left"/>
      <w:pPr>
        <w:tabs>
          <w:tab w:val="num" w:pos="567"/>
        </w:tabs>
        <w:ind w:left="567" w:hanging="567"/>
      </w:pPr>
      <w:rPr>
        <w:lang w:val="fr-FR"/>
      </w:rPr>
    </w:lvl>
    <w:lvl w:ilvl="2">
      <w:start w:val="1"/>
      <w:numFmt w:val="decimal"/>
      <w:pStyle w:val="Titre3"/>
      <w:lvlText w:val="%1.%2.%3"/>
      <w:lvlJc w:val="left"/>
      <w:pPr>
        <w:tabs>
          <w:tab w:val="num" w:pos="851"/>
        </w:tabs>
        <w:ind w:left="851" w:hanging="567"/>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1"/>
  </w:num>
  <w:num w:numId="2">
    <w:abstractNumId w:val="2"/>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6"/>
  <w:proofState w:spelling="clean" w:grammar="clean"/>
  <w:trackRevisions/>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5A23"/>
    <w:rsid w:val="00043007"/>
    <w:rsid w:val="00053443"/>
    <w:rsid w:val="00062466"/>
    <w:rsid w:val="00076381"/>
    <w:rsid w:val="00077F6F"/>
    <w:rsid w:val="000C2B3F"/>
    <w:rsid w:val="00110EAC"/>
    <w:rsid w:val="00122960"/>
    <w:rsid w:val="00126A39"/>
    <w:rsid w:val="00141FAB"/>
    <w:rsid w:val="00166976"/>
    <w:rsid w:val="001803B6"/>
    <w:rsid w:val="001F10AE"/>
    <w:rsid w:val="002115FF"/>
    <w:rsid w:val="00244700"/>
    <w:rsid w:val="002D36CB"/>
    <w:rsid w:val="003144E5"/>
    <w:rsid w:val="00332EA4"/>
    <w:rsid w:val="0035254B"/>
    <w:rsid w:val="0039148E"/>
    <w:rsid w:val="003A0FE8"/>
    <w:rsid w:val="003B4B6F"/>
    <w:rsid w:val="003B74A5"/>
    <w:rsid w:val="003F5B07"/>
    <w:rsid w:val="0041195A"/>
    <w:rsid w:val="00413E64"/>
    <w:rsid w:val="00416A59"/>
    <w:rsid w:val="00420C9C"/>
    <w:rsid w:val="0043150F"/>
    <w:rsid w:val="00472CB1"/>
    <w:rsid w:val="00490173"/>
    <w:rsid w:val="00491B0E"/>
    <w:rsid w:val="00492BA5"/>
    <w:rsid w:val="004C2163"/>
    <w:rsid w:val="004E0143"/>
    <w:rsid w:val="004F148D"/>
    <w:rsid w:val="004F66C1"/>
    <w:rsid w:val="00500A47"/>
    <w:rsid w:val="00513704"/>
    <w:rsid w:val="006228F1"/>
    <w:rsid w:val="00633C5E"/>
    <w:rsid w:val="00640E84"/>
    <w:rsid w:val="00665772"/>
    <w:rsid w:val="00667876"/>
    <w:rsid w:val="00686D9D"/>
    <w:rsid w:val="006877D5"/>
    <w:rsid w:val="006B3405"/>
    <w:rsid w:val="006B5927"/>
    <w:rsid w:val="006E363E"/>
    <w:rsid w:val="00715BE0"/>
    <w:rsid w:val="00760982"/>
    <w:rsid w:val="00762681"/>
    <w:rsid w:val="0077664E"/>
    <w:rsid w:val="0077740F"/>
    <w:rsid w:val="007956FB"/>
    <w:rsid w:val="007A09CB"/>
    <w:rsid w:val="007E7368"/>
    <w:rsid w:val="00817C38"/>
    <w:rsid w:val="008244E1"/>
    <w:rsid w:val="00841992"/>
    <w:rsid w:val="0085292E"/>
    <w:rsid w:val="008B62AD"/>
    <w:rsid w:val="009218EB"/>
    <w:rsid w:val="0092773D"/>
    <w:rsid w:val="00932019"/>
    <w:rsid w:val="009372F7"/>
    <w:rsid w:val="00941207"/>
    <w:rsid w:val="00943F14"/>
    <w:rsid w:val="0094612E"/>
    <w:rsid w:val="00961FFB"/>
    <w:rsid w:val="009A434B"/>
    <w:rsid w:val="009C4ECC"/>
    <w:rsid w:val="009D63CB"/>
    <w:rsid w:val="00A41B76"/>
    <w:rsid w:val="00A42D85"/>
    <w:rsid w:val="00A802B6"/>
    <w:rsid w:val="00AB5A23"/>
    <w:rsid w:val="00AD048A"/>
    <w:rsid w:val="00AD0D8D"/>
    <w:rsid w:val="00AE7A5B"/>
    <w:rsid w:val="00AF26A4"/>
    <w:rsid w:val="00B06C29"/>
    <w:rsid w:val="00B46A33"/>
    <w:rsid w:val="00B643AF"/>
    <w:rsid w:val="00B7714A"/>
    <w:rsid w:val="00B92CC0"/>
    <w:rsid w:val="00BA302E"/>
    <w:rsid w:val="00BD77A6"/>
    <w:rsid w:val="00BD7D11"/>
    <w:rsid w:val="00BE5AD9"/>
    <w:rsid w:val="00BF600B"/>
    <w:rsid w:val="00BF6FE2"/>
    <w:rsid w:val="00C21497"/>
    <w:rsid w:val="00C21523"/>
    <w:rsid w:val="00C24EB6"/>
    <w:rsid w:val="00C34924"/>
    <w:rsid w:val="00C54D73"/>
    <w:rsid w:val="00C6047E"/>
    <w:rsid w:val="00C63D24"/>
    <w:rsid w:val="00C65DB4"/>
    <w:rsid w:val="00C7513C"/>
    <w:rsid w:val="00C94D73"/>
    <w:rsid w:val="00C9530A"/>
    <w:rsid w:val="00CE2D07"/>
    <w:rsid w:val="00D15948"/>
    <w:rsid w:val="00D42706"/>
    <w:rsid w:val="00D61F0D"/>
    <w:rsid w:val="00D84660"/>
    <w:rsid w:val="00D87CFD"/>
    <w:rsid w:val="00DD4F86"/>
    <w:rsid w:val="00DD793E"/>
    <w:rsid w:val="00DE5AC5"/>
    <w:rsid w:val="00DF6981"/>
    <w:rsid w:val="00DF6D7E"/>
    <w:rsid w:val="00E16171"/>
    <w:rsid w:val="00E34268"/>
    <w:rsid w:val="00E71CE2"/>
    <w:rsid w:val="00EE7DE7"/>
    <w:rsid w:val="00EF3C43"/>
    <w:rsid w:val="00EF78F5"/>
    <w:rsid w:val="00F36AB9"/>
    <w:rsid w:val="00F425BD"/>
    <w:rsid w:val="00F47256"/>
    <w:rsid w:val="00F55A67"/>
    <w:rsid w:val="00F80F87"/>
    <w:rsid w:val="00FA30AD"/>
    <w:rsid w:val="00FB4896"/>
    <w:rsid w:val="00FC0AFB"/>
    <w:rsid w:val="00FE2A3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19B520F0"/>
  <w15:chartTrackingRefBased/>
  <w15:docId w15:val="{8A95E5D4-B2E5-4C9F-9E90-20CD21849F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15948"/>
    <w:pPr>
      <w:spacing w:before="100" w:beforeAutospacing="1" w:after="100" w:afterAutospacing="1" w:line="240" w:lineRule="auto"/>
    </w:pPr>
    <w:rPr>
      <w:rFonts w:ascii="Times New Roman" w:hAnsi="Times New Roman" w:cs="Times New Roman"/>
      <w:sz w:val="24"/>
      <w:szCs w:val="24"/>
      <w:lang w:eastAsia="fr-FR"/>
    </w:rPr>
  </w:style>
  <w:style w:type="paragraph" w:styleId="Titre1">
    <w:name w:val="heading 1"/>
    <w:basedOn w:val="Normal"/>
    <w:next w:val="Normal"/>
    <w:link w:val="Titre1Car"/>
    <w:rsid w:val="00BD77A6"/>
    <w:pPr>
      <w:keepNext/>
      <w:numPr>
        <w:numId w:val="2"/>
      </w:numPr>
      <w:spacing w:before="340" w:beforeAutospacing="0" w:after="120" w:afterAutospacing="0" w:line="340" w:lineRule="atLeast"/>
      <w:outlineLvl w:val="0"/>
    </w:pPr>
    <w:rPr>
      <w:rFonts w:ascii="Arial" w:eastAsia="Times New Roman" w:hAnsi="Arial" w:cs="Sendnya"/>
      <w:b/>
      <w:bCs/>
      <w:kern w:val="28"/>
      <w:szCs w:val="28"/>
      <w:lang w:val="en-GB" w:eastAsia="en-GB"/>
    </w:rPr>
  </w:style>
  <w:style w:type="paragraph" w:styleId="Titre2">
    <w:name w:val="heading 2"/>
    <w:basedOn w:val="Normal"/>
    <w:next w:val="Normal"/>
    <w:link w:val="Titre2Car"/>
    <w:rsid w:val="00BD77A6"/>
    <w:pPr>
      <w:keepNext/>
      <w:numPr>
        <w:ilvl w:val="1"/>
        <w:numId w:val="2"/>
      </w:numPr>
      <w:spacing w:before="220" w:beforeAutospacing="0" w:after="60" w:afterAutospacing="0" w:line="340" w:lineRule="atLeast"/>
      <w:outlineLvl w:val="1"/>
    </w:pPr>
    <w:rPr>
      <w:rFonts w:ascii="Arial" w:eastAsia="Times New Roman" w:hAnsi="Arial" w:cs="Sendnya"/>
      <w:b/>
      <w:bCs/>
      <w:sz w:val="20"/>
      <w:szCs w:val="26"/>
      <w:lang w:val="en-GB" w:eastAsia="en-GB"/>
    </w:rPr>
  </w:style>
  <w:style w:type="paragraph" w:styleId="Titre3">
    <w:name w:val="heading 3"/>
    <w:basedOn w:val="Normal"/>
    <w:next w:val="Normal"/>
    <w:link w:val="Titre3Car"/>
    <w:rsid w:val="00BD77A6"/>
    <w:pPr>
      <w:keepNext/>
      <w:numPr>
        <w:ilvl w:val="2"/>
        <w:numId w:val="2"/>
      </w:numPr>
      <w:spacing w:before="160" w:beforeAutospacing="0" w:after="60" w:afterAutospacing="0" w:line="340" w:lineRule="atLeast"/>
      <w:outlineLvl w:val="2"/>
    </w:pPr>
    <w:rPr>
      <w:rFonts w:ascii="Arial" w:eastAsia="Times New Roman" w:hAnsi="Arial" w:cs="Sendnya"/>
      <w:b/>
      <w:bCs/>
      <w:sz w:val="20"/>
      <w:lang w:val="en-GB" w:eastAsia="en-GB"/>
    </w:rPr>
  </w:style>
  <w:style w:type="paragraph" w:styleId="Titre4">
    <w:name w:val="heading 4"/>
    <w:basedOn w:val="Normal"/>
    <w:next w:val="Normal"/>
    <w:link w:val="Titre4Car"/>
    <w:uiPriority w:val="9"/>
    <w:unhideWhenUsed/>
    <w:qFormat/>
    <w:rsid w:val="00126A39"/>
    <w:pPr>
      <w:keepNext/>
      <w:keepLines/>
      <w:spacing w:before="40" w:after="0"/>
      <w:outlineLvl w:val="3"/>
    </w:pPr>
    <w:rPr>
      <w:rFonts w:asciiTheme="majorHAnsi" w:eastAsiaTheme="majorEastAsia" w:hAnsiTheme="majorHAnsi" w:cstheme="majorBidi"/>
      <w:i/>
      <w:iCs/>
      <w:color w:val="365F91" w:themeColor="accent1" w:themeShade="BF"/>
    </w:rPr>
  </w:style>
  <w:style w:type="paragraph" w:styleId="Titre5">
    <w:name w:val="heading 5"/>
    <w:basedOn w:val="Normal"/>
    <w:next w:val="Normal"/>
    <w:link w:val="Titre5Car"/>
    <w:uiPriority w:val="9"/>
    <w:unhideWhenUsed/>
    <w:qFormat/>
    <w:rsid w:val="00126A39"/>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sid w:val="00D15948"/>
    <w:rPr>
      <w:color w:val="0000FF"/>
      <w:u w:val="single"/>
    </w:rPr>
  </w:style>
  <w:style w:type="paragraph" w:styleId="Paragraphedeliste">
    <w:name w:val="List Paragraph"/>
    <w:basedOn w:val="Normal"/>
    <w:uiPriority w:val="34"/>
    <w:qFormat/>
    <w:rsid w:val="00D15948"/>
    <w:pPr>
      <w:ind w:left="720"/>
      <w:contextualSpacing/>
    </w:pPr>
  </w:style>
  <w:style w:type="character" w:styleId="Lienhypertextesuivivisit">
    <w:name w:val="FollowedHyperlink"/>
    <w:basedOn w:val="Policepardfaut"/>
    <w:uiPriority w:val="99"/>
    <w:semiHidden/>
    <w:unhideWhenUsed/>
    <w:rsid w:val="00D15948"/>
    <w:rPr>
      <w:color w:val="800080" w:themeColor="followedHyperlink"/>
      <w:u w:val="single"/>
    </w:rPr>
  </w:style>
  <w:style w:type="character" w:customStyle="1" w:styleId="Titre1Car">
    <w:name w:val="Titre 1 Car"/>
    <w:basedOn w:val="Policepardfaut"/>
    <w:link w:val="Titre1"/>
    <w:rsid w:val="00BD77A6"/>
    <w:rPr>
      <w:rFonts w:ascii="Arial" w:eastAsia="Times New Roman" w:hAnsi="Arial" w:cs="Sendnya"/>
      <w:b/>
      <w:bCs/>
      <w:kern w:val="28"/>
      <w:sz w:val="24"/>
      <w:szCs w:val="28"/>
      <w:lang w:val="en-GB" w:eastAsia="en-GB"/>
    </w:rPr>
  </w:style>
  <w:style w:type="character" w:customStyle="1" w:styleId="Titre2Car">
    <w:name w:val="Titre 2 Car"/>
    <w:basedOn w:val="Policepardfaut"/>
    <w:link w:val="Titre2"/>
    <w:rsid w:val="00BD77A6"/>
    <w:rPr>
      <w:rFonts w:ascii="Arial" w:eastAsia="Times New Roman" w:hAnsi="Arial" w:cs="Sendnya"/>
      <w:b/>
      <w:bCs/>
      <w:sz w:val="20"/>
      <w:szCs w:val="26"/>
      <w:lang w:val="en-GB" w:eastAsia="en-GB"/>
    </w:rPr>
  </w:style>
  <w:style w:type="character" w:customStyle="1" w:styleId="Titre3Car">
    <w:name w:val="Titre 3 Car"/>
    <w:basedOn w:val="Policepardfaut"/>
    <w:link w:val="Titre3"/>
    <w:rsid w:val="00BD77A6"/>
    <w:rPr>
      <w:rFonts w:ascii="Arial" w:eastAsia="Times New Roman" w:hAnsi="Arial" w:cs="Sendnya"/>
      <w:b/>
      <w:bCs/>
      <w:sz w:val="20"/>
      <w:szCs w:val="24"/>
      <w:lang w:val="en-GB" w:eastAsia="en-GB"/>
    </w:rPr>
  </w:style>
  <w:style w:type="paragraph" w:styleId="Pieddepage">
    <w:name w:val="footer"/>
    <w:basedOn w:val="Normal"/>
    <w:link w:val="PieddepageCar"/>
    <w:uiPriority w:val="99"/>
    <w:rsid w:val="00BD77A6"/>
    <w:pPr>
      <w:spacing w:before="60" w:beforeAutospacing="0" w:after="60" w:afterAutospacing="0" w:line="200" w:lineRule="atLeast"/>
      <w:jc w:val="right"/>
    </w:pPr>
    <w:rPr>
      <w:rFonts w:ascii="Arial" w:eastAsia="Times New Roman" w:hAnsi="Arial" w:cs="Sendnya"/>
      <w:noProof/>
      <w:snapToGrid w:val="0"/>
      <w:sz w:val="17"/>
      <w:szCs w:val="16"/>
      <w:lang w:val="en-GB" w:eastAsia="en-GB"/>
    </w:rPr>
  </w:style>
  <w:style w:type="character" w:customStyle="1" w:styleId="PieddepageCar">
    <w:name w:val="Pied de page Car"/>
    <w:basedOn w:val="Policepardfaut"/>
    <w:link w:val="Pieddepage"/>
    <w:uiPriority w:val="99"/>
    <w:rsid w:val="00BD77A6"/>
    <w:rPr>
      <w:rFonts w:ascii="Arial" w:eastAsia="Times New Roman" w:hAnsi="Arial" w:cs="Sendnya"/>
      <w:noProof/>
      <w:snapToGrid w:val="0"/>
      <w:sz w:val="17"/>
      <w:szCs w:val="16"/>
      <w:lang w:val="en-GB" w:eastAsia="en-GB"/>
    </w:rPr>
  </w:style>
  <w:style w:type="character" w:styleId="Appelnotedebasdep">
    <w:name w:val="footnote reference"/>
    <w:aliases w:val="Footnote Reference_LVL6,Footnote Reference_LVL61,Footnote Reference_LVL62,Footnote Reference_LVL63,Footnote Reference_LVL64,Footnote Reference Number,Footnote text,C26 Footnote Number,Footnote symbol,Footnote Reference_LVL65"/>
    <w:uiPriority w:val="99"/>
    <w:semiHidden/>
    <w:rsid w:val="00BD77A6"/>
    <w:rPr>
      <w:vertAlign w:val="superscript"/>
    </w:rPr>
  </w:style>
  <w:style w:type="paragraph" w:styleId="Notedebasdepage">
    <w:name w:val="footnote text"/>
    <w:aliases w:val="Footnote Text Char,Fußnote,fn,Footnote Text Char3,Footnote Text Char1 Char1,Footnote Text Char2 Char Char,Footnote Text Char1 Char1 Char Char,Footnote Text Char2 Char Char Char Char,Footnote Text Char1 Char1 Char Char Char Char,f"/>
    <w:basedOn w:val="Normal"/>
    <w:link w:val="NotedebasdepageCar"/>
    <w:semiHidden/>
    <w:rsid w:val="00BD77A6"/>
    <w:pPr>
      <w:keepLines/>
      <w:tabs>
        <w:tab w:val="left" w:pos="284"/>
      </w:tabs>
      <w:spacing w:before="60" w:beforeAutospacing="0" w:after="60" w:afterAutospacing="0" w:line="200" w:lineRule="atLeast"/>
      <w:ind w:left="284" w:hanging="284"/>
    </w:pPr>
    <w:rPr>
      <w:rFonts w:ascii="Arial" w:eastAsia="Times New Roman" w:hAnsi="Arial" w:cs="Sendnya"/>
      <w:sz w:val="18"/>
      <w:szCs w:val="18"/>
      <w:lang w:val="en-GB" w:eastAsia="en-GB"/>
    </w:rPr>
  </w:style>
  <w:style w:type="character" w:customStyle="1" w:styleId="NotedebasdepageCar">
    <w:name w:val="Note de bas de page Car"/>
    <w:aliases w:val="Footnote Text Char Car,Fußnote Car,fn Car,Footnote Text Char3 Car,Footnote Text Char1 Char1 Car,Footnote Text Char2 Char Char Car,Footnote Text Char1 Char1 Char Char Car,Footnote Text Char2 Char Char Char Char Car,f Car"/>
    <w:basedOn w:val="Policepardfaut"/>
    <w:link w:val="Notedebasdepage"/>
    <w:semiHidden/>
    <w:rsid w:val="00BD77A6"/>
    <w:rPr>
      <w:rFonts w:ascii="Arial" w:eastAsia="Times New Roman" w:hAnsi="Arial" w:cs="Sendnya"/>
      <w:sz w:val="18"/>
      <w:szCs w:val="18"/>
      <w:lang w:val="en-GB" w:eastAsia="en-GB"/>
    </w:rPr>
  </w:style>
  <w:style w:type="paragraph" w:customStyle="1" w:styleId="ECBBodyText">
    <w:name w:val="ECB Body Text"/>
    <w:basedOn w:val="Normal"/>
    <w:link w:val="ECBBodyTextChar"/>
    <w:qFormat/>
    <w:rsid w:val="00BD77A6"/>
    <w:pPr>
      <w:spacing w:before="60" w:beforeAutospacing="0" w:after="60" w:afterAutospacing="0" w:line="360" w:lineRule="auto"/>
    </w:pPr>
    <w:rPr>
      <w:rFonts w:ascii="Arial" w:eastAsia="Times New Roman" w:hAnsi="Arial" w:cs="Sendnya"/>
      <w:sz w:val="20"/>
      <w:szCs w:val="22"/>
      <w:lang w:val="en-GB" w:eastAsia="en-GB"/>
    </w:rPr>
  </w:style>
  <w:style w:type="character" w:customStyle="1" w:styleId="ECBBodyTextChar">
    <w:name w:val="ECB Body Text Char"/>
    <w:link w:val="ECBBodyText"/>
    <w:rsid w:val="00BD77A6"/>
    <w:rPr>
      <w:rFonts w:ascii="Arial" w:eastAsia="Times New Roman" w:hAnsi="Arial" w:cs="Sendnya"/>
      <w:sz w:val="20"/>
      <w:lang w:val="en-GB" w:eastAsia="en-GB"/>
    </w:rPr>
  </w:style>
  <w:style w:type="character" w:styleId="Marquedecommentaire">
    <w:name w:val="annotation reference"/>
    <w:basedOn w:val="Policepardfaut"/>
    <w:uiPriority w:val="99"/>
    <w:semiHidden/>
    <w:unhideWhenUsed/>
    <w:rsid w:val="00BD77A6"/>
    <w:rPr>
      <w:sz w:val="16"/>
      <w:szCs w:val="16"/>
    </w:rPr>
  </w:style>
  <w:style w:type="paragraph" w:styleId="Commentaire">
    <w:name w:val="annotation text"/>
    <w:basedOn w:val="Normal"/>
    <w:link w:val="CommentaireCar"/>
    <w:uiPriority w:val="99"/>
    <w:unhideWhenUsed/>
    <w:rsid w:val="00BD77A6"/>
    <w:pPr>
      <w:spacing w:before="60" w:beforeAutospacing="0" w:after="60" w:afterAutospacing="0"/>
    </w:pPr>
    <w:rPr>
      <w:rFonts w:ascii="Arial" w:eastAsia="Times New Roman" w:hAnsi="Arial" w:cs="Sendnya"/>
      <w:sz w:val="20"/>
      <w:szCs w:val="20"/>
      <w:lang w:val="en-GB" w:eastAsia="en-GB"/>
    </w:rPr>
  </w:style>
  <w:style w:type="character" w:customStyle="1" w:styleId="CommentaireCar">
    <w:name w:val="Commentaire Car"/>
    <w:basedOn w:val="Policepardfaut"/>
    <w:link w:val="Commentaire"/>
    <w:uiPriority w:val="99"/>
    <w:rsid w:val="00BD77A6"/>
    <w:rPr>
      <w:rFonts w:ascii="Arial" w:eastAsia="Times New Roman" w:hAnsi="Arial" w:cs="Sendnya"/>
      <w:sz w:val="20"/>
      <w:szCs w:val="20"/>
      <w:lang w:val="en-GB" w:eastAsia="en-GB"/>
    </w:rPr>
  </w:style>
  <w:style w:type="paragraph" w:styleId="Textedebulles">
    <w:name w:val="Balloon Text"/>
    <w:basedOn w:val="Normal"/>
    <w:link w:val="TextedebullesCar"/>
    <w:uiPriority w:val="99"/>
    <w:semiHidden/>
    <w:unhideWhenUsed/>
    <w:rsid w:val="00BD77A6"/>
    <w:pPr>
      <w:spacing w:before="0" w:after="0"/>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BD77A6"/>
    <w:rPr>
      <w:rFonts w:ascii="Segoe UI" w:hAnsi="Segoe UI" w:cs="Segoe UI"/>
      <w:sz w:val="18"/>
      <w:szCs w:val="18"/>
      <w:lang w:eastAsia="fr-FR"/>
    </w:rPr>
  </w:style>
  <w:style w:type="table" w:styleId="Grilledutableau">
    <w:name w:val="Table Grid"/>
    <w:basedOn w:val="TableauNormal"/>
    <w:uiPriority w:val="59"/>
    <w:rsid w:val="00332E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4Car">
    <w:name w:val="Titre 4 Car"/>
    <w:basedOn w:val="Policepardfaut"/>
    <w:link w:val="Titre4"/>
    <w:uiPriority w:val="9"/>
    <w:rsid w:val="00126A39"/>
    <w:rPr>
      <w:rFonts w:asciiTheme="majorHAnsi" w:eastAsiaTheme="majorEastAsia" w:hAnsiTheme="majorHAnsi" w:cstheme="majorBidi"/>
      <w:i/>
      <w:iCs/>
      <w:color w:val="365F91" w:themeColor="accent1" w:themeShade="BF"/>
      <w:sz w:val="24"/>
      <w:szCs w:val="24"/>
      <w:lang w:eastAsia="fr-FR"/>
    </w:rPr>
  </w:style>
  <w:style w:type="paragraph" w:styleId="Titre">
    <w:name w:val="Title"/>
    <w:basedOn w:val="Normal"/>
    <w:next w:val="Normal"/>
    <w:link w:val="TitreCar"/>
    <w:uiPriority w:val="10"/>
    <w:qFormat/>
    <w:rsid w:val="00126A39"/>
    <w:pPr>
      <w:spacing w:before="0" w:after="0"/>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126A39"/>
    <w:rPr>
      <w:rFonts w:asciiTheme="majorHAnsi" w:eastAsiaTheme="majorEastAsia" w:hAnsiTheme="majorHAnsi" w:cstheme="majorBidi"/>
      <w:spacing w:val="-10"/>
      <w:kern w:val="28"/>
      <w:sz w:val="56"/>
      <w:szCs w:val="56"/>
      <w:lang w:eastAsia="fr-FR"/>
    </w:rPr>
  </w:style>
  <w:style w:type="character" w:customStyle="1" w:styleId="Titre5Car">
    <w:name w:val="Titre 5 Car"/>
    <w:basedOn w:val="Policepardfaut"/>
    <w:link w:val="Titre5"/>
    <w:uiPriority w:val="9"/>
    <w:rsid w:val="00126A39"/>
    <w:rPr>
      <w:rFonts w:asciiTheme="majorHAnsi" w:eastAsiaTheme="majorEastAsia" w:hAnsiTheme="majorHAnsi" w:cstheme="majorBidi"/>
      <w:color w:val="365F91" w:themeColor="accent1" w:themeShade="BF"/>
      <w:sz w:val="24"/>
      <w:szCs w:val="24"/>
      <w:lang w:eastAsia="fr-FR"/>
    </w:rPr>
  </w:style>
  <w:style w:type="paragraph" w:styleId="Objetducommentaire">
    <w:name w:val="annotation subject"/>
    <w:basedOn w:val="Commentaire"/>
    <w:next w:val="Commentaire"/>
    <w:link w:val="ObjetducommentaireCar"/>
    <w:uiPriority w:val="99"/>
    <w:semiHidden/>
    <w:unhideWhenUsed/>
    <w:rsid w:val="009372F7"/>
    <w:pPr>
      <w:spacing w:before="100" w:beforeAutospacing="1" w:after="100" w:afterAutospacing="1"/>
    </w:pPr>
    <w:rPr>
      <w:rFonts w:ascii="Times New Roman" w:eastAsiaTheme="minorHAnsi" w:hAnsi="Times New Roman" w:cs="Times New Roman"/>
      <w:b/>
      <w:bCs/>
      <w:lang w:val="fr-FR" w:eastAsia="fr-FR"/>
    </w:rPr>
  </w:style>
  <w:style w:type="character" w:customStyle="1" w:styleId="ObjetducommentaireCar">
    <w:name w:val="Objet du commentaire Car"/>
    <w:basedOn w:val="CommentaireCar"/>
    <w:link w:val="Objetducommentaire"/>
    <w:uiPriority w:val="99"/>
    <w:semiHidden/>
    <w:rsid w:val="009372F7"/>
    <w:rPr>
      <w:rFonts w:ascii="Times New Roman" w:eastAsia="Times New Roman" w:hAnsi="Times New Roman" w:cs="Times New Roman"/>
      <w:b/>
      <w:bCs/>
      <w:sz w:val="20"/>
      <w:szCs w:val="20"/>
      <w:lang w:val="en-GB" w:eastAsia="fr-FR"/>
    </w:rPr>
  </w:style>
  <w:style w:type="paragraph" w:styleId="En-tte">
    <w:name w:val="header"/>
    <w:basedOn w:val="Normal"/>
    <w:link w:val="En-tteCar"/>
    <w:uiPriority w:val="99"/>
    <w:unhideWhenUsed/>
    <w:rsid w:val="00490173"/>
    <w:pPr>
      <w:tabs>
        <w:tab w:val="center" w:pos="4536"/>
        <w:tab w:val="right" w:pos="9072"/>
      </w:tabs>
      <w:spacing w:before="0" w:after="0"/>
    </w:pPr>
  </w:style>
  <w:style w:type="character" w:customStyle="1" w:styleId="En-tteCar">
    <w:name w:val="En-tête Car"/>
    <w:basedOn w:val="Policepardfaut"/>
    <w:link w:val="En-tte"/>
    <w:uiPriority w:val="99"/>
    <w:rsid w:val="00490173"/>
    <w:rPr>
      <w:rFonts w:ascii="Times New Roman" w:hAnsi="Times New Roman" w:cs="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8359404">
      <w:bodyDiv w:val="1"/>
      <w:marLeft w:val="0"/>
      <w:marRight w:val="0"/>
      <w:marTop w:val="0"/>
      <w:marBottom w:val="0"/>
      <w:divBdr>
        <w:top w:val="none" w:sz="0" w:space="0" w:color="auto"/>
        <w:left w:val="none" w:sz="0" w:space="0" w:color="auto"/>
        <w:bottom w:val="none" w:sz="0" w:space="0" w:color="auto"/>
        <w:right w:val="none" w:sz="0" w:space="0" w:color="auto"/>
      </w:divBdr>
    </w:div>
    <w:div w:id="17921696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ecb.europa.eu/ecb/legal/pdf/celex3a32018r02313aen3atxt.pdf" TargetMode="External"/><Relationship Id="rId13" Type="http://schemas.openxmlformats.org/officeDocument/2006/relationships/image" Target="cid:image004.png@01D58982.87DB2EE0"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ecb.europa.eu/ecb/legal/pdf/celex3a32018r02313afr3atxt.pdf" TargetMode="Externa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esurfi-assurance.banque-france.fr/current/reporting/reporting-orp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CCDB9B2-B5A7-48DB-B934-0D5470933F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731</Words>
  <Characters>4024</Characters>
  <Application>Microsoft Office Word</Application>
  <DocSecurity>0</DocSecurity>
  <Lines>33</Lines>
  <Paragraphs>9</Paragraphs>
  <ScaleCrop>false</ScaleCrop>
  <HeadingPairs>
    <vt:vector size="2" baseType="variant">
      <vt:variant>
        <vt:lpstr>Titre</vt:lpstr>
      </vt:variant>
      <vt:variant>
        <vt:i4>1</vt:i4>
      </vt:variant>
    </vt:vector>
  </HeadingPairs>
  <TitlesOfParts>
    <vt:vector size="1" baseType="lpstr">
      <vt:lpstr/>
    </vt:vector>
  </TitlesOfParts>
  <Company>Banque de France</Company>
  <LinksUpToDate>false</LinksUpToDate>
  <CharactersWithSpaces>4746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ROERO Come (UA 2521)</dc:creator>
  <cp:keywords/>
  <dc:description/>
  <cp:lastModifiedBy>WILKINSON Baptiste (UA 2775)</cp:lastModifiedBy>
  <cp:revision>4</cp:revision>
  <dcterms:created xsi:type="dcterms:W3CDTF">2020-12-17T15:55:00Z</dcterms:created>
  <dcterms:modified xsi:type="dcterms:W3CDTF">2022-12-29T16:53:00Z</dcterms:modified>
</cp:coreProperties>
</file>