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7F0B8F" w14:textId="400BFA0B" w:rsidR="001E32E8" w:rsidRDefault="00DC7B5D" w:rsidP="007709D9">
      <w:pPr>
        <w:spacing w:line="360" w:lineRule="auto"/>
        <w:rPr>
          <w:rFonts w:ascii="Arial" w:eastAsia="Calibri" w:hAnsi="Arial" w:cs="Times New Roman"/>
          <w:b/>
          <w:sz w:val="18"/>
          <w:szCs w:val="18"/>
        </w:rPr>
      </w:pPr>
      <w:bookmarkStart w:id="0" w:name="_GoBack"/>
      <w:bookmarkEnd w:id="0"/>
      <w:r w:rsidRPr="00186C94">
        <w:rPr>
          <w:noProof/>
          <w:color w:val="FFFFFF"/>
          <w:lang w:eastAsia="fr-FR"/>
        </w:rPr>
        <w:drawing>
          <wp:anchor distT="0" distB="0" distL="114300" distR="114300" simplePos="0" relativeHeight="251660288" behindDoc="0" locked="0" layoutInCell="1" allowOverlap="1" wp14:anchorId="3545B8FB" wp14:editId="6721B6E9">
            <wp:simplePos x="0" y="0"/>
            <wp:positionH relativeFrom="margin">
              <wp:posOffset>124485</wp:posOffset>
            </wp:positionH>
            <wp:positionV relativeFrom="margin">
              <wp:posOffset>-551180</wp:posOffset>
            </wp:positionV>
            <wp:extent cx="1108800" cy="990000"/>
            <wp:effectExtent l="0" t="0" r="0" b="635"/>
            <wp:wrapThrough wrapText="bothSides">
              <wp:wrapPolygon edited="0">
                <wp:start x="1485" y="0"/>
                <wp:lineTo x="1485" y="13301"/>
                <wp:lineTo x="0" y="15795"/>
                <wp:lineTo x="0" y="18289"/>
                <wp:lineTo x="10763" y="19951"/>
                <wp:lineTo x="9278" y="19951"/>
                <wp:lineTo x="7794" y="20783"/>
                <wp:lineTo x="7794" y="21198"/>
                <wp:lineTo x="13732" y="21198"/>
                <wp:lineTo x="14103" y="20783"/>
                <wp:lineTo x="12247" y="19951"/>
                <wp:lineTo x="10763" y="19951"/>
                <wp:lineTo x="21155" y="18289"/>
                <wp:lineTo x="21155" y="15795"/>
                <wp:lineTo x="19670" y="13301"/>
                <wp:lineTo x="18557" y="6650"/>
                <wp:lineTo x="20041" y="0"/>
                <wp:lineTo x="1485" y="0"/>
              </wp:wrapPolygon>
            </wp:wrapThrough>
            <wp:docPr id="10"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1108800" cy="990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2AEB43F1" w14:textId="77777777" w:rsidR="001E32E8" w:rsidRDefault="001E32E8" w:rsidP="007709D9">
      <w:pPr>
        <w:spacing w:line="360" w:lineRule="auto"/>
        <w:rPr>
          <w:rFonts w:ascii="Arial" w:eastAsia="Calibri" w:hAnsi="Arial" w:cs="Times New Roman"/>
          <w:b/>
          <w:sz w:val="18"/>
          <w:szCs w:val="18"/>
        </w:rPr>
      </w:pPr>
    </w:p>
    <w:p w14:paraId="1E9A49F9" w14:textId="77777777" w:rsidR="001E32E8" w:rsidRDefault="001E32E8" w:rsidP="007709D9">
      <w:pPr>
        <w:spacing w:line="360" w:lineRule="auto"/>
        <w:rPr>
          <w:rFonts w:ascii="Arial" w:eastAsia="Calibri" w:hAnsi="Arial" w:cs="Times New Roman"/>
          <w:b/>
          <w:sz w:val="18"/>
          <w:szCs w:val="18"/>
        </w:rPr>
      </w:pPr>
    </w:p>
    <w:p w14:paraId="20148BA2" w14:textId="77777777" w:rsidR="001E32E8" w:rsidRPr="00EF423C" w:rsidRDefault="001E32E8" w:rsidP="001E32E8">
      <w:pPr>
        <w:jc w:val="center"/>
        <w:rPr>
          <w:rFonts w:ascii="Garamond" w:hAnsi="Garamond"/>
          <w:b/>
          <w:sz w:val="28"/>
          <w:szCs w:val="28"/>
        </w:rPr>
      </w:pPr>
      <w:r w:rsidRPr="00EF423C">
        <w:rPr>
          <w:rFonts w:ascii="Garamond" w:hAnsi="Garamond"/>
          <w:b/>
          <w:sz w:val="28"/>
          <w:szCs w:val="28"/>
        </w:rPr>
        <w:t xml:space="preserve">Guide méthodologique </w:t>
      </w:r>
    </w:p>
    <w:p w14:paraId="4F3D85D7" w14:textId="77777777" w:rsidR="001E32E8" w:rsidRPr="00EF423C" w:rsidRDefault="001E32E8" w:rsidP="001E32E8">
      <w:pPr>
        <w:jc w:val="center"/>
        <w:rPr>
          <w:rFonts w:ascii="Garamond" w:hAnsi="Garamond"/>
          <w:b/>
          <w:sz w:val="28"/>
          <w:szCs w:val="28"/>
        </w:rPr>
      </w:pPr>
      <w:r w:rsidRPr="00EF423C">
        <w:rPr>
          <w:rFonts w:ascii="Garamond" w:hAnsi="Garamond"/>
          <w:b/>
          <w:sz w:val="28"/>
          <w:szCs w:val="28"/>
        </w:rPr>
        <w:t>Documents prudentiels européens quantitatifs à communiquer annuellement et</w:t>
      </w:r>
      <w:r w:rsidR="00662F78">
        <w:rPr>
          <w:rFonts w:ascii="Garamond" w:hAnsi="Garamond"/>
          <w:b/>
          <w:sz w:val="28"/>
          <w:szCs w:val="28"/>
        </w:rPr>
        <w:t>/ou</w:t>
      </w:r>
      <w:r w:rsidRPr="00EF423C">
        <w:rPr>
          <w:rFonts w:ascii="Garamond" w:hAnsi="Garamond"/>
          <w:b/>
          <w:sz w:val="28"/>
          <w:szCs w:val="28"/>
        </w:rPr>
        <w:t xml:space="preserve"> trimestriellement par les organismes de retraite professionnelle supplémentaire</w:t>
      </w:r>
    </w:p>
    <w:p w14:paraId="06446798" w14:textId="77777777" w:rsidR="001E32E8" w:rsidRPr="00C20B08" w:rsidRDefault="001E32E8" w:rsidP="001E32E8">
      <w:pPr>
        <w:spacing w:after="0" w:line="240" w:lineRule="auto"/>
        <w:jc w:val="center"/>
        <w:rPr>
          <w:rFonts w:ascii="Garamond" w:hAnsi="Garamond"/>
        </w:rPr>
      </w:pPr>
      <w:r w:rsidRPr="00C20B08">
        <w:rPr>
          <w:rFonts w:ascii="Garamond" w:hAnsi="Garamond"/>
        </w:rPr>
        <w:tab/>
      </w:r>
    </w:p>
    <w:p w14:paraId="0946E792" w14:textId="77777777" w:rsidR="001E32E8" w:rsidRPr="00C20B08" w:rsidRDefault="001E32E8" w:rsidP="001E32E8">
      <w:pPr>
        <w:spacing w:after="0" w:line="240" w:lineRule="auto"/>
        <w:jc w:val="center"/>
        <w:rPr>
          <w:rFonts w:ascii="Garamond" w:hAnsi="Garamond"/>
        </w:rPr>
      </w:pPr>
    </w:p>
    <w:p w14:paraId="002E8C1B" w14:textId="6EFDD77F" w:rsidR="001E32E8" w:rsidRPr="001E32E8" w:rsidRDefault="001E32E8" w:rsidP="001E32E8">
      <w:pPr>
        <w:spacing w:line="360" w:lineRule="auto"/>
        <w:rPr>
          <w:rFonts w:ascii="Garamond" w:hAnsi="Garamond"/>
        </w:rPr>
      </w:pPr>
      <w:r w:rsidRPr="00C20B08">
        <w:rPr>
          <w:rFonts w:ascii="Garamond" w:hAnsi="Garamond"/>
        </w:rPr>
        <w:t xml:space="preserve">Ce guide méthodologique traite des états quantitatifs présentés dans </w:t>
      </w:r>
      <w:r w:rsidR="00830CFE">
        <w:rPr>
          <w:rFonts w:ascii="Garamond" w:hAnsi="Garamond"/>
        </w:rPr>
        <w:t>l’instruction 2020-I-05.</w:t>
      </w:r>
    </w:p>
    <w:p w14:paraId="14C1A6E7" w14:textId="118C455E" w:rsidR="001E32E8" w:rsidRDefault="007709D9" w:rsidP="001E32E8">
      <w:pPr>
        <w:spacing w:after="0" w:line="360" w:lineRule="auto"/>
        <w:jc w:val="center"/>
        <w:rPr>
          <w:rFonts w:ascii="Garamond" w:eastAsia="Times New Roman" w:hAnsi="Garamond" w:cs="Times New Roman"/>
          <w:b/>
          <w:color w:val="003B8E"/>
          <w:sz w:val="28"/>
          <w:szCs w:val="28"/>
          <w:lang w:eastAsia="fr-FR"/>
        </w:rPr>
      </w:pPr>
      <w:r w:rsidRPr="001E32E8">
        <w:rPr>
          <w:rFonts w:ascii="Garamond" w:eastAsia="Times New Roman" w:hAnsi="Garamond" w:cs="Times New Roman"/>
          <w:b/>
          <w:color w:val="003B8E"/>
          <w:sz w:val="28"/>
          <w:szCs w:val="28"/>
          <w:lang w:eastAsia="fr-FR"/>
        </w:rPr>
        <w:t>EP.03.01</w:t>
      </w:r>
      <w:r w:rsidR="001E32E8">
        <w:rPr>
          <w:rFonts w:ascii="Garamond" w:eastAsia="Times New Roman" w:hAnsi="Garamond" w:cs="Times New Roman"/>
          <w:b/>
          <w:color w:val="003B8E"/>
          <w:sz w:val="28"/>
          <w:szCs w:val="28"/>
          <w:lang w:eastAsia="fr-FR"/>
        </w:rPr>
        <w:t>.30 (remise annuelle)</w:t>
      </w:r>
    </w:p>
    <w:p w14:paraId="642C9D25" w14:textId="77777777" w:rsidR="007709D9" w:rsidRDefault="007709D9" w:rsidP="001E32E8">
      <w:pPr>
        <w:spacing w:after="0" w:line="360" w:lineRule="auto"/>
        <w:jc w:val="center"/>
        <w:rPr>
          <w:rFonts w:ascii="Garamond" w:eastAsia="Times New Roman" w:hAnsi="Garamond" w:cs="Times New Roman"/>
          <w:b/>
          <w:color w:val="003B8E"/>
          <w:sz w:val="28"/>
          <w:szCs w:val="28"/>
          <w:lang w:eastAsia="fr-FR"/>
        </w:rPr>
      </w:pPr>
      <w:r w:rsidRPr="001E32E8">
        <w:rPr>
          <w:rFonts w:ascii="Garamond" w:eastAsia="Times New Roman" w:hAnsi="Garamond" w:cs="Times New Roman"/>
          <w:b/>
          <w:color w:val="003B8E"/>
          <w:sz w:val="28"/>
          <w:szCs w:val="28"/>
          <w:lang w:eastAsia="fr-FR"/>
        </w:rPr>
        <w:t>Statistiques sur les passifs / engagements</w:t>
      </w:r>
    </w:p>
    <w:p w14:paraId="1E95899D" w14:textId="77777777" w:rsidR="001E32E8" w:rsidRPr="001E32E8" w:rsidRDefault="001E32E8" w:rsidP="001E32E8">
      <w:pPr>
        <w:spacing w:after="0" w:line="360" w:lineRule="auto"/>
        <w:jc w:val="center"/>
        <w:rPr>
          <w:rFonts w:ascii="Garamond" w:eastAsia="Times New Roman" w:hAnsi="Garamond" w:cs="Times New Roman"/>
          <w:b/>
          <w:color w:val="003B8E"/>
          <w:sz w:val="28"/>
          <w:szCs w:val="28"/>
          <w:lang w:eastAsia="fr-FR"/>
        </w:rPr>
      </w:pPr>
    </w:p>
    <w:p w14:paraId="69CD0AAC" w14:textId="77777777" w:rsidR="007709D9" w:rsidRDefault="007709D9" w:rsidP="007709D9">
      <w:pPr>
        <w:spacing w:line="360" w:lineRule="auto"/>
        <w:rPr>
          <w:rFonts w:ascii="Arial" w:eastAsia="Calibri" w:hAnsi="Arial" w:cs="Times New Roman"/>
          <w:b/>
          <w:bCs/>
          <w:sz w:val="18"/>
          <w:szCs w:val="18"/>
        </w:rPr>
      </w:pPr>
      <w:r w:rsidRPr="00303227">
        <w:rPr>
          <w:rFonts w:ascii="Arial" w:eastAsia="Calibri" w:hAnsi="Arial" w:cs="Times New Roman"/>
          <w:b/>
          <w:bCs/>
          <w:sz w:val="18"/>
          <w:szCs w:val="18"/>
        </w:rPr>
        <w:t>Observations générales :</w:t>
      </w:r>
    </w:p>
    <w:p w14:paraId="7A1F62FD" w14:textId="3FF3F059" w:rsidR="0052132C" w:rsidRDefault="0052132C" w:rsidP="0052132C">
      <w:pPr>
        <w:spacing w:before="60" w:after="120" w:line="360" w:lineRule="auto"/>
        <w:jc w:val="both"/>
        <w:rPr>
          <w:rFonts w:ascii="Arial" w:eastAsia="Calibri" w:hAnsi="Arial" w:cs="Times New Roman"/>
          <w:sz w:val="18"/>
          <w:szCs w:val="20"/>
        </w:rPr>
      </w:pPr>
      <w:r>
        <w:rPr>
          <w:rFonts w:ascii="Arial" w:eastAsia="Calibri" w:hAnsi="Arial" w:cs="Times New Roman"/>
          <w:sz w:val="18"/>
          <w:szCs w:val="20"/>
        </w:rPr>
        <w:t>Ce modèle doit être renseigné plusieurs fois, via les différentes valeurs éligibles de l’axe Z</w:t>
      </w:r>
      <w:r w:rsidRPr="00F0722D">
        <w:t xml:space="preserve"> </w:t>
      </w:r>
      <w:r w:rsidRPr="00F0722D">
        <w:rPr>
          <w:rFonts w:ascii="Arial" w:eastAsia="Calibri" w:hAnsi="Arial" w:cs="Times New Roman"/>
          <w:sz w:val="18"/>
          <w:szCs w:val="20"/>
        </w:rPr>
        <w:t>EZ0010</w:t>
      </w:r>
      <w:r>
        <w:rPr>
          <w:rFonts w:ascii="Arial" w:eastAsia="Calibri" w:hAnsi="Arial" w:cs="Times New Roman"/>
          <w:sz w:val="18"/>
          <w:szCs w:val="20"/>
        </w:rPr>
        <w:t xml:space="preserve">, </w:t>
      </w:r>
      <w:r w:rsidR="00D07457">
        <w:rPr>
          <w:rFonts w:ascii="Arial" w:eastAsia="Calibri" w:hAnsi="Arial" w:cs="Times New Roman"/>
          <w:sz w:val="18"/>
          <w:szCs w:val="20"/>
        </w:rPr>
        <w:t>de la manière suivante</w:t>
      </w:r>
      <w:r>
        <w:rPr>
          <w:rFonts w:ascii="Arial" w:eastAsia="Calibri" w:hAnsi="Arial" w:cs="Times New Roman"/>
          <w:sz w:val="18"/>
          <w:szCs w:val="20"/>
        </w:rPr>
        <w:t xml:space="preserve"> : </w:t>
      </w:r>
    </w:p>
    <w:p w14:paraId="21258371" w14:textId="77777777" w:rsidR="0052132C" w:rsidRPr="00F0722D" w:rsidRDefault="0052132C" w:rsidP="0052132C">
      <w:pPr>
        <w:pStyle w:val="Paragraphedeliste"/>
        <w:numPr>
          <w:ilvl w:val="0"/>
          <w:numId w:val="3"/>
        </w:numPr>
        <w:spacing w:before="60" w:after="120" w:line="360" w:lineRule="auto"/>
        <w:jc w:val="both"/>
        <w:rPr>
          <w:rFonts w:ascii="Arial" w:eastAsia="Calibri" w:hAnsi="Arial" w:cs="Times New Roman"/>
          <w:sz w:val="18"/>
          <w:szCs w:val="20"/>
        </w:rPr>
      </w:pPr>
      <w:r w:rsidRPr="00F0722D">
        <w:rPr>
          <w:rFonts w:ascii="Arial" w:eastAsia="Calibri" w:hAnsi="Arial" w:cs="Times New Roman"/>
          <w:sz w:val="18"/>
          <w:szCs w:val="20"/>
        </w:rPr>
        <w:t>Une première fois avec la valeur « 1 – Encours ».</w:t>
      </w:r>
    </w:p>
    <w:p w14:paraId="37303F86" w14:textId="56862524" w:rsidR="0052132C" w:rsidRPr="00F0722D" w:rsidRDefault="0052132C" w:rsidP="0052132C">
      <w:pPr>
        <w:pStyle w:val="Paragraphedeliste"/>
        <w:numPr>
          <w:ilvl w:val="0"/>
          <w:numId w:val="3"/>
        </w:numPr>
        <w:spacing w:before="60" w:after="120" w:line="360" w:lineRule="auto"/>
        <w:jc w:val="both"/>
        <w:rPr>
          <w:rFonts w:ascii="Arial" w:eastAsia="Calibri" w:hAnsi="Arial" w:cs="Times New Roman"/>
          <w:sz w:val="18"/>
          <w:szCs w:val="20"/>
        </w:rPr>
      </w:pPr>
      <w:r w:rsidRPr="00F0722D">
        <w:rPr>
          <w:rFonts w:ascii="Arial" w:eastAsia="Calibri" w:hAnsi="Arial" w:cs="Times New Roman"/>
          <w:sz w:val="18"/>
          <w:szCs w:val="20"/>
        </w:rPr>
        <w:t>Une deuxième fois pour la valeur « 8 – Valorisations (y compris effets de change) » ou « 4 – Transactions financières » en fonction des instructions de la B</w:t>
      </w:r>
      <w:r w:rsidR="00F0514E">
        <w:rPr>
          <w:rFonts w:ascii="Arial" w:eastAsia="Calibri" w:hAnsi="Arial" w:cs="Times New Roman"/>
          <w:sz w:val="18"/>
          <w:szCs w:val="20"/>
        </w:rPr>
        <w:t xml:space="preserve">anque </w:t>
      </w:r>
      <w:r w:rsidRPr="00F0722D">
        <w:rPr>
          <w:rFonts w:ascii="Arial" w:eastAsia="Calibri" w:hAnsi="Arial" w:cs="Times New Roman"/>
          <w:sz w:val="18"/>
          <w:szCs w:val="20"/>
        </w:rPr>
        <w:t>C</w:t>
      </w:r>
      <w:r w:rsidR="00F0514E">
        <w:rPr>
          <w:rFonts w:ascii="Arial" w:eastAsia="Calibri" w:hAnsi="Arial" w:cs="Times New Roman"/>
          <w:sz w:val="18"/>
          <w:szCs w:val="20"/>
        </w:rPr>
        <w:t xml:space="preserve">entrale </w:t>
      </w:r>
      <w:r w:rsidRPr="00F0722D">
        <w:rPr>
          <w:rFonts w:ascii="Arial" w:eastAsia="Calibri" w:hAnsi="Arial" w:cs="Times New Roman"/>
          <w:sz w:val="18"/>
          <w:szCs w:val="20"/>
        </w:rPr>
        <w:t>N</w:t>
      </w:r>
      <w:r w:rsidR="00F0514E">
        <w:rPr>
          <w:rFonts w:ascii="Arial" w:eastAsia="Calibri" w:hAnsi="Arial" w:cs="Times New Roman"/>
          <w:sz w:val="18"/>
          <w:szCs w:val="20"/>
        </w:rPr>
        <w:t>ationale</w:t>
      </w:r>
      <w:r w:rsidRPr="00F0722D">
        <w:rPr>
          <w:rFonts w:ascii="Arial" w:eastAsia="Calibri" w:hAnsi="Arial" w:cs="Times New Roman"/>
          <w:sz w:val="18"/>
          <w:szCs w:val="20"/>
        </w:rPr>
        <w:t xml:space="preserve"> </w:t>
      </w:r>
      <w:r w:rsidR="00167964">
        <w:rPr>
          <w:rFonts w:ascii="Arial" w:eastAsia="Calibri" w:hAnsi="Arial" w:cs="Times New Roman"/>
          <w:sz w:val="18"/>
          <w:szCs w:val="20"/>
        </w:rPr>
        <w:t xml:space="preserve">(BCN) </w:t>
      </w:r>
      <w:r w:rsidRPr="00F0722D">
        <w:rPr>
          <w:rFonts w:ascii="Arial" w:eastAsia="Calibri" w:hAnsi="Arial" w:cs="Times New Roman"/>
          <w:sz w:val="18"/>
          <w:szCs w:val="20"/>
        </w:rPr>
        <w:t>concernée.</w:t>
      </w:r>
      <w:r w:rsidR="00CC509F">
        <w:rPr>
          <w:rFonts w:ascii="Arial" w:eastAsia="Calibri" w:hAnsi="Arial" w:cs="Times New Roman"/>
          <w:sz w:val="18"/>
          <w:szCs w:val="20"/>
        </w:rPr>
        <w:t xml:space="preserve"> La n</w:t>
      </w:r>
      <w:r w:rsidR="00CC509F" w:rsidRPr="007378CC">
        <w:rPr>
          <w:rFonts w:ascii="Arial" w:eastAsia="Calibri" w:hAnsi="Arial" w:cs="Times New Roman"/>
          <w:sz w:val="18"/>
          <w:szCs w:val="20"/>
        </w:rPr>
        <w:t>ote sur les transactions financières et les valorisations</w:t>
      </w:r>
      <w:r w:rsidR="00CC509F">
        <w:rPr>
          <w:rFonts w:ascii="Arial" w:eastAsia="Calibri" w:hAnsi="Arial" w:cs="Times New Roman"/>
          <w:sz w:val="18"/>
          <w:szCs w:val="20"/>
        </w:rPr>
        <w:t xml:space="preserve"> précise que les remettants doivent remettre les transactions financières</w:t>
      </w:r>
      <w:r w:rsidR="00701384">
        <w:rPr>
          <w:rFonts w:ascii="Arial" w:eastAsia="Calibri" w:hAnsi="Arial" w:cs="Times New Roman"/>
          <w:sz w:val="18"/>
          <w:szCs w:val="20"/>
        </w:rPr>
        <w:t xml:space="preserve"> en France</w:t>
      </w:r>
      <w:r w:rsidR="00CC509F">
        <w:rPr>
          <w:rFonts w:ascii="Arial" w:eastAsia="Calibri" w:hAnsi="Arial" w:cs="Times New Roman"/>
          <w:sz w:val="18"/>
          <w:szCs w:val="20"/>
        </w:rPr>
        <w:t>.</w:t>
      </w:r>
    </w:p>
    <w:p w14:paraId="1D776737" w14:textId="219A9BD9" w:rsidR="002C718C" w:rsidRPr="00303227" w:rsidRDefault="0052132C" w:rsidP="002E3DFD">
      <w:pPr>
        <w:pStyle w:val="Paragraphedeliste"/>
        <w:numPr>
          <w:ilvl w:val="0"/>
          <w:numId w:val="3"/>
        </w:numPr>
        <w:spacing w:before="60" w:after="120" w:line="360" w:lineRule="auto"/>
        <w:jc w:val="both"/>
      </w:pPr>
      <w:r w:rsidRPr="00F0722D">
        <w:rPr>
          <w:rFonts w:ascii="Arial" w:eastAsia="Calibri" w:hAnsi="Arial" w:cs="Times New Roman"/>
          <w:sz w:val="18"/>
          <w:szCs w:val="20"/>
        </w:rPr>
        <w:t>Éventuellement une troisième fois si nécessaire pour la valeur « 5 – Autres changements de volume ».</w:t>
      </w:r>
    </w:p>
    <w:p w14:paraId="5D2DE375" w14:textId="137306AD" w:rsidR="007709D9" w:rsidRPr="00303227" w:rsidRDefault="007709D9" w:rsidP="007709D9">
      <w:pPr>
        <w:autoSpaceDE w:val="0"/>
        <w:autoSpaceDN w:val="0"/>
        <w:adjustRightInd w:val="0"/>
        <w:spacing w:after="0" w:line="360" w:lineRule="auto"/>
        <w:jc w:val="both"/>
        <w:rPr>
          <w:rFonts w:ascii="Arial" w:eastAsia="Calibri" w:hAnsi="Arial" w:cs="Arial"/>
          <w:sz w:val="18"/>
          <w:szCs w:val="18"/>
        </w:rPr>
      </w:pPr>
      <w:r w:rsidRPr="00303227">
        <w:rPr>
          <w:rFonts w:ascii="Arial" w:eastAsia="Calibri" w:hAnsi="Arial" w:cs="Times New Roman"/>
          <w:sz w:val="18"/>
          <w:szCs w:val="18"/>
        </w:rPr>
        <w:t>Les « encours</w:t>
      </w:r>
      <w:r w:rsidR="0049789B">
        <w:rPr>
          <w:rFonts w:ascii="Arial" w:eastAsia="Calibri" w:hAnsi="Arial" w:cs="Times New Roman"/>
          <w:sz w:val="18"/>
          <w:szCs w:val="18"/>
        </w:rPr>
        <w:t xml:space="preserve"> </w:t>
      </w:r>
      <w:r w:rsidRPr="00303227">
        <w:rPr>
          <w:rFonts w:ascii="Arial" w:eastAsia="Calibri" w:hAnsi="Arial" w:cs="Times New Roman"/>
          <w:sz w:val="18"/>
          <w:szCs w:val="18"/>
        </w:rPr>
        <w:t>» sont les passifs détenus à un moment précis, exprimés en termes monétaires, et doivent être déclarés sur une base brute. Les encours doivent toujours être déclarés.</w:t>
      </w:r>
    </w:p>
    <w:p w14:paraId="447BE46F" w14:textId="77777777" w:rsidR="007709D9" w:rsidRPr="00303227" w:rsidRDefault="007709D9" w:rsidP="007709D9">
      <w:pPr>
        <w:spacing w:before="60" w:after="120" w:line="360" w:lineRule="auto"/>
        <w:jc w:val="both"/>
        <w:rPr>
          <w:rFonts w:ascii="Arial" w:eastAsia="Calibri" w:hAnsi="Arial" w:cs="Arial"/>
          <w:sz w:val="18"/>
          <w:szCs w:val="18"/>
        </w:rPr>
      </w:pPr>
      <w:r w:rsidRPr="00303227">
        <w:rPr>
          <w:rFonts w:ascii="Arial" w:eastAsia="Calibri" w:hAnsi="Arial" w:cs="Times New Roman"/>
          <w:sz w:val="18"/>
          <w:szCs w:val="18"/>
        </w:rPr>
        <w:t xml:space="preserve">Les « autres changements de volume » doivent inclure toute modification de valeur (par rapport à la période précédente) déclarée à la rubrique « 1 – Encours» qui résulte de la correction d’erreurs de déclaration. S’il n’y a aucune erreur de déclaration, les cellules resteront vides. </w:t>
      </w:r>
    </w:p>
    <w:p w14:paraId="5FF74380" w14:textId="6531A9B2" w:rsidR="007709D9" w:rsidRPr="00303227" w:rsidRDefault="007709D9" w:rsidP="007709D9">
      <w:pPr>
        <w:spacing w:line="360" w:lineRule="auto"/>
        <w:jc w:val="both"/>
        <w:rPr>
          <w:rFonts w:ascii="Arial" w:eastAsia="Calibri" w:hAnsi="Arial" w:cs="Arial"/>
          <w:sz w:val="18"/>
          <w:szCs w:val="18"/>
        </w:rPr>
      </w:pPr>
      <w:r w:rsidRPr="00303227">
        <w:rPr>
          <w:rFonts w:ascii="Arial" w:eastAsia="Calibri" w:hAnsi="Arial" w:cs="Times New Roman"/>
          <w:sz w:val="18"/>
          <w:szCs w:val="18"/>
        </w:rPr>
        <w:t xml:space="preserve">Dans l’idéal, </w:t>
      </w:r>
      <w:r w:rsidR="0052132C">
        <w:rPr>
          <w:rFonts w:ascii="Arial" w:eastAsia="Calibri" w:hAnsi="Arial" w:cs="Times New Roman"/>
          <w:sz w:val="18"/>
          <w:szCs w:val="20"/>
        </w:rPr>
        <w:t>il faudrait remettre à nouveau la remise erronée après la correction des données erronées</w:t>
      </w:r>
      <w:r w:rsidRPr="00303227">
        <w:rPr>
          <w:rFonts w:ascii="Arial" w:eastAsia="Calibri" w:hAnsi="Arial" w:cs="Times New Roman"/>
          <w:sz w:val="18"/>
          <w:szCs w:val="18"/>
        </w:rPr>
        <w:t xml:space="preserve">; si cela n’est pas possible, des autres changements de volume peuvent être </w:t>
      </w:r>
      <w:r w:rsidR="0052132C">
        <w:rPr>
          <w:rFonts w:ascii="Arial" w:eastAsia="Calibri" w:hAnsi="Arial" w:cs="Times New Roman"/>
          <w:sz w:val="18"/>
          <w:szCs w:val="18"/>
        </w:rPr>
        <w:t>déclarés</w:t>
      </w:r>
      <w:r w:rsidR="0052132C" w:rsidRPr="00303227">
        <w:rPr>
          <w:rFonts w:ascii="Arial" w:eastAsia="Calibri" w:hAnsi="Arial" w:cs="Times New Roman"/>
          <w:sz w:val="18"/>
          <w:szCs w:val="18"/>
        </w:rPr>
        <w:t xml:space="preserve"> </w:t>
      </w:r>
      <w:r w:rsidRPr="00303227">
        <w:rPr>
          <w:rFonts w:ascii="Arial" w:eastAsia="Calibri" w:hAnsi="Arial" w:cs="Times New Roman"/>
          <w:sz w:val="18"/>
          <w:szCs w:val="18"/>
        </w:rPr>
        <w:t xml:space="preserve">à la place. </w:t>
      </w:r>
    </w:p>
    <w:p w14:paraId="2BE562CA" w14:textId="0F9D71F0" w:rsidR="007709D9" w:rsidRPr="00303227" w:rsidRDefault="007709D9" w:rsidP="007709D9">
      <w:pPr>
        <w:spacing w:line="360" w:lineRule="auto"/>
        <w:jc w:val="both"/>
        <w:rPr>
          <w:rFonts w:ascii="Arial" w:eastAsia="Calibri" w:hAnsi="Arial" w:cs="Arial"/>
          <w:sz w:val="18"/>
          <w:szCs w:val="18"/>
        </w:rPr>
      </w:pPr>
      <w:r w:rsidRPr="00303227">
        <w:rPr>
          <w:rFonts w:ascii="Arial" w:eastAsia="Calibri" w:hAnsi="Arial" w:cs="Times New Roman"/>
          <w:sz w:val="18"/>
          <w:szCs w:val="18"/>
        </w:rPr>
        <w:t xml:space="preserve">Il existe trois types d’autres changements de volume devant être déclarés </w:t>
      </w:r>
      <w:r w:rsidR="0052132C">
        <w:rPr>
          <w:rFonts w:ascii="Arial" w:eastAsia="Calibri" w:hAnsi="Arial" w:cs="Times New Roman"/>
          <w:sz w:val="18"/>
          <w:szCs w:val="18"/>
        </w:rPr>
        <w:t>pour</w:t>
      </w:r>
      <w:r w:rsidR="0052132C" w:rsidRPr="00303227">
        <w:rPr>
          <w:rFonts w:ascii="Arial" w:eastAsia="Calibri" w:hAnsi="Arial" w:cs="Times New Roman"/>
          <w:sz w:val="18"/>
          <w:szCs w:val="18"/>
        </w:rPr>
        <w:t xml:space="preserve"> </w:t>
      </w:r>
      <w:r w:rsidRPr="00303227">
        <w:rPr>
          <w:rFonts w:ascii="Arial" w:eastAsia="Calibri" w:hAnsi="Arial" w:cs="Times New Roman"/>
          <w:sz w:val="18"/>
          <w:szCs w:val="18"/>
        </w:rPr>
        <w:t>la rubrique EZ0010 « 5 – Autres changements de volume » : (i) les changements liés à une correction du classement de l’instrument financier ; (ii) les changements liés à la nécessité de corriger une ventilation ; et (iii) les changements liés à la variation des encours</w:t>
      </w:r>
      <w:r w:rsidR="008F73FD">
        <w:rPr>
          <w:rFonts w:ascii="Arial" w:eastAsia="Calibri" w:hAnsi="Arial" w:cs="Times New Roman"/>
          <w:sz w:val="18"/>
          <w:szCs w:val="18"/>
        </w:rPr>
        <w:t xml:space="preserve"> totaux</w:t>
      </w:r>
      <w:r w:rsidRPr="00303227">
        <w:rPr>
          <w:rFonts w:ascii="Arial" w:eastAsia="Calibri" w:hAnsi="Arial" w:cs="Times New Roman"/>
          <w:sz w:val="18"/>
          <w:szCs w:val="18"/>
        </w:rPr>
        <w:t xml:space="preserve"> en raison d’autres changements de volume. </w:t>
      </w:r>
    </w:p>
    <w:p w14:paraId="1A0B9855" w14:textId="77777777" w:rsidR="007709D9" w:rsidRPr="00303227" w:rsidRDefault="007709D9" w:rsidP="007709D9">
      <w:pPr>
        <w:spacing w:line="360" w:lineRule="auto"/>
        <w:jc w:val="both"/>
        <w:rPr>
          <w:rFonts w:ascii="Arial" w:eastAsia="Calibri" w:hAnsi="Arial" w:cs="Arial"/>
          <w:sz w:val="18"/>
          <w:szCs w:val="18"/>
        </w:rPr>
      </w:pPr>
      <w:r w:rsidRPr="00303227">
        <w:rPr>
          <w:rFonts w:ascii="Arial" w:eastAsia="Calibri" w:hAnsi="Arial" w:cs="Times New Roman"/>
          <w:sz w:val="18"/>
          <w:szCs w:val="18"/>
        </w:rPr>
        <w:t xml:space="preserve">Dans le premier cas, l’instrument financier n’a pas été déclaré correctement. Un signe négatif corrige un montant incorrectement attribué à un instrument financier, tandis qu’un signe positif corrige un montant qui n’a pas été attribué à un autre instrument financier alors qu’il aurait dû l’être. </w:t>
      </w:r>
    </w:p>
    <w:tbl>
      <w:tblPr>
        <w:tblStyle w:val="Grilledutableau"/>
        <w:tblW w:w="0" w:type="auto"/>
        <w:tblBorders>
          <w:top w:val="single" w:sz="4" w:space="0" w:color="9BBB59" w:themeColor="accent3"/>
          <w:left w:val="single" w:sz="4" w:space="0" w:color="9BBB59" w:themeColor="accent3"/>
          <w:bottom w:val="single" w:sz="4" w:space="0" w:color="9BBB59" w:themeColor="accent3"/>
          <w:right w:val="single" w:sz="4" w:space="0" w:color="9BBB59" w:themeColor="accent3"/>
          <w:insideH w:val="single" w:sz="4" w:space="0" w:color="9BBB59" w:themeColor="accent3"/>
          <w:insideV w:val="single" w:sz="4" w:space="0" w:color="9BBB59" w:themeColor="accent3"/>
        </w:tblBorders>
        <w:tblLook w:val="04A0" w:firstRow="1" w:lastRow="0" w:firstColumn="1" w:lastColumn="0" w:noHBand="0" w:noVBand="1"/>
      </w:tblPr>
      <w:tblGrid>
        <w:gridCol w:w="9062"/>
      </w:tblGrid>
      <w:tr w:rsidR="007709D9" w:rsidRPr="00303227" w14:paraId="753FC5B5" w14:textId="77777777" w:rsidTr="005B5817">
        <w:tc>
          <w:tcPr>
            <w:tcW w:w="9242" w:type="dxa"/>
            <w:shd w:val="clear" w:color="auto" w:fill="F2F2F2" w:themeFill="background1" w:themeFillShade="F2"/>
          </w:tcPr>
          <w:p w14:paraId="49DFAA27" w14:textId="2628BC89" w:rsidR="007709D9" w:rsidRPr="00303227" w:rsidRDefault="007709D9" w:rsidP="005B5817">
            <w:pPr>
              <w:spacing w:line="360" w:lineRule="auto"/>
              <w:jc w:val="both"/>
              <w:rPr>
                <w:rFonts w:ascii="Arial" w:eastAsia="Calibri" w:hAnsi="Arial" w:cs="Arial"/>
                <w:sz w:val="18"/>
                <w:szCs w:val="18"/>
              </w:rPr>
            </w:pPr>
            <w:r w:rsidRPr="00303227">
              <w:rPr>
                <w:rFonts w:ascii="Arial" w:eastAsia="Calibri" w:hAnsi="Arial" w:cs="Times New Roman"/>
                <w:sz w:val="18"/>
                <w:szCs w:val="18"/>
                <w:u w:val="single"/>
              </w:rPr>
              <w:lastRenderedPageBreak/>
              <w:t>Exemple, cas 1</w:t>
            </w:r>
            <w:r w:rsidRPr="00303227">
              <w:rPr>
                <w:rFonts w:ascii="Arial" w:eastAsia="Calibri" w:hAnsi="Arial" w:cs="Times New Roman"/>
                <w:sz w:val="18"/>
                <w:szCs w:val="18"/>
              </w:rPr>
              <w:t> : Des « titres de créance émis » (</w:t>
            </w:r>
            <w:r w:rsidRPr="00303227">
              <w:rPr>
                <w:rFonts w:ascii="Arial" w:eastAsia="Calibri" w:hAnsi="Arial" w:cs="Times New Roman"/>
                <w:b/>
                <w:sz w:val="18"/>
                <w:szCs w:val="18"/>
              </w:rPr>
              <w:t>EP.03.01</w:t>
            </w:r>
            <w:r w:rsidRPr="00303227">
              <w:rPr>
                <w:rFonts w:ascii="Arial" w:eastAsia="Calibri" w:hAnsi="Arial" w:cs="Times New Roman"/>
                <w:sz w:val="18"/>
                <w:szCs w:val="18"/>
              </w:rPr>
              <w:t xml:space="preserve"> (ER0060/EC0010)) pour une valeur de 100 sont classés de façon erronée en « autres comptes à recevoir » (EP.03.01 (ER0150/EC0010)). Dans ce cas, un autre changement de volume (EZ0010 « 5 – Autres changements de volume ») de +100 doit être enregistré en « titres de créance émis » (EP.03.01 (ER0060/EC0010)) et de </w:t>
            </w:r>
            <w:r w:rsidR="008B0573">
              <w:rPr>
                <w:rFonts w:ascii="Arial" w:eastAsia="Calibri" w:hAnsi="Arial" w:cs="Times New Roman"/>
                <w:sz w:val="18"/>
                <w:szCs w:val="18"/>
              </w:rPr>
              <w:t>-</w:t>
            </w:r>
            <w:r w:rsidRPr="00303227">
              <w:rPr>
                <w:rFonts w:ascii="Arial" w:eastAsia="Calibri" w:hAnsi="Arial" w:cs="Times New Roman"/>
                <w:sz w:val="18"/>
                <w:szCs w:val="18"/>
              </w:rPr>
              <w:t xml:space="preserve">100 en « autres comptes à recevoir » (EP.03.01 (ER0150/EC0010)). </w:t>
            </w:r>
          </w:p>
          <w:p w14:paraId="248F79A1" w14:textId="77777777" w:rsidR="007709D9" w:rsidRPr="00303227" w:rsidRDefault="007709D9" w:rsidP="005B5817">
            <w:pPr>
              <w:spacing w:line="360" w:lineRule="auto"/>
              <w:jc w:val="both"/>
              <w:rPr>
                <w:rFonts w:ascii="Arial" w:eastAsia="Calibri" w:hAnsi="Arial" w:cs="Arial"/>
                <w:sz w:val="18"/>
                <w:szCs w:val="18"/>
              </w:rPr>
            </w:pPr>
          </w:p>
          <w:tbl>
            <w:tblPr>
              <w:tblW w:w="8804" w:type="dxa"/>
              <w:tblInd w:w="93" w:type="dxa"/>
              <w:tblLook w:val="04A0" w:firstRow="1" w:lastRow="0" w:firstColumn="1" w:lastColumn="0" w:noHBand="0" w:noVBand="1"/>
            </w:tblPr>
            <w:tblGrid>
              <w:gridCol w:w="6356"/>
              <w:gridCol w:w="987"/>
              <w:gridCol w:w="1410"/>
            </w:tblGrid>
            <w:tr w:rsidR="007709D9" w:rsidRPr="00303227" w14:paraId="593B223E" w14:textId="77777777" w:rsidTr="005B5817">
              <w:trPr>
                <w:trHeight w:val="240"/>
              </w:trPr>
              <w:tc>
                <w:tcPr>
                  <w:tcW w:w="8804" w:type="dxa"/>
                  <w:gridSpan w:val="3"/>
                  <w:tcBorders>
                    <w:top w:val="nil"/>
                    <w:left w:val="nil"/>
                    <w:bottom w:val="nil"/>
                  </w:tcBorders>
                  <w:shd w:val="clear" w:color="auto" w:fill="F2F2F2" w:themeFill="background1" w:themeFillShade="F2"/>
                  <w:vAlign w:val="center"/>
                </w:tcPr>
                <w:p w14:paraId="2F39D8B3" w14:textId="77777777" w:rsidR="007709D9" w:rsidRPr="00303227" w:rsidRDefault="007709D9" w:rsidP="005B5817">
                  <w:pPr>
                    <w:spacing w:after="0" w:line="360" w:lineRule="auto"/>
                    <w:rPr>
                      <w:rFonts w:ascii="Arial" w:eastAsia="Calibri" w:hAnsi="Arial" w:cs="Arial"/>
                      <w:sz w:val="18"/>
                      <w:szCs w:val="18"/>
                    </w:rPr>
                  </w:pPr>
                  <w:r w:rsidRPr="00303227">
                    <w:rPr>
                      <w:rFonts w:ascii="Arial" w:eastAsia="Calibri" w:hAnsi="Arial" w:cs="Times New Roman"/>
                      <w:sz w:val="18"/>
                      <w:szCs w:val="18"/>
                    </w:rPr>
                    <w:t>Les entrées suivantes doivent donc être déclarées en EP.03.01 (EZ0010 « 5 – Autres changements de volume »).</w:t>
                  </w:r>
                </w:p>
              </w:tc>
            </w:tr>
            <w:tr w:rsidR="007709D9" w:rsidRPr="00303227" w14:paraId="38354807" w14:textId="77777777" w:rsidTr="005B5817">
              <w:trPr>
                <w:trHeight w:val="300"/>
              </w:trPr>
              <w:tc>
                <w:tcPr>
                  <w:tcW w:w="6394" w:type="dxa"/>
                  <w:tcBorders>
                    <w:top w:val="nil"/>
                    <w:left w:val="nil"/>
                    <w:bottom w:val="nil"/>
                    <w:right w:val="nil"/>
                  </w:tcBorders>
                  <w:shd w:val="clear" w:color="auto" w:fill="F2F2F2" w:themeFill="background1" w:themeFillShade="F2"/>
                  <w:noWrap/>
                  <w:vAlign w:val="bottom"/>
                  <w:hideMark/>
                </w:tcPr>
                <w:p w14:paraId="4C9D8ED9" w14:textId="77777777" w:rsidR="007709D9" w:rsidRPr="00303227" w:rsidRDefault="007709D9" w:rsidP="005B5817">
                  <w:pPr>
                    <w:spacing w:after="0" w:line="360" w:lineRule="auto"/>
                    <w:ind w:firstLineChars="100" w:firstLine="180"/>
                    <w:rPr>
                      <w:rFonts w:ascii="Arial" w:eastAsia="Calibri" w:hAnsi="Arial" w:cs="Arial"/>
                      <w:sz w:val="18"/>
                      <w:szCs w:val="18"/>
                    </w:rPr>
                  </w:pPr>
                </w:p>
              </w:tc>
              <w:tc>
                <w:tcPr>
                  <w:tcW w:w="992" w:type="dxa"/>
                  <w:tcBorders>
                    <w:top w:val="nil"/>
                    <w:left w:val="nil"/>
                    <w:bottom w:val="nil"/>
                    <w:right w:val="nil"/>
                  </w:tcBorders>
                  <w:shd w:val="clear" w:color="auto" w:fill="F2F2F2" w:themeFill="background1" w:themeFillShade="F2"/>
                  <w:noWrap/>
                  <w:vAlign w:val="bottom"/>
                  <w:hideMark/>
                </w:tcPr>
                <w:p w14:paraId="537DEB01" w14:textId="77777777" w:rsidR="007709D9" w:rsidRPr="00303227" w:rsidRDefault="007709D9" w:rsidP="005B5817">
                  <w:pPr>
                    <w:spacing w:after="0" w:line="360" w:lineRule="auto"/>
                    <w:ind w:firstLineChars="100" w:firstLine="180"/>
                    <w:rPr>
                      <w:rFonts w:ascii="Arial" w:eastAsia="Calibri" w:hAnsi="Arial" w:cs="Arial"/>
                      <w:sz w:val="18"/>
                      <w:szCs w:val="18"/>
                    </w:rPr>
                  </w:pPr>
                </w:p>
              </w:tc>
              <w:tc>
                <w:tcPr>
                  <w:tcW w:w="1418" w:type="dxa"/>
                  <w:tcBorders>
                    <w:top w:val="single" w:sz="4" w:space="0" w:color="auto"/>
                    <w:left w:val="single" w:sz="4" w:space="0" w:color="auto"/>
                    <w:bottom w:val="nil"/>
                    <w:right w:val="single" w:sz="4" w:space="0" w:color="auto"/>
                  </w:tcBorders>
                  <w:shd w:val="clear" w:color="auto" w:fill="F2F2F2" w:themeFill="background1" w:themeFillShade="F2"/>
                  <w:vAlign w:val="center"/>
                  <w:hideMark/>
                </w:tcPr>
                <w:p w14:paraId="20AD6CD7" w14:textId="77777777" w:rsidR="007709D9" w:rsidRPr="00303227" w:rsidRDefault="007709D9" w:rsidP="005B5817">
                  <w:pPr>
                    <w:spacing w:after="0" w:line="360" w:lineRule="auto"/>
                    <w:jc w:val="center"/>
                    <w:rPr>
                      <w:rFonts w:ascii="Arial" w:eastAsia="Calibri" w:hAnsi="Arial" w:cs="Arial"/>
                      <w:sz w:val="18"/>
                      <w:szCs w:val="18"/>
                    </w:rPr>
                  </w:pPr>
                  <w:bookmarkStart w:id="1" w:name="RANGE!D11"/>
                  <w:r w:rsidRPr="00303227">
                    <w:rPr>
                      <w:rFonts w:ascii="Arial" w:eastAsia="Calibri" w:hAnsi="Arial" w:cs="Times New Roman"/>
                      <w:sz w:val="18"/>
                      <w:szCs w:val="18"/>
                    </w:rPr>
                    <w:t>Total</w:t>
                  </w:r>
                  <w:bookmarkEnd w:id="1"/>
                </w:p>
              </w:tc>
            </w:tr>
            <w:tr w:rsidR="007709D9" w:rsidRPr="00303227" w14:paraId="51D898DC" w14:textId="77777777" w:rsidTr="005B5817">
              <w:trPr>
                <w:trHeight w:val="300"/>
              </w:trPr>
              <w:tc>
                <w:tcPr>
                  <w:tcW w:w="6394" w:type="dxa"/>
                  <w:tcBorders>
                    <w:top w:val="nil"/>
                    <w:left w:val="nil"/>
                    <w:bottom w:val="nil"/>
                    <w:right w:val="nil"/>
                  </w:tcBorders>
                  <w:shd w:val="clear" w:color="auto" w:fill="F2F2F2" w:themeFill="background1" w:themeFillShade="F2"/>
                  <w:noWrap/>
                  <w:vAlign w:val="bottom"/>
                  <w:hideMark/>
                </w:tcPr>
                <w:p w14:paraId="6F18F8CD" w14:textId="77777777" w:rsidR="007709D9" w:rsidRPr="00303227" w:rsidRDefault="007709D9" w:rsidP="005B5817">
                  <w:pPr>
                    <w:spacing w:after="0" w:line="360" w:lineRule="auto"/>
                    <w:ind w:firstLineChars="100" w:firstLine="180"/>
                    <w:rPr>
                      <w:rFonts w:ascii="Arial" w:eastAsia="Calibri" w:hAnsi="Arial" w:cs="Arial"/>
                      <w:sz w:val="18"/>
                      <w:szCs w:val="18"/>
                    </w:rPr>
                  </w:pPr>
                </w:p>
              </w:tc>
              <w:tc>
                <w:tcPr>
                  <w:tcW w:w="992" w:type="dxa"/>
                  <w:tcBorders>
                    <w:top w:val="nil"/>
                    <w:left w:val="nil"/>
                    <w:bottom w:val="nil"/>
                    <w:right w:val="nil"/>
                  </w:tcBorders>
                  <w:shd w:val="clear" w:color="auto" w:fill="F2F2F2" w:themeFill="background1" w:themeFillShade="F2"/>
                  <w:noWrap/>
                  <w:vAlign w:val="bottom"/>
                  <w:hideMark/>
                </w:tcPr>
                <w:p w14:paraId="2C0DBC85" w14:textId="77777777" w:rsidR="007709D9" w:rsidRPr="00303227" w:rsidRDefault="007709D9" w:rsidP="005B5817">
                  <w:pPr>
                    <w:spacing w:after="0" w:line="360" w:lineRule="auto"/>
                    <w:ind w:firstLineChars="100" w:firstLine="180"/>
                    <w:rPr>
                      <w:rFonts w:ascii="Arial" w:eastAsia="Calibri" w:hAnsi="Arial" w:cs="Arial"/>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26061176" w14:textId="77777777" w:rsidR="007709D9" w:rsidRPr="00303227" w:rsidRDefault="007709D9" w:rsidP="005B5817">
                  <w:pPr>
                    <w:spacing w:after="0" w:line="360" w:lineRule="auto"/>
                    <w:jc w:val="center"/>
                    <w:rPr>
                      <w:rFonts w:ascii="Arial" w:eastAsia="Calibri" w:hAnsi="Arial" w:cs="Arial"/>
                      <w:sz w:val="18"/>
                      <w:szCs w:val="18"/>
                    </w:rPr>
                  </w:pPr>
                  <w:bookmarkStart w:id="2" w:name="RANGE!D12"/>
                  <w:r w:rsidRPr="00303227">
                    <w:rPr>
                      <w:rFonts w:ascii="Arial" w:eastAsia="Calibri" w:hAnsi="Arial" w:cs="Times New Roman"/>
                      <w:sz w:val="18"/>
                      <w:szCs w:val="18"/>
                    </w:rPr>
                    <w:t>EC0010</w:t>
                  </w:r>
                  <w:bookmarkEnd w:id="2"/>
                </w:p>
              </w:tc>
            </w:tr>
            <w:tr w:rsidR="007709D9" w:rsidRPr="00303227" w14:paraId="34989568" w14:textId="77777777" w:rsidTr="005B5817">
              <w:trPr>
                <w:trHeight w:val="300"/>
              </w:trPr>
              <w:tc>
                <w:tcPr>
                  <w:tcW w:w="639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7D6D0436" w14:textId="77777777" w:rsidR="007709D9" w:rsidRPr="00303227" w:rsidRDefault="007709D9" w:rsidP="005B5817">
                  <w:pPr>
                    <w:spacing w:after="0" w:line="360" w:lineRule="auto"/>
                    <w:rPr>
                      <w:rFonts w:ascii="Arial" w:eastAsia="Calibri" w:hAnsi="Arial" w:cs="Arial"/>
                      <w:sz w:val="18"/>
                      <w:szCs w:val="18"/>
                    </w:rPr>
                  </w:pPr>
                  <w:bookmarkStart w:id="3" w:name="RANGE!B13:B14"/>
                  <w:r w:rsidRPr="00303227">
                    <w:rPr>
                      <w:rFonts w:ascii="Arial" w:eastAsia="Calibri" w:hAnsi="Arial" w:cs="Times New Roman"/>
                      <w:sz w:val="18"/>
                      <w:szCs w:val="18"/>
                    </w:rPr>
                    <w:t>11. Titres de créance émis (SEC2010 : F.3)</w:t>
                  </w:r>
                  <w:bookmarkEnd w:id="3"/>
                </w:p>
              </w:tc>
              <w:tc>
                <w:tcPr>
                  <w:tcW w:w="992"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5A479915" w14:textId="77777777" w:rsidR="007709D9" w:rsidRPr="00303227" w:rsidRDefault="007709D9" w:rsidP="005B5817">
                  <w:pPr>
                    <w:spacing w:after="0" w:line="360" w:lineRule="auto"/>
                    <w:rPr>
                      <w:rFonts w:ascii="Arial" w:eastAsia="Calibri" w:hAnsi="Arial" w:cs="Arial"/>
                      <w:sz w:val="18"/>
                      <w:szCs w:val="18"/>
                    </w:rPr>
                  </w:pPr>
                  <w:bookmarkStart w:id="4" w:name="RANGE!C13:C14"/>
                  <w:r w:rsidRPr="00303227">
                    <w:rPr>
                      <w:rFonts w:ascii="Arial" w:eastAsia="Calibri" w:hAnsi="Arial" w:cs="Times New Roman"/>
                      <w:sz w:val="18"/>
                      <w:szCs w:val="18"/>
                    </w:rPr>
                    <w:t>ER0060</w:t>
                  </w:r>
                  <w:bookmarkEnd w:id="4"/>
                </w:p>
              </w:tc>
              <w:tc>
                <w:tcPr>
                  <w:tcW w:w="1418" w:type="dxa"/>
                  <w:tcBorders>
                    <w:top w:val="nil"/>
                    <w:left w:val="nil"/>
                    <w:bottom w:val="single" w:sz="4" w:space="0" w:color="auto"/>
                    <w:right w:val="single" w:sz="4" w:space="0" w:color="auto"/>
                  </w:tcBorders>
                  <w:shd w:val="clear" w:color="auto" w:fill="F2F2F2" w:themeFill="background1" w:themeFillShade="F2"/>
                  <w:noWrap/>
                  <w:vAlign w:val="center"/>
                  <w:hideMark/>
                </w:tcPr>
                <w:p w14:paraId="07C89213" w14:textId="77777777" w:rsidR="007709D9" w:rsidRPr="00303227" w:rsidRDefault="007709D9" w:rsidP="005B5817">
                  <w:pPr>
                    <w:spacing w:after="0" w:line="360" w:lineRule="auto"/>
                    <w:jc w:val="center"/>
                    <w:rPr>
                      <w:rFonts w:ascii="Arial" w:eastAsia="Calibri" w:hAnsi="Arial" w:cs="Arial"/>
                      <w:sz w:val="18"/>
                      <w:szCs w:val="18"/>
                    </w:rPr>
                  </w:pPr>
                  <w:bookmarkStart w:id="5" w:name="RANGE!D13:D14"/>
                  <w:r w:rsidRPr="00303227">
                    <w:rPr>
                      <w:rFonts w:ascii="Arial" w:eastAsia="Calibri" w:hAnsi="Arial" w:cs="Times New Roman"/>
                      <w:sz w:val="18"/>
                      <w:szCs w:val="18"/>
                    </w:rPr>
                    <w:t>+100</w:t>
                  </w:r>
                  <w:bookmarkEnd w:id="5"/>
                </w:p>
              </w:tc>
            </w:tr>
            <w:tr w:rsidR="007709D9" w:rsidRPr="00303227" w14:paraId="33DD2B18" w14:textId="77777777" w:rsidTr="005B5817">
              <w:trPr>
                <w:trHeight w:val="300"/>
              </w:trPr>
              <w:tc>
                <w:tcPr>
                  <w:tcW w:w="6394" w:type="dxa"/>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14:paraId="5CA87A97" w14:textId="77777777" w:rsidR="007709D9" w:rsidRPr="00303227" w:rsidRDefault="007709D9" w:rsidP="005B5817">
                  <w:pPr>
                    <w:spacing w:after="0" w:line="360" w:lineRule="auto"/>
                    <w:rPr>
                      <w:rFonts w:ascii="Arial" w:eastAsia="Calibri" w:hAnsi="Arial" w:cs="Arial"/>
                      <w:sz w:val="18"/>
                      <w:szCs w:val="18"/>
                    </w:rPr>
                  </w:pPr>
                  <w:r w:rsidRPr="00303227">
                    <w:rPr>
                      <w:rFonts w:ascii="Arial" w:eastAsia="Calibri" w:hAnsi="Arial" w:cs="Times New Roman"/>
                      <w:sz w:val="18"/>
                      <w:szCs w:val="18"/>
                    </w:rPr>
                    <w:t>15. Autres comptes à recevoir/à payer (SEC 2010 : F.8)</w:t>
                  </w:r>
                </w:p>
              </w:tc>
              <w:tc>
                <w:tcPr>
                  <w:tcW w:w="992" w:type="dxa"/>
                  <w:tcBorders>
                    <w:top w:val="nil"/>
                    <w:left w:val="nil"/>
                    <w:bottom w:val="single" w:sz="4" w:space="0" w:color="auto"/>
                    <w:right w:val="single" w:sz="4" w:space="0" w:color="auto"/>
                  </w:tcBorders>
                  <w:shd w:val="clear" w:color="auto" w:fill="F2F2F2" w:themeFill="background1" w:themeFillShade="F2"/>
                  <w:noWrap/>
                  <w:vAlign w:val="center"/>
                  <w:hideMark/>
                </w:tcPr>
                <w:p w14:paraId="4673DB75" w14:textId="77777777" w:rsidR="007709D9" w:rsidRPr="00303227" w:rsidRDefault="007709D9" w:rsidP="005B5817">
                  <w:pPr>
                    <w:spacing w:after="0" w:line="360" w:lineRule="auto"/>
                    <w:rPr>
                      <w:rFonts w:ascii="Arial" w:eastAsia="Calibri" w:hAnsi="Arial" w:cs="Arial"/>
                      <w:sz w:val="18"/>
                      <w:szCs w:val="18"/>
                    </w:rPr>
                  </w:pPr>
                  <w:r w:rsidRPr="00303227">
                    <w:rPr>
                      <w:rFonts w:ascii="Arial" w:eastAsia="Calibri" w:hAnsi="Arial" w:cs="Times New Roman"/>
                      <w:sz w:val="18"/>
                      <w:szCs w:val="18"/>
                    </w:rPr>
                    <w:t>ER0150</w:t>
                  </w:r>
                </w:p>
              </w:tc>
              <w:tc>
                <w:tcPr>
                  <w:tcW w:w="1418" w:type="dxa"/>
                  <w:tcBorders>
                    <w:top w:val="nil"/>
                    <w:left w:val="nil"/>
                    <w:bottom w:val="single" w:sz="4" w:space="0" w:color="auto"/>
                    <w:right w:val="single" w:sz="4" w:space="0" w:color="auto"/>
                  </w:tcBorders>
                  <w:shd w:val="clear" w:color="auto" w:fill="F2F2F2" w:themeFill="background1" w:themeFillShade="F2"/>
                  <w:noWrap/>
                  <w:vAlign w:val="center"/>
                  <w:hideMark/>
                </w:tcPr>
                <w:p w14:paraId="65B6E0DB" w14:textId="77777777" w:rsidR="007709D9" w:rsidRPr="00303227" w:rsidRDefault="007709D9" w:rsidP="005B581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-100</w:t>
                  </w:r>
                </w:p>
              </w:tc>
            </w:tr>
          </w:tbl>
          <w:p w14:paraId="46CB0306" w14:textId="77777777" w:rsidR="007709D9" w:rsidRPr="00303227" w:rsidRDefault="007709D9" w:rsidP="005B5817">
            <w:pPr>
              <w:spacing w:line="360" w:lineRule="auto"/>
              <w:jc w:val="both"/>
              <w:rPr>
                <w:rFonts w:ascii="Arial" w:eastAsia="Calibri" w:hAnsi="Arial" w:cs="Arial"/>
                <w:sz w:val="18"/>
                <w:szCs w:val="18"/>
              </w:rPr>
            </w:pPr>
          </w:p>
        </w:tc>
      </w:tr>
    </w:tbl>
    <w:p w14:paraId="2A90AA5D" w14:textId="77777777" w:rsidR="007709D9" w:rsidRPr="00303227" w:rsidRDefault="007709D9" w:rsidP="007709D9">
      <w:pPr>
        <w:spacing w:line="360" w:lineRule="auto"/>
        <w:jc w:val="both"/>
        <w:rPr>
          <w:rFonts w:ascii="Arial" w:eastAsia="Calibri" w:hAnsi="Arial" w:cs="Arial"/>
          <w:sz w:val="18"/>
          <w:szCs w:val="18"/>
        </w:rPr>
      </w:pPr>
    </w:p>
    <w:p w14:paraId="0AE48423" w14:textId="77777777" w:rsidR="007709D9" w:rsidRPr="00303227" w:rsidRDefault="007709D9" w:rsidP="007709D9">
      <w:pPr>
        <w:spacing w:line="360" w:lineRule="auto"/>
        <w:jc w:val="both"/>
        <w:rPr>
          <w:rFonts w:ascii="Arial" w:eastAsia="Calibri" w:hAnsi="Arial" w:cs="Arial"/>
          <w:sz w:val="18"/>
          <w:szCs w:val="18"/>
        </w:rPr>
      </w:pPr>
      <w:r w:rsidRPr="00303227">
        <w:rPr>
          <w:rFonts w:ascii="Arial" w:eastAsia="Calibri" w:hAnsi="Arial" w:cs="Times New Roman"/>
          <w:sz w:val="18"/>
          <w:szCs w:val="18"/>
        </w:rPr>
        <w:t>Dans le deuxième cas, la ventilation de la contrepartie doit être corrigée.</w:t>
      </w:r>
    </w:p>
    <w:tbl>
      <w:tblPr>
        <w:tblStyle w:val="Grilledutableau"/>
        <w:tblW w:w="0" w:type="auto"/>
        <w:tblBorders>
          <w:top w:val="single" w:sz="4" w:space="0" w:color="9BBB59" w:themeColor="accent3"/>
          <w:left w:val="single" w:sz="4" w:space="0" w:color="9BBB59" w:themeColor="accent3"/>
          <w:bottom w:val="single" w:sz="4" w:space="0" w:color="9BBB59" w:themeColor="accent3"/>
          <w:right w:val="single" w:sz="4" w:space="0" w:color="9BBB59" w:themeColor="accent3"/>
          <w:insideH w:val="single" w:sz="4" w:space="0" w:color="9BBB59" w:themeColor="accent3"/>
          <w:insideV w:val="single" w:sz="4" w:space="0" w:color="9BBB59" w:themeColor="accent3"/>
        </w:tblBorders>
        <w:tblLook w:val="04A0" w:firstRow="1" w:lastRow="0" w:firstColumn="1" w:lastColumn="0" w:noHBand="0" w:noVBand="1"/>
      </w:tblPr>
      <w:tblGrid>
        <w:gridCol w:w="9062"/>
      </w:tblGrid>
      <w:tr w:rsidR="007709D9" w:rsidRPr="00303227" w14:paraId="670AAFBF" w14:textId="77777777" w:rsidTr="005B5817">
        <w:tc>
          <w:tcPr>
            <w:tcW w:w="9242" w:type="dxa"/>
            <w:shd w:val="clear" w:color="auto" w:fill="F2F2F2" w:themeFill="background1" w:themeFillShade="F2"/>
          </w:tcPr>
          <w:p w14:paraId="7BADD7BA" w14:textId="03D59E07" w:rsidR="007709D9" w:rsidRPr="00303227" w:rsidRDefault="007709D9" w:rsidP="005B5817">
            <w:pPr>
              <w:spacing w:line="360" w:lineRule="auto"/>
              <w:jc w:val="both"/>
              <w:rPr>
                <w:rFonts w:ascii="Arial" w:eastAsia="Calibri" w:hAnsi="Arial" w:cs="Arial"/>
                <w:sz w:val="18"/>
                <w:szCs w:val="18"/>
              </w:rPr>
            </w:pPr>
            <w:r w:rsidRPr="00303227">
              <w:rPr>
                <w:rFonts w:ascii="Arial" w:eastAsia="Calibri" w:hAnsi="Arial" w:cs="Times New Roman"/>
                <w:sz w:val="18"/>
                <w:szCs w:val="18"/>
                <w:u w:val="single"/>
              </w:rPr>
              <w:t>Exemple, cas 2</w:t>
            </w:r>
            <w:r w:rsidRPr="00303227">
              <w:rPr>
                <w:rFonts w:ascii="Arial" w:eastAsia="Calibri" w:hAnsi="Arial" w:cs="Times New Roman"/>
                <w:sz w:val="18"/>
                <w:szCs w:val="18"/>
              </w:rPr>
              <w:t xml:space="preserve"> : Un « prêt domestique d’une durée initiale inférieure ou égale à un an consenti par une IFM » d’une valeur de 100 est en fait un « prêt domestique d’une durée initiale supérieure à un an et inférieure ou égale à cinq ans consenti par une IFM ». Dans ce cas, il faut enregistrer </w:t>
            </w:r>
            <w:r w:rsidR="00891341">
              <w:rPr>
                <w:rFonts w:ascii="Arial" w:eastAsia="Calibri" w:hAnsi="Arial" w:cs="Times New Roman"/>
                <w:sz w:val="18"/>
                <w:szCs w:val="18"/>
              </w:rPr>
              <w:t>-</w:t>
            </w:r>
            <w:r w:rsidRPr="00303227">
              <w:rPr>
                <w:rFonts w:ascii="Arial" w:eastAsia="Calibri" w:hAnsi="Arial" w:cs="Times New Roman"/>
                <w:sz w:val="18"/>
                <w:szCs w:val="18"/>
              </w:rPr>
              <w:t xml:space="preserve">100 en </w:t>
            </w:r>
            <w:r w:rsidRPr="00303227">
              <w:rPr>
                <w:rFonts w:ascii="Arial" w:eastAsia="Calibri" w:hAnsi="Arial" w:cs="Times New Roman"/>
                <w:b/>
                <w:sz w:val="18"/>
                <w:szCs w:val="18"/>
              </w:rPr>
              <w:t>EP.03.01</w:t>
            </w:r>
            <w:r w:rsidRPr="00303227">
              <w:rPr>
                <w:rFonts w:ascii="Arial" w:eastAsia="Calibri" w:hAnsi="Arial" w:cs="Times New Roman"/>
                <w:sz w:val="18"/>
                <w:szCs w:val="18"/>
              </w:rPr>
              <w:t xml:space="preserve"> (ER0030/EC0010, EC0020, EC0030) et +100 sous EP.03.01 (ER0040/EC0010, EC0020, EC0030).</w:t>
            </w:r>
          </w:p>
          <w:p w14:paraId="5739F06E" w14:textId="77777777" w:rsidR="007709D9" w:rsidRPr="00303227" w:rsidRDefault="007709D9" w:rsidP="005B5817">
            <w:pPr>
              <w:spacing w:line="360" w:lineRule="auto"/>
              <w:jc w:val="both"/>
              <w:rPr>
                <w:rFonts w:ascii="Arial" w:eastAsia="Calibri" w:hAnsi="Arial" w:cs="Arial"/>
                <w:sz w:val="18"/>
                <w:szCs w:val="18"/>
              </w:rPr>
            </w:pPr>
          </w:p>
          <w:p w14:paraId="64C9A186" w14:textId="77777777" w:rsidR="007709D9" w:rsidRPr="00303227" w:rsidRDefault="007709D9" w:rsidP="005B5817">
            <w:pPr>
              <w:spacing w:line="360" w:lineRule="auto"/>
              <w:jc w:val="both"/>
              <w:rPr>
                <w:rFonts w:ascii="Arial" w:eastAsia="Calibri" w:hAnsi="Arial" w:cs="Arial"/>
                <w:sz w:val="18"/>
                <w:szCs w:val="18"/>
              </w:rPr>
            </w:pPr>
            <w:r w:rsidRPr="00303227">
              <w:rPr>
                <w:rFonts w:ascii="Arial" w:eastAsia="Calibri" w:hAnsi="Arial" w:cs="Times New Roman"/>
                <w:sz w:val="18"/>
                <w:szCs w:val="18"/>
              </w:rPr>
              <w:t>Les entrées suivantes doivent être déclarées en EP.03.01 (EZ0010 « 5 – Autres changements de volume ») :</w:t>
            </w:r>
          </w:p>
          <w:p w14:paraId="26466B4C" w14:textId="77777777" w:rsidR="007709D9" w:rsidRPr="00303227" w:rsidRDefault="007709D9" w:rsidP="005B5817">
            <w:pPr>
              <w:spacing w:line="360" w:lineRule="auto"/>
              <w:jc w:val="both"/>
              <w:rPr>
                <w:rFonts w:ascii="Arial" w:eastAsia="Calibri" w:hAnsi="Arial" w:cs="Arial"/>
                <w:sz w:val="18"/>
                <w:szCs w:val="18"/>
              </w:rPr>
            </w:pPr>
          </w:p>
          <w:tbl>
            <w:tblPr>
              <w:tblW w:w="8804" w:type="dxa"/>
              <w:tblInd w:w="93" w:type="dxa"/>
              <w:tblLook w:val="04A0" w:firstRow="1" w:lastRow="0" w:firstColumn="1" w:lastColumn="0" w:noHBand="0" w:noVBand="1"/>
            </w:tblPr>
            <w:tblGrid>
              <w:gridCol w:w="3536"/>
              <w:gridCol w:w="986"/>
              <w:gridCol w:w="987"/>
              <w:gridCol w:w="1267"/>
              <w:gridCol w:w="1972"/>
            </w:tblGrid>
            <w:tr w:rsidR="007709D9" w:rsidRPr="00303227" w14:paraId="4C57D2EA" w14:textId="77777777" w:rsidTr="005B5817">
              <w:trPr>
                <w:trHeight w:val="285"/>
              </w:trPr>
              <w:tc>
                <w:tcPr>
                  <w:tcW w:w="3559" w:type="dxa"/>
                  <w:tcBorders>
                    <w:left w:val="nil"/>
                    <w:bottom w:val="nil"/>
                    <w:right w:val="nil"/>
                  </w:tcBorders>
                  <w:shd w:val="clear" w:color="auto" w:fill="auto"/>
                  <w:noWrap/>
                  <w:vAlign w:val="center"/>
                  <w:hideMark/>
                </w:tcPr>
                <w:p w14:paraId="768EFF60" w14:textId="77777777" w:rsidR="007709D9" w:rsidRPr="00303227" w:rsidRDefault="007709D9" w:rsidP="005B5817">
                  <w:pPr>
                    <w:spacing w:after="0" w:line="360" w:lineRule="auto"/>
                    <w:rPr>
                      <w:rFonts w:ascii="Arial" w:eastAsia="Calibri" w:hAnsi="Arial" w:cs="Arial"/>
                      <w:sz w:val="18"/>
                      <w:szCs w:val="18"/>
                    </w:rPr>
                  </w:pPr>
                </w:p>
              </w:tc>
              <w:tc>
                <w:tcPr>
                  <w:tcW w:w="992" w:type="dxa"/>
                  <w:tcBorders>
                    <w:left w:val="nil"/>
                    <w:bottom w:val="nil"/>
                    <w:right w:val="single" w:sz="4" w:space="0" w:color="auto"/>
                  </w:tcBorders>
                  <w:shd w:val="clear" w:color="auto" w:fill="auto"/>
                  <w:noWrap/>
                  <w:vAlign w:val="center"/>
                  <w:hideMark/>
                </w:tcPr>
                <w:p w14:paraId="66E7EBA0" w14:textId="77777777" w:rsidR="007709D9" w:rsidRPr="00303227" w:rsidRDefault="007709D9" w:rsidP="005B5817">
                  <w:pPr>
                    <w:spacing w:after="0" w:line="360" w:lineRule="auto"/>
                    <w:rPr>
                      <w:rFonts w:ascii="Arial" w:eastAsia="Calibri" w:hAnsi="Arial" w:cs="Arial"/>
                      <w:sz w:val="18"/>
                      <w:szCs w:val="18"/>
                    </w:rPr>
                  </w:pPr>
                </w:p>
              </w:tc>
              <w:tc>
                <w:tcPr>
                  <w:tcW w:w="4253" w:type="dxa"/>
                  <w:gridSpan w:val="3"/>
                  <w:tcBorders>
                    <w:top w:val="single" w:sz="4" w:space="0" w:color="auto"/>
                    <w:left w:val="single" w:sz="4" w:space="0" w:color="auto"/>
                    <w:bottom w:val="nil"/>
                    <w:right w:val="single" w:sz="4" w:space="0" w:color="000000"/>
                  </w:tcBorders>
                  <w:shd w:val="clear" w:color="auto" w:fill="F2F2F2" w:themeFill="background1" w:themeFillShade="F2"/>
                  <w:noWrap/>
                  <w:vAlign w:val="center"/>
                  <w:hideMark/>
                </w:tcPr>
                <w:p w14:paraId="6A474CBD" w14:textId="77777777" w:rsidR="007709D9" w:rsidRPr="00303227" w:rsidRDefault="007709D9" w:rsidP="005B5817">
                  <w:pPr>
                    <w:spacing w:after="0" w:line="360" w:lineRule="auto"/>
                    <w:jc w:val="center"/>
                    <w:rPr>
                      <w:rFonts w:ascii="Arial" w:eastAsia="Calibri" w:hAnsi="Arial" w:cs="Arial"/>
                      <w:sz w:val="18"/>
                      <w:szCs w:val="18"/>
                    </w:rPr>
                  </w:pPr>
                  <w:bookmarkStart w:id="6" w:name="RANGE!D11:F14"/>
                  <w:r w:rsidRPr="00303227">
                    <w:rPr>
                      <w:rFonts w:ascii="Arial" w:eastAsia="Calibri" w:hAnsi="Arial" w:cs="Times New Roman"/>
                      <w:sz w:val="18"/>
                      <w:szCs w:val="18"/>
                    </w:rPr>
                    <w:t>Total</w:t>
                  </w:r>
                  <w:bookmarkEnd w:id="6"/>
                </w:p>
              </w:tc>
            </w:tr>
            <w:tr w:rsidR="007709D9" w:rsidRPr="00303227" w14:paraId="1864E7A7" w14:textId="77777777" w:rsidTr="005B5817">
              <w:trPr>
                <w:trHeight w:val="578"/>
              </w:trPr>
              <w:tc>
                <w:tcPr>
                  <w:tcW w:w="3559" w:type="dxa"/>
                  <w:tcBorders>
                    <w:top w:val="nil"/>
                    <w:left w:val="nil"/>
                    <w:bottom w:val="nil"/>
                    <w:right w:val="nil"/>
                  </w:tcBorders>
                  <w:shd w:val="clear" w:color="auto" w:fill="auto"/>
                  <w:noWrap/>
                  <w:vAlign w:val="center"/>
                  <w:hideMark/>
                </w:tcPr>
                <w:p w14:paraId="60433632" w14:textId="77777777" w:rsidR="007709D9" w:rsidRPr="00303227" w:rsidRDefault="007709D9" w:rsidP="005B5817">
                  <w:pPr>
                    <w:spacing w:after="0" w:line="360" w:lineRule="auto"/>
                    <w:rPr>
                      <w:rFonts w:ascii="Arial" w:eastAsia="Calibri" w:hAnsi="Arial" w:cs="Arial"/>
                      <w:sz w:val="18"/>
                      <w:szCs w:val="18"/>
                    </w:rPr>
                  </w:pPr>
                </w:p>
              </w:tc>
              <w:tc>
                <w:tcPr>
                  <w:tcW w:w="992" w:type="dxa"/>
                  <w:tcBorders>
                    <w:top w:val="nil"/>
                    <w:left w:val="nil"/>
                    <w:bottom w:val="nil"/>
                    <w:right w:val="nil"/>
                  </w:tcBorders>
                  <w:shd w:val="clear" w:color="auto" w:fill="auto"/>
                  <w:noWrap/>
                  <w:vAlign w:val="center"/>
                  <w:hideMark/>
                </w:tcPr>
                <w:p w14:paraId="0D82F82E" w14:textId="77777777" w:rsidR="007709D9" w:rsidRPr="00303227" w:rsidRDefault="007709D9" w:rsidP="005B5817">
                  <w:pPr>
                    <w:spacing w:after="0" w:line="360" w:lineRule="auto"/>
                    <w:rPr>
                      <w:rFonts w:ascii="Arial" w:eastAsia="Calibri" w:hAnsi="Arial" w:cs="Arial"/>
                      <w:sz w:val="18"/>
                      <w:szCs w:val="18"/>
                    </w:rPr>
                  </w:pPr>
                </w:p>
              </w:tc>
              <w:tc>
                <w:tcPr>
                  <w:tcW w:w="993" w:type="dxa"/>
                  <w:tcBorders>
                    <w:top w:val="nil"/>
                    <w:left w:val="single" w:sz="4" w:space="0" w:color="auto"/>
                    <w:bottom w:val="nil"/>
                    <w:right w:val="single" w:sz="4" w:space="0" w:color="auto"/>
                  </w:tcBorders>
                  <w:shd w:val="clear" w:color="auto" w:fill="F2F2F2" w:themeFill="background1" w:themeFillShade="F2"/>
                  <w:vAlign w:val="center"/>
                  <w:hideMark/>
                </w:tcPr>
                <w:p w14:paraId="7477B248" w14:textId="77777777" w:rsidR="007709D9" w:rsidRPr="00303227" w:rsidRDefault="007709D9" w:rsidP="005B5817">
                  <w:pPr>
                    <w:spacing w:after="0" w:line="360" w:lineRule="auto"/>
                    <w:rPr>
                      <w:rFonts w:ascii="Arial" w:eastAsia="Calibri" w:hAnsi="Arial" w:cs="Arial"/>
                      <w:sz w:val="18"/>
                      <w:szCs w:val="18"/>
                    </w:rPr>
                  </w:pPr>
                  <w:r w:rsidRPr="00303227">
                    <w:rPr>
                      <w:rFonts w:ascii="Arial" w:eastAsia="Calibri" w:hAnsi="Arial" w:cs="Times New Roman"/>
                      <w:sz w:val="18"/>
                      <w:szCs w:val="18"/>
                    </w:rPr>
                    <w:t> </w:t>
                  </w:r>
                </w:p>
              </w:tc>
              <w:tc>
                <w:tcPr>
                  <w:tcW w:w="3260" w:type="dxa"/>
                  <w:gridSpan w:val="2"/>
                  <w:tcBorders>
                    <w:top w:val="single" w:sz="4" w:space="0" w:color="auto"/>
                    <w:left w:val="single" w:sz="4" w:space="0" w:color="auto"/>
                    <w:bottom w:val="nil"/>
                    <w:right w:val="single" w:sz="4" w:space="0" w:color="000000"/>
                  </w:tcBorders>
                  <w:shd w:val="clear" w:color="auto" w:fill="F2F2F2" w:themeFill="background1" w:themeFillShade="F2"/>
                  <w:vAlign w:val="center"/>
                  <w:hideMark/>
                </w:tcPr>
                <w:p w14:paraId="2EFF6F7D" w14:textId="77777777" w:rsidR="007709D9" w:rsidRPr="00303227" w:rsidRDefault="007709D9" w:rsidP="005B581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Territoire national</w:t>
                  </w:r>
                </w:p>
              </w:tc>
            </w:tr>
            <w:tr w:rsidR="007709D9" w:rsidRPr="00303227" w14:paraId="5E480576" w14:textId="77777777" w:rsidTr="005B5817">
              <w:trPr>
                <w:trHeight w:val="300"/>
              </w:trPr>
              <w:tc>
                <w:tcPr>
                  <w:tcW w:w="3559" w:type="dxa"/>
                  <w:tcBorders>
                    <w:top w:val="nil"/>
                    <w:left w:val="nil"/>
                    <w:right w:val="nil"/>
                  </w:tcBorders>
                  <w:shd w:val="clear" w:color="auto" w:fill="auto"/>
                  <w:noWrap/>
                  <w:vAlign w:val="center"/>
                  <w:hideMark/>
                </w:tcPr>
                <w:p w14:paraId="7217B1F4" w14:textId="77777777" w:rsidR="007709D9" w:rsidRPr="00303227" w:rsidRDefault="007709D9" w:rsidP="005B5817">
                  <w:pPr>
                    <w:spacing w:after="0" w:line="360" w:lineRule="auto"/>
                    <w:rPr>
                      <w:rFonts w:ascii="Arial" w:eastAsia="Calibri" w:hAnsi="Arial" w:cs="Arial"/>
                      <w:sz w:val="18"/>
                      <w:szCs w:val="18"/>
                    </w:rPr>
                  </w:pPr>
                </w:p>
              </w:tc>
              <w:tc>
                <w:tcPr>
                  <w:tcW w:w="992" w:type="dxa"/>
                  <w:tcBorders>
                    <w:top w:val="nil"/>
                    <w:left w:val="nil"/>
                    <w:right w:val="nil"/>
                  </w:tcBorders>
                  <w:shd w:val="clear" w:color="auto" w:fill="auto"/>
                  <w:noWrap/>
                  <w:vAlign w:val="center"/>
                  <w:hideMark/>
                </w:tcPr>
                <w:p w14:paraId="1212D800" w14:textId="77777777" w:rsidR="007709D9" w:rsidRPr="00303227" w:rsidRDefault="007709D9" w:rsidP="005B5817">
                  <w:pPr>
                    <w:spacing w:after="0" w:line="360" w:lineRule="auto"/>
                    <w:rPr>
                      <w:rFonts w:ascii="Arial" w:eastAsia="Calibri" w:hAnsi="Arial" w:cs="Arial"/>
                      <w:sz w:val="18"/>
                      <w:szCs w:val="18"/>
                    </w:rPr>
                  </w:pPr>
                </w:p>
              </w:tc>
              <w:tc>
                <w:tcPr>
                  <w:tcW w:w="993" w:type="dxa"/>
                  <w:tcBorders>
                    <w:top w:val="nil"/>
                    <w:left w:val="single" w:sz="4" w:space="0" w:color="auto"/>
                    <w:bottom w:val="nil"/>
                    <w:right w:val="single" w:sz="4" w:space="0" w:color="auto"/>
                  </w:tcBorders>
                  <w:shd w:val="clear" w:color="auto" w:fill="F2F2F2" w:themeFill="background1" w:themeFillShade="F2"/>
                  <w:vAlign w:val="center"/>
                  <w:hideMark/>
                </w:tcPr>
                <w:p w14:paraId="77F5434D" w14:textId="77777777" w:rsidR="007709D9" w:rsidRPr="00303227" w:rsidRDefault="007709D9" w:rsidP="005B5817">
                  <w:pPr>
                    <w:spacing w:after="0" w:line="360" w:lineRule="auto"/>
                    <w:rPr>
                      <w:rFonts w:ascii="Arial" w:eastAsia="Calibri" w:hAnsi="Arial" w:cs="Arial"/>
                      <w:sz w:val="18"/>
                      <w:szCs w:val="18"/>
                    </w:rPr>
                  </w:pPr>
                  <w:r w:rsidRPr="00303227">
                    <w:rPr>
                      <w:rFonts w:ascii="Arial" w:eastAsia="Calibri" w:hAnsi="Arial" w:cs="Times New Roman"/>
                      <w:sz w:val="18"/>
                      <w:szCs w:val="18"/>
                    </w:rPr>
                    <w:t> </w:t>
                  </w:r>
                </w:p>
              </w:tc>
              <w:tc>
                <w:tcPr>
                  <w:tcW w:w="1275" w:type="dxa"/>
                  <w:tcBorders>
                    <w:top w:val="nil"/>
                    <w:left w:val="nil"/>
                    <w:bottom w:val="nil"/>
                    <w:right w:val="single" w:sz="4" w:space="0" w:color="auto"/>
                  </w:tcBorders>
                  <w:shd w:val="clear" w:color="auto" w:fill="F2F2F2" w:themeFill="background1" w:themeFillShade="F2"/>
                  <w:vAlign w:val="center"/>
                  <w:hideMark/>
                </w:tcPr>
                <w:p w14:paraId="1723CFDF" w14:textId="77777777" w:rsidR="007709D9" w:rsidRPr="00303227" w:rsidRDefault="007709D9" w:rsidP="005B5817">
                  <w:pPr>
                    <w:spacing w:after="0" w:line="360" w:lineRule="auto"/>
                    <w:rPr>
                      <w:rFonts w:ascii="Arial" w:eastAsia="Calibri" w:hAnsi="Arial" w:cs="Arial"/>
                      <w:sz w:val="18"/>
                      <w:szCs w:val="18"/>
                    </w:rPr>
                  </w:pPr>
                  <w:r w:rsidRPr="00303227">
                    <w:rPr>
                      <w:rFonts w:ascii="Arial" w:eastAsia="Calibri" w:hAnsi="Arial" w:cs="Times New Roman"/>
                      <w:sz w:val="18"/>
                      <w:szCs w:val="18"/>
                    </w:rPr>
                    <w:t> </w:t>
                  </w:r>
                </w:p>
              </w:tc>
              <w:tc>
                <w:tcPr>
                  <w:tcW w:w="1985" w:type="dxa"/>
                  <w:tcBorders>
                    <w:top w:val="single" w:sz="4" w:space="0" w:color="auto"/>
                    <w:left w:val="nil"/>
                    <w:bottom w:val="nil"/>
                    <w:right w:val="single" w:sz="4" w:space="0" w:color="auto"/>
                  </w:tcBorders>
                  <w:shd w:val="clear" w:color="auto" w:fill="F2F2F2" w:themeFill="background1" w:themeFillShade="F2"/>
                  <w:vAlign w:val="center"/>
                  <w:hideMark/>
                </w:tcPr>
                <w:p w14:paraId="53EA4AE5" w14:textId="77777777" w:rsidR="007709D9" w:rsidRPr="00303227" w:rsidRDefault="007709D9" w:rsidP="005B581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IFM (S.121+122)</w:t>
                  </w:r>
                </w:p>
              </w:tc>
            </w:tr>
            <w:tr w:rsidR="007709D9" w:rsidRPr="00303227" w14:paraId="6FB16851" w14:textId="77777777" w:rsidTr="005B5817">
              <w:trPr>
                <w:trHeight w:val="300"/>
              </w:trPr>
              <w:tc>
                <w:tcPr>
                  <w:tcW w:w="3559" w:type="dxa"/>
                  <w:tcBorders>
                    <w:top w:val="nil"/>
                    <w:left w:val="nil"/>
                    <w:bottom w:val="nil"/>
                    <w:right w:val="nil"/>
                  </w:tcBorders>
                  <w:shd w:val="clear" w:color="auto" w:fill="auto"/>
                  <w:noWrap/>
                  <w:vAlign w:val="bottom"/>
                  <w:hideMark/>
                </w:tcPr>
                <w:p w14:paraId="0C066AA5" w14:textId="77777777" w:rsidR="007709D9" w:rsidRPr="00303227" w:rsidRDefault="007709D9" w:rsidP="005B5817">
                  <w:pPr>
                    <w:spacing w:after="0" w:line="360" w:lineRule="auto"/>
                    <w:ind w:firstLineChars="100" w:firstLine="180"/>
                    <w:rPr>
                      <w:rFonts w:ascii="Arial" w:eastAsia="Calibri" w:hAnsi="Arial" w:cs="Arial"/>
                      <w:sz w:val="18"/>
                      <w:szCs w:val="18"/>
                    </w:rPr>
                  </w:pPr>
                </w:p>
              </w:tc>
              <w:tc>
                <w:tcPr>
                  <w:tcW w:w="992" w:type="dxa"/>
                  <w:tcBorders>
                    <w:top w:val="nil"/>
                    <w:left w:val="nil"/>
                    <w:bottom w:val="nil"/>
                    <w:right w:val="nil"/>
                  </w:tcBorders>
                  <w:shd w:val="clear" w:color="auto" w:fill="auto"/>
                  <w:noWrap/>
                  <w:vAlign w:val="bottom"/>
                  <w:hideMark/>
                </w:tcPr>
                <w:p w14:paraId="6D35E932" w14:textId="77777777" w:rsidR="007709D9" w:rsidRPr="00303227" w:rsidRDefault="007709D9" w:rsidP="005B5817">
                  <w:pPr>
                    <w:spacing w:after="0" w:line="360" w:lineRule="auto"/>
                    <w:ind w:firstLineChars="100" w:firstLine="180"/>
                    <w:rPr>
                      <w:rFonts w:ascii="Arial" w:eastAsia="Calibri" w:hAnsi="Arial" w:cs="Arial"/>
                      <w:sz w:val="18"/>
                      <w:szCs w:val="18"/>
                    </w:rPr>
                  </w:pPr>
                </w:p>
              </w:tc>
              <w:tc>
                <w:tcPr>
                  <w:tcW w:w="993" w:type="dxa"/>
                  <w:tcBorders>
                    <w:top w:val="nil"/>
                    <w:left w:val="single" w:sz="4" w:space="0" w:color="auto"/>
                    <w:bottom w:val="nil"/>
                    <w:right w:val="single" w:sz="4" w:space="0" w:color="auto"/>
                  </w:tcBorders>
                  <w:shd w:val="clear" w:color="auto" w:fill="F2F2F2" w:themeFill="background1" w:themeFillShade="F2"/>
                  <w:vAlign w:val="center"/>
                  <w:hideMark/>
                </w:tcPr>
                <w:p w14:paraId="48401847" w14:textId="77777777" w:rsidR="007709D9" w:rsidRPr="00303227" w:rsidRDefault="007709D9" w:rsidP="005B5817">
                  <w:pPr>
                    <w:spacing w:after="0" w:line="360" w:lineRule="auto"/>
                    <w:rPr>
                      <w:rFonts w:ascii="Arial" w:eastAsia="Calibri" w:hAnsi="Arial" w:cs="Arial"/>
                      <w:sz w:val="18"/>
                      <w:szCs w:val="18"/>
                    </w:rPr>
                  </w:pPr>
                  <w:r w:rsidRPr="00303227">
                    <w:rPr>
                      <w:rFonts w:ascii="Arial" w:eastAsia="Calibri" w:hAnsi="Arial" w:cs="Times New Roman"/>
                      <w:sz w:val="18"/>
                      <w:szCs w:val="18"/>
                    </w:rPr>
                    <w:t> </w:t>
                  </w:r>
                </w:p>
              </w:tc>
              <w:tc>
                <w:tcPr>
                  <w:tcW w:w="1275" w:type="dxa"/>
                  <w:tcBorders>
                    <w:top w:val="nil"/>
                    <w:left w:val="nil"/>
                    <w:bottom w:val="nil"/>
                    <w:right w:val="single" w:sz="4" w:space="0" w:color="auto"/>
                  </w:tcBorders>
                  <w:shd w:val="clear" w:color="auto" w:fill="F2F2F2" w:themeFill="background1" w:themeFillShade="F2"/>
                  <w:vAlign w:val="center"/>
                  <w:hideMark/>
                </w:tcPr>
                <w:p w14:paraId="5DF03209" w14:textId="77777777" w:rsidR="007709D9" w:rsidRPr="00303227" w:rsidRDefault="007709D9" w:rsidP="005B5817">
                  <w:pPr>
                    <w:spacing w:after="0" w:line="360" w:lineRule="auto"/>
                    <w:rPr>
                      <w:rFonts w:ascii="Arial" w:eastAsia="Calibri" w:hAnsi="Arial" w:cs="Arial"/>
                      <w:sz w:val="18"/>
                      <w:szCs w:val="18"/>
                    </w:rPr>
                  </w:pPr>
                  <w:r w:rsidRPr="00303227">
                    <w:rPr>
                      <w:rFonts w:ascii="Arial" w:eastAsia="Calibri" w:hAnsi="Arial" w:cs="Times New Roman"/>
                      <w:sz w:val="18"/>
                      <w:szCs w:val="18"/>
                    </w:rPr>
                    <w:t> </w:t>
                  </w:r>
                </w:p>
              </w:tc>
              <w:tc>
                <w:tcPr>
                  <w:tcW w:w="1985" w:type="dxa"/>
                  <w:tcBorders>
                    <w:top w:val="nil"/>
                    <w:left w:val="nil"/>
                    <w:bottom w:val="nil"/>
                    <w:right w:val="single" w:sz="4" w:space="0" w:color="auto"/>
                  </w:tcBorders>
                  <w:shd w:val="clear" w:color="auto" w:fill="F2F2F2" w:themeFill="background1" w:themeFillShade="F2"/>
                  <w:vAlign w:val="center"/>
                  <w:hideMark/>
                </w:tcPr>
                <w:p w14:paraId="62BC5FBB" w14:textId="77777777" w:rsidR="007709D9" w:rsidRPr="00303227" w:rsidRDefault="007709D9" w:rsidP="005B5817">
                  <w:pPr>
                    <w:spacing w:after="0" w:line="360" w:lineRule="auto"/>
                    <w:rPr>
                      <w:rFonts w:ascii="Arial" w:eastAsia="Calibri" w:hAnsi="Arial" w:cs="Arial"/>
                      <w:sz w:val="18"/>
                      <w:szCs w:val="18"/>
                    </w:rPr>
                  </w:pPr>
                  <w:r w:rsidRPr="00303227">
                    <w:rPr>
                      <w:rFonts w:ascii="Arial" w:eastAsia="Calibri" w:hAnsi="Arial" w:cs="Times New Roman"/>
                      <w:sz w:val="18"/>
                      <w:szCs w:val="18"/>
                    </w:rPr>
                    <w:t> </w:t>
                  </w:r>
                </w:p>
              </w:tc>
            </w:tr>
            <w:tr w:rsidR="007709D9" w:rsidRPr="00303227" w14:paraId="3DD0ECCB" w14:textId="77777777" w:rsidTr="005B5817">
              <w:trPr>
                <w:trHeight w:val="300"/>
              </w:trPr>
              <w:tc>
                <w:tcPr>
                  <w:tcW w:w="3559" w:type="dxa"/>
                  <w:tcBorders>
                    <w:top w:val="nil"/>
                    <w:left w:val="nil"/>
                    <w:bottom w:val="single" w:sz="4" w:space="0" w:color="auto"/>
                    <w:right w:val="nil"/>
                  </w:tcBorders>
                  <w:shd w:val="clear" w:color="auto" w:fill="auto"/>
                  <w:noWrap/>
                  <w:vAlign w:val="bottom"/>
                  <w:hideMark/>
                </w:tcPr>
                <w:p w14:paraId="03FBCE09" w14:textId="77777777" w:rsidR="007709D9" w:rsidRPr="00303227" w:rsidRDefault="007709D9" w:rsidP="005B5817">
                  <w:pPr>
                    <w:spacing w:after="0" w:line="360" w:lineRule="auto"/>
                    <w:ind w:firstLineChars="100" w:firstLine="180"/>
                    <w:rPr>
                      <w:rFonts w:ascii="Arial" w:eastAsia="Calibri" w:hAnsi="Arial" w:cs="Arial"/>
                      <w:sz w:val="18"/>
                      <w:szCs w:val="18"/>
                    </w:rPr>
                  </w:pPr>
                </w:p>
              </w:tc>
              <w:tc>
                <w:tcPr>
                  <w:tcW w:w="992" w:type="dxa"/>
                  <w:tcBorders>
                    <w:top w:val="nil"/>
                    <w:left w:val="nil"/>
                    <w:bottom w:val="single" w:sz="4" w:space="0" w:color="auto"/>
                    <w:right w:val="nil"/>
                  </w:tcBorders>
                  <w:shd w:val="clear" w:color="auto" w:fill="auto"/>
                  <w:noWrap/>
                  <w:vAlign w:val="bottom"/>
                  <w:hideMark/>
                </w:tcPr>
                <w:p w14:paraId="6E1BE43E" w14:textId="77777777" w:rsidR="007709D9" w:rsidRPr="00303227" w:rsidRDefault="007709D9" w:rsidP="005B5817">
                  <w:pPr>
                    <w:spacing w:after="0" w:line="360" w:lineRule="auto"/>
                    <w:ind w:firstLineChars="100" w:firstLine="180"/>
                    <w:rPr>
                      <w:rFonts w:ascii="Arial" w:eastAsia="Calibri" w:hAnsi="Arial" w:cs="Arial"/>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3F100879" w14:textId="77777777" w:rsidR="007709D9" w:rsidRPr="00303227" w:rsidRDefault="007709D9" w:rsidP="005B581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EC0010</w:t>
                  </w:r>
                </w:p>
              </w:tc>
              <w:tc>
                <w:tcPr>
                  <w:tcW w:w="1275"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6521DDCD" w14:textId="77777777" w:rsidR="007709D9" w:rsidRPr="00303227" w:rsidRDefault="007709D9" w:rsidP="005B581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EC0020</w:t>
                  </w:r>
                </w:p>
              </w:tc>
              <w:tc>
                <w:tcPr>
                  <w:tcW w:w="1985"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5F46E520" w14:textId="77777777" w:rsidR="007709D9" w:rsidRPr="00303227" w:rsidRDefault="007709D9" w:rsidP="005B581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EC0030</w:t>
                  </w:r>
                </w:p>
              </w:tc>
            </w:tr>
            <w:tr w:rsidR="007709D9" w:rsidRPr="00303227" w14:paraId="697357E5" w14:textId="77777777" w:rsidTr="005B5817">
              <w:trPr>
                <w:trHeight w:val="300"/>
              </w:trPr>
              <w:tc>
                <w:tcPr>
                  <w:tcW w:w="3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1318FE5E" w14:textId="77777777" w:rsidR="007709D9" w:rsidRPr="00303227" w:rsidRDefault="007709D9" w:rsidP="005B5817">
                  <w:pPr>
                    <w:spacing w:after="0" w:line="360" w:lineRule="auto"/>
                    <w:rPr>
                      <w:rFonts w:ascii="Arial" w:eastAsia="Calibri" w:hAnsi="Arial" w:cs="Arial"/>
                      <w:sz w:val="18"/>
                      <w:szCs w:val="18"/>
                    </w:rPr>
                  </w:pPr>
                  <w:r w:rsidRPr="00303227">
                    <w:rPr>
                      <w:rFonts w:ascii="Arial" w:eastAsia="Calibri" w:hAnsi="Arial" w:cs="Times New Roman"/>
                      <w:sz w:val="18"/>
                      <w:szCs w:val="18"/>
                    </w:rPr>
                    <w:t>10. Prêts reçus (SEC 2010 : F.4)</w:t>
                  </w:r>
                </w:p>
              </w:tc>
              <w:tc>
                <w:tcPr>
                  <w:tcW w:w="992"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40E30EBA" w14:textId="77777777" w:rsidR="007709D9" w:rsidRPr="00303227" w:rsidRDefault="007709D9" w:rsidP="005B5817">
                  <w:pPr>
                    <w:spacing w:after="0" w:line="360" w:lineRule="auto"/>
                    <w:rPr>
                      <w:rFonts w:ascii="Arial" w:eastAsia="Calibri" w:hAnsi="Arial" w:cs="Arial"/>
                      <w:sz w:val="18"/>
                      <w:szCs w:val="18"/>
                    </w:rPr>
                  </w:pPr>
                  <w:r w:rsidRPr="00303227">
                    <w:rPr>
                      <w:rFonts w:ascii="Arial" w:eastAsia="Calibri" w:hAnsi="Arial" w:cs="Times New Roman"/>
                      <w:sz w:val="18"/>
                      <w:szCs w:val="18"/>
                    </w:rPr>
                    <w:t>ER0020</w:t>
                  </w:r>
                </w:p>
              </w:tc>
              <w:tc>
                <w:tcPr>
                  <w:tcW w:w="993"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61B8C059" w14:textId="77777777" w:rsidR="007709D9" w:rsidRPr="00303227" w:rsidRDefault="007709D9" w:rsidP="005B5817">
                  <w:pPr>
                    <w:spacing w:after="0" w:line="360" w:lineRule="auto"/>
                    <w:jc w:val="center"/>
                    <w:rPr>
                      <w:rFonts w:ascii="Arial" w:eastAsia="Calibri" w:hAnsi="Arial" w:cs="Arial"/>
                      <w:sz w:val="18"/>
                      <w:szCs w:val="18"/>
                    </w:rPr>
                  </w:pPr>
                </w:p>
              </w:tc>
              <w:tc>
                <w:tcPr>
                  <w:tcW w:w="1275"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07B7FAD1" w14:textId="77777777" w:rsidR="007709D9" w:rsidRPr="00303227" w:rsidRDefault="007709D9" w:rsidP="005B5817">
                  <w:pPr>
                    <w:spacing w:after="0" w:line="360" w:lineRule="auto"/>
                    <w:jc w:val="center"/>
                    <w:rPr>
                      <w:rFonts w:ascii="Arial" w:eastAsia="Calibri" w:hAnsi="Arial" w:cs="Arial"/>
                      <w:sz w:val="18"/>
                      <w:szCs w:val="18"/>
                    </w:rPr>
                  </w:pPr>
                </w:p>
              </w:tc>
              <w:tc>
                <w:tcPr>
                  <w:tcW w:w="1985"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381DC74B" w14:textId="77777777" w:rsidR="007709D9" w:rsidRPr="00303227" w:rsidRDefault="007709D9" w:rsidP="005B5817">
                  <w:pPr>
                    <w:spacing w:after="0" w:line="360" w:lineRule="auto"/>
                    <w:jc w:val="center"/>
                    <w:rPr>
                      <w:rFonts w:ascii="Arial" w:eastAsia="Calibri" w:hAnsi="Arial" w:cs="Arial"/>
                      <w:sz w:val="18"/>
                      <w:szCs w:val="18"/>
                    </w:rPr>
                  </w:pPr>
                </w:p>
              </w:tc>
            </w:tr>
            <w:tr w:rsidR="007709D9" w:rsidRPr="00303227" w14:paraId="52316789" w14:textId="77777777" w:rsidTr="005B5817">
              <w:trPr>
                <w:trHeight w:val="300"/>
              </w:trPr>
              <w:tc>
                <w:tcPr>
                  <w:tcW w:w="3559" w:type="dxa"/>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14:paraId="08FFC942" w14:textId="77777777" w:rsidR="007709D9" w:rsidRPr="00303227" w:rsidRDefault="007709D9" w:rsidP="005B5817">
                  <w:pPr>
                    <w:spacing w:after="0" w:line="360" w:lineRule="auto"/>
                    <w:rPr>
                      <w:rFonts w:ascii="Arial" w:eastAsia="Calibri" w:hAnsi="Arial" w:cs="Arial"/>
                      <w:sz w:val="18"/>
                      <w:szCs w:val="18"/>
                    </w:rPr>
                  </w:pPr>
                  <w:r w:rsidRPr="00303227">
                    <w:rPr>
                      <w:rFonts w:ascii="Arial" w:eastAsia="Calibri" w:hAnsi="Arial" w:cs="Times New Roman"/>
                      <w:sz w:val="18"/>
                      <w:szCs w:val="18"/>
                    </w:rPr>
                    <w:t xml:space="preserve"> Durée &lt; ou = à 1 an</w:t>
                  </w:r>
                </w:p>
              </w:tc>
              <w:tc>
                <w:tcPr>
                  <w:tcW w:w="992" w:type="dxa"/>
                  <w:tcBorders>
                    <w:top w:val="nil"/>
                    <w:left w:val="nil"/>
                    <w:bottom w:val="single" w:sz="4" w:space="0" w:color="auto"/>
                    <w:right w:val="single" w:sz="4" w:space="0" w:color="auto"/>
                  </w:tcBorders>
                  <w:shd w:val="clear" w:color="auto" w:fill="F2F2F2" w:themeFill="background1" w:themeFillShade="F2"/>
                  <w:noWrap/>
                  <w:vAlign w:val="center"/>
                  <w:hideMark/>
                </w:tcPr>
                <w:p w14:paraId="57D88D04" w14:textId="77777777" w:rsidR="007709D9" w:rsidRPr="00303227" w:rsidRDefault="007709D9" w:rsidP="005B5817">
                  <w:pPr>
                    <w:spacing w:after="0" w:line="360" w:lineRule="auto"/>
                    <w:rPr>
                      <w:rFonts w:ascii="Arial" w:eastAsia="Calibri" w:hAnsi="Arial" w:cs="Arial"/>
                      <w:sz w:val="18"/>
                      <w:szCs w:val="18"/>
                    </w:rPr>
                  </w:pPr>
                  <w:r w:rsidRPr="00303227">
                    <w:rPr>
                      <w:rFonts w:ascii="Arial" w:eastAsia="Calibri" w:hAnsi="Arial" w:cs="Times New Roman"/>
                      <w:sz w:val="18"/>
                      <w:szCs w:val="18"/>
                    </w:rPr>
                    <w:t>ER0030</w:t>
                  </w:r>
                </w:p>
              </w:tc>
              <w:tc>
                <w:tcPr>
                  <w:tcW w:w="993" w:type="dxa"/>
                  <w:tcBorders>
                    <w:top w:val="nil"/>
                    <w:left w:val="nil"/>
                    <w:bottom w:val="single" w:sz="4" w:space="0" w:color="auto"/>
                    <w:right w:val="single" w:sz="4" w:space="0" w:color="auto"/>
                  </w:tcBorders>
                  <w:shd w:val="clear" w:color="auto" w:fill="F2F2F2" w:themeFill="background1" w:themeFillShade="F2"/>
                  <w:noWrap/>
                  <w:vAlign w:val="center"/>
                  <w:hideMark/>
                </w:tcPr>
                <w:p w14:paraId="29A6BA75" w14:textId="77777777" w:rsidR="007709D9" w:rsidRPr="00303227" w:rsidRDefault="007709D9" w:rsidP="005B581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-100</w:t>
                  </w:r>
                </w:p>
              </w:tc>
              <w:tc>
                <w:tcPr>
                  <w:tcW w:w="1275" w:type="dxa"/>
                  <w:tcBorders>
                    <w:top w:val="nil"/>
                    <w:left w:val="nil"/>
                    <w:bottom w:val="single" w:sz="4" w:space="0" w:color="auto"/>
                    <w:right w:val="single" w:sz="4" w:space="0" w:color="auto"/>
                  </w:tcBorders>
                  <w:shd w:val="clear" w:color="auto" w:fill="F2F2F2" w:themeFill="background1" w:themeFillShade="F2"/>
                  <w:noWrap/>
                  <w:vAlign w:val="center"/>
                  <w:hideMark/>
                </w:tcPr>
                <w:p w14:paraId="7C4BD279" w14:textId="77777777" w:rsidR="007709D9" w:rsidRPr="00303227" w:rsidRDefault="007709D9" w:rsidP="005B581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-100</w:t>
                  </w:r>
                </w:p>
              </w:tc>
              <w:tc>
                <w:tcPr>
                  <w:tcW w:w="1985" w:type="dxa"/>
                  <w:tcBorders>
                    <w:top w:val="nil"/>
                    <w:left w:val="nil"/>
                    <w:bottom w:val="single" w:sz="4" w:space="0" w:color="auto"/>
                    <w:right w:val="single" w:sz="4" w:space="0" w:color="auto"/>
                  </w:tcBorders>
                  <w:shd w:val="clear" w:color="auto" w:fill="F2F2F2" w:themeFill="background1" w:themeFillShade="F2"/>
                  <w:noWrap/>
                  <w:vAlign w:val="center"/>
                  <w:hideMark/>
                </w:tcPr>
                <w:p w14:paraId="03D6601A" w14:textId="77777777" w:rsidR="007709D9" w:rsidRPr="00303227" w:rsidRDefault="007709D9" w:rsidP="005B581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-100</w:t>
                  </w:r>
                </w:p>
              </w:tc>
            </w:tr>
            <w:tr w:rsidR="007709D9" w:rsidRPr="00303227" w14:paraId="3CB57375" w14:textId="77777777" w:rsidTr="005B5817">
              <w:trPr>
                <w:trHeight w:val="300"/>
              </w:trPr>
              <w:tc>
                <w:tcPr>
                  <w:tcW w:w="3559" w:type="dxa"/>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14:paraId="4C5DE569" w14:textId="77777777" w:rsidR="007709D9" w:rsidRPr="00303227" w:rsidRDefault="007709D9" w:rsidP="005B5817">
                  <w:pPr>
                    <w:spacing w:after="0" w:line="360" w:lineRule="auto"/>
                    <w:rPr>
                      <w:rFonts w:ascii="Arial" w:eastAsia="Calibri" w:hAnsi="Arial" w:cs="Arial"/>
                      <w:sz w:val="18"/>
                      <w:szCs w:val="18"/>
                    </w:rPr>
                  </w:pPr>
                  <w:r w:rsidRPr="00303227">
                    <w:rPr>
                      <w:rFonts w:ascii="Arial" w:eastAsia="Calibri" w:hAnsi="Arial" w:cs="Times New Roman"/>
                      <w:sz w:val="18"/>
                      <w:szCs w:val="18"/>
                    </w:rPr>
                    <w:t xml:space="preserve"> Durée &gt; à 1 an et &lt; ou = à 5 ans</w:t>
                  </w:r>
                </w:p>
              </w:tc>
              <w:tc>
                <w:tcPr>
                  <w:tcW w:w="992" w:type="dxa"/>
                  <w:tcBorders>
                    <w:top w:val="nil"/>
                    <w:left w:val="nil"/>
                    <w:bottom w:val="single" w:sz="4" w:space="0" w:color="auto"/>
                    <w:right w:val="single" w:sz="4" w:space="0" w:color="auto"/>
                  </w:tcBorders>
                  <w:shd w:val="clear" w:color="auto" w:fill="F2F2F2" w:themeFill="background1" w:themeFillShade="F2"/>
                  <w:noWrap/>
                  <w:vAlign w:val="center"/>
                  <w:hideMark/>
                </w:tcPr>
                <w:p w14:paraId="4936C389" w14:textId="77777777" w:rsidR="007709D9" w:rsidRPr="00303227" w:rsidRDefault="007709D9" w:rsidP="005B5817">
                  <w:pPr>
                    <w:spacing w:after="0" w:line="360" w:lineRule="auto"/>
                    <w:rPr>
                      <w:rFonts w:ascii="Arial" w:eastAsia="Calibri" w:hAnsi="Arial" w:cs="Arial"/>
                      <w:sz w:val="18"/>
                      <w:szCs w:val="18"/>
                    </w:rPr>
                  </w:pPr>
                  <w:r w:rsidRPr="00303227">
                    <w:rPr>
                      <w:rFonts w:ascii="Arial" w:eastAsia="Calibri" w:hAnsi="Arial" w:cs="Times New Roman"/>
                      <w:sz w:val="18"/>
                      <w:szCs w:val="18"/>
                    </w:rPr>
                    <w:t>ER0040</w:t>
                  </w:r>
                </w:p>
              </w:tc>
              <w:tc>
                <w:tcPr>
                  <w:tcW w:w="993" w:type="dxa"/>
                  <w:tcBorders>
                    <w:top w:val="nil"/>
                    <w:left w:val="nil"/>
                    <w:bottom w:val="single" w:sz="4" w:space="0" w:color="auto"/>
                    <w:right w:val="single" w:sz="4" w:space="0" w:color="auto"/>
                  </w:tcBorders>
                  <w:shd w:val="clear" w:color="auto" w:fill="F2F2F2" w:themeFill="background1" w:themeFillShade="F2"/>
                  <w:noWrap/>
                  <w:vAlign w:val="center"/>
                  <w:hideMark/>
                </w:tcPr>
                <w:p w14:paraId="54F8492B" w14:textId="77777777" w:rsidR="007709D9" w:rsidRPr="00303227" w:rsidRDefault="007709D9" w:rsidP="005B581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+100</w:t>
                  </w:r>
                </w:p>
              </w:tc>
              <w:tc>
                <w:tcPr>
                  <w:tcW w:w="1275" w:type="dxa"/>
                  <w:tcBorders>
                    <w:top w:val="nil"/>
                    <w:left w:val="nil"/>
                    <w:bottom w:val="single" w:sz="4" w:space="0" w:color="auto"/>
                    <w:right w:val="single" w:sz="4" w:space="0" w:color="auto"/>
                  </w:tcBorders>
                  <w:shd w:val="clear" w:color="auto" w:fill="F2F2F2" w:themeFill="background1" w:themeFillShade="F2"/>
                  <w:noWrap/>
                  <w:vAlign w:val="center"/>
                  <w:hideMark/>
                </w:tcPr>
                <w:p w14:paraId="541BCDC3" w14:textId="77777777" w:rsidR="007709D9" w:rsidRPr="00303227" w:rsidRDefault="007709D9" w:rsidP="005B581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+100</w:t>
                  </w:r>
                </w:p>
              </w:tc>
              <w:tc>
                <w:tcPr>
                  <w:tcW w:w="1985" w:type="dxa"/>
                  <w:tcBorders>
                    <w:top w:val="nil"/>
                    <w:left w:val="nil"/>
                    <w:bottom w:val="single" w:sz="4" w:space="0" w:color="auto"/>
                    <w:right w:val="single" w:sz="4" w:space="0" w:color="auto"/>
                  </w:tcBorders>
                  <w:shd w:val="clear" w:color="auto" w:fill="F2F2F2" w:themeFill="background1" w:themeFillShade="F2"/>
                  <w:noWrap/>
                  <w:vAlign w:val="center"/>
                  <w:hideMark/>
                </w:tcPr>
                <w:p w14:paraId="49B19532" w14:textId="77777777" w:rsidR="007709D9" w:rsidRPr="00303227" w:rsidRDefault="007709D9" w:rsidP="005B581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+100</w:t>
                  </w:r>
                </w:p>
              </w:tc>
            </w:tr>
          </w:tbl>
          <w:p w14:paraId="181B369C" w14:textId="77777777" w:rsidR="007709D9" w:rsidRPr="00303227" w:rsidRDefault="007709D9" w:rsidP="005B5817">
            <w:pPr>
              <w:spacing w:line="360" w:lineRule="auto"/>
              <w:jc w:val="both"/>
              <w:rPr>
                <w:rFonts w:ascii="Arial" w:eastAsia="Calibri" w:hAnsi="Arial" w:cs="Arial"/>
                <w:sz w:val="18"/>
                <w:szCs w:val="18"/>
              </w:rPr>
            </w:pPr>
          </w:p>
        </w:tc>
      </w:tr>
    </w:tbl>
    <w:p w14:paraId="2005319E" w14:textId="77777777" w:rsidR="007709D9" w:rsidRPr="00303227" w:rsidRDefault="007709D9" w:rsidP="007709D9">
      <w:pPr>
        <w:spacing w:line="360" w:lineRule="auto"/>
        <w:jc w:val="both"/>
        <w:rPr>
          <w:rFonts w:ascii="Arial" w:eastAsia="Calibri" w:hAnsi="Arial" w:cs="Arial"/>
          <w:sz w:val="18"/>
          <w:szCs w:val="18"/>
        </w:rPr>
      </w:pPr>
    </w:p>
    <w:p w14:paraId="024D3E36" w14:textId="77777777" w:rsidR="007709D9" w:rsidRPr="00303227" w:rsidRDefault="007709D9" w:rsidP="007709D9">
      <w:pPr>
        <w:spacing w:line="360" w:lineRule="auto"/>
        <w:jc w:val="both"/>
        <w:rPr>
          <w:rFonts w:ascii="Arial" w:eastAsia="Calibri" w:hAnsi="Arial" w:cs="Arial"/>
          <w:sz w:val="18"/>
          <w:szCs w:val="18"/>
        </w:rPr>
      </w:pPr>
      <w:r w:rsidRPr="00303227">
        <w:rPr>
          <w:rFonts w:ascii="Arial" w:eastAsia="Calibri" w:hAnsi="Arial" w:cs="Times New Roman"/>
          <w:sz w:val="18"/>
          <w:szCs w:val="18"/>
        </w:rPr>
        <w:t>Dans le troisième cas, les encours d’actifs/passifs totaux sont modifiés sous l’effet d’autres changements de volume. Ce type d’autre changement de volume peut être soumis, par exemple, à la suite d’une erreur de calcul ou de déclaration (par exemple, la valeur déclarée était de 10 au lieu de 100).</w:t>
      </w:r>
    </w:p>
    <w:tbl>
      <w:tblPr>
        <w:tblStyle w:val="Grilledutableau"/>
        <w:tblW w:w="0" w:type="auto"/>
        <w:tblBorders>
          <w:top w:val="single" w:sz="4" w:space="0" w:color="9BBB59" w:themeColor="accent3"/>
          <w:left w:val="single" w:sz="4" w:space="0" w:color="9BBB59" w:themeColor="accent3"/>
          <w:bottom w:val="single" w:sz="4" w:space="0" w:color="9BBB59" w:themeColor="accent3"/>
          <w:right w:val="single" w:sz="4" w:space="0" w:color="9BBB59" w:themeColor="accent3"/>
          <w:insideH w:val="single" w:sz="4" w:space="0" w:color="9BBB59" w:themeColor="accent3"/>
          <w:insideV w:val="single" w:sz="4" w:space="0" w:color="9BBB59" w:themeColor="accent3"/>
        </w:tblBorders>
        <w:tblLook w:val="04A0" w:firstRow="1" w:lastRow="0" w:firstColumn="1" w:lastColumn="0" w:noHBand="0" w:noVBand="1"/>
      </w:tblPr>
      <w:tblGrid>
        <w:gridCol w:w="9062"/>
      </w:tblGrid>
      <w:tr w:rsidR="007709D9" w:rsidRPr="00303227" w14:paraId="2B214C8A" w14:textId="77777777" w:rsidTr="005B5817">
        <w:tc>
          <w:tcPr>
            <w:tcW w:w="9242" w:type="dxa"/>
            <w:shd w:val="clear" w:color="auto" w:fill="F2F2F2" w:themeFill="background1" w:themeFillShade="F2"/>
          </w:tcPr>
          <w:p w14:paraId="68585FDA" w14:textId="351C263F" w:rsidR="007709D9" w:rsidRPr="00303227" w:rsidRDefault="007709D9" w:rsidP="005B5817">
            <w:pPr>
              <w:spacing w:line="360" w:lineRule="auto"/>
              <w:jc w:val="both"/>
              <w:rPr>
                <w:rFonts w:ascii="Arial" w:eastAsia="Calibri" w:hAnsi="Arial" w:cs="Arial"/>
                <w:sz w:val="18"/>
                <w:szCs w:val="18"/>
              </w:rPr>
            </w:pPr>
            <w:r w:rsidRPr="00303227">
              <w:rPr>
                <w:rFonts w:ascii="Arial" w:eastAsia="Calibri" w:hAnsi="Arial" w:cs="Times New Roman"/>
                <w:sz w:val="18"/>
                <w:szCs w:val="18"/>
                <w:u w:val="single"/>
              </w:rPr>
              <w:t>Exemple, cas 3</w:t>
            </w:r>
            <w:r w:rsidRPr="00303227">
              <w:rPr>
                <w:rFonts w:ascii="Arial" w:eastAsia="Calibri" w:hAnsi="Arial" w:cs="Times New Roman"/>
                <w:sz w:val="18"/>
                <w:szCs w:val="18"/>
              </w:rPr>
              <w:t xml:space="preserve"> : La valeur d’un « prêt d’une durée initiale inférieure ou égale à un an consenti par une IFM du territoire national » a été déclarée de façon erronée comme étant inférieure de 90 à sa valeur réelle. Dans cet exemple, cela affecte les « autres actifs non mentionnés dans les postes ci-dessus » d’un fonds à prestations définies en PFE.02.01 (R0260/ EC0041). </w:t>
            </w:r>
          </w:p>
          <w:p w14:paraId="21621DEB" w14:textId="13F3FF1A" w:rsidR="007709D9" w:rsidRPr="00303227" w:rsidRDefault="007709D9" w:rsidP="005B5817">
            <w:pPr>
              <w:spacing w:line="360" w:lineRule="auto"/>
              <w:jc w:val="both"/>
              <w:rPr>
                <w:rFonts w:ascii="Arial" w:eastAsia="Calibri" w:hAnsi="Arial" w:cs="Arial"/>
                <w:sz w:val="18"/>
                <w:szCs w:val="18"/>
              </w:rPr>
            </w:pPr>
            <w:r w:rsidRPr="00303227">
              <w:rPr>
                <w:rFonts w:ascii="Arial" w:eastAsia="Calibri" w:hAnsi="Arial" w:cs="Times New Roman"/>
                <w:sz w:val="18"/>
                <w:szCs w:val="18"/>
              </w:rPr>
              <w:t>Ce cas implique une entrée d’une valeur de +90 pour les « prêts d’une durée initiale inférieure ou égale à un an consentis par une IFM du territoire national » et les entrées apparentées (</w:t>
            </w:r>
            <w:r w:rsidRPr="00303227">
              <w:rPr>
                <w:rFonts w:ascii="Arial" w:eastAsia="Calibri" w:hAnsi="Arial" w:cs="Times New Roman"/>
                <w:b/>
                <w:sz w:val="18"/>
                <w:szCs w:val="18"/>
              </w:rPr>
              <w:t>EP.03.01</w:t>
            </w:r>
            <w:r w:rsidRPr="00303227">
              <w:rPr>
                <w:rFonts w:ascii="Arial" w:eastAsia="Calibri" w:hAnsi="Arial" w:cs="Times New Roman"/>
                <w:sz w:val="18"/>
                <w:szCs w:val="18"/>
              </w:rPr>
              <w:t xml:space="preserve"> (ER0020, ER0030/EC0010, EC0020, EC0030)) EZ0010 « 5 – Autres changements de volume ». De plus, une valeur de +90 pour les « autres passifs (hors éléments de fonds propres) » (PFE.02.01 (R0310/EC0041) doit être déclarée, les prêts déclarés </w:t>
            </w:r>
            <w:r w:rsidRPr="00303227">
              <w:rPr>
                <w:rFonts w:ascii="Arial" w:eastAsia="Calibri" w:hAnsi="Arial" w:cs="Times New Roman"/>
                <w:sz w:val="18"/>
                <w:szCs w:val="18"/>
              </w:rPr>
              <w:lastRenderedPageBreak/>
              <w:t>en EP.03.01 faisant partie de cette catégorie. Dans cet exemple, les « autres actifs non mentionnés dans les postes ci-dessus » sont affectés de +90 en PFE.02.01 (R0260/ EC0041). Le total de l’actif et le total des passifs (hors éléments de fonds propres), avec une valeur de +90 en PFE.02.01 (R0270, R0320/ EC0041) varient également.</w:t>
            </w:r>
          </w:p>
          <w:p w14:paraId="4C22842E" w14:textId="77777777" w:rsidR="007709D9" w:rsidRPr="00303227" w:rsidRDefault="007709D9" w:rsidP="005B5817">
            <w:pPr>
              <w:spacing w:line="360" w:lineRule="auto"/>
              <w:jc w:val="both"/>
              <w:rPr>
                <w:rFonts w:ascii="Arial" w:eastAsia="Calibri" w:hAnsi="Arial" w:cs="Arial"/>
                <w:sz w:val="18"/>
                <w:szCs w:val="18"/>
              </w:rPr>
            </w:pPr>
          </w:p>
          <w:tbl>
            <w:tblPr>
              <w:tblW w:w="8804" w:type="dxa"/>
              <w:tblInd w:w="93" w:type="dxa"/>
              <w:tblLook w:val="04A0" w:firstRow="1" w:lastRow="0" w:firstColumn="1" w:lastColumn="0" w:noHBand="0" w:noVBand="1"/>
            </w:tblPr>
            <w:tblGrid>
              <w:gridCol w:w="3958"/>
              <w:gridCol w:w="991"/>
              <w:gridCol w:w="987"/>
              <w:gridCol w:w="986"/>
              <w:gridCol w:w="1831"/>
            </w:tblGrid>
            <w:tr w:rsidR="007709D9" w:rsidRPr="00303227" w14:paraId="3432530B" w14:textId="77777777" w:rsidTr="005B5817">
              <w:trPr>
                <w:trHeight w:val="240"/>
              </w:trPr>
              <w:tc>
                <w:tcPr>
                  <w:tcW w:w="8804" w:type="dxa"/>
                  <w:gridSpan w:val="5"/>
                  <w:tcBorders>
                    <w:top w:val="nil"/>
                    <w:left w:val="nil"/>
                    <w:bottom w:val="nil"/>
                  </w:tcBorders>
                  <w:shd w:val="clear" w:color="auto" w:fill="F2F2F2" w:themeFill="background1" w:themeFillShade="F2"/>
                  <w:vAlign w:val="center"/>
                </w:tcPr>
                <w:p w14:paraId="6335C14F" w14:textId="77777777" w:rsidR="007709D9" w:rsidRPr="00303227" w:rsidRDefault="007709D9" w:rsidP="005B5817">
                  <w:pPr>
                    <w:spacing w:after="0" w:line="360" w:lineRule="auto"/>
                    <w:rPr>
                      <w:rFonts w:ascii="Arial" w:eastAsia="Calibri" w:hAnsi="Arial" w:cs="Arial"/>
                      <w:sz w:val="18"/>
                      <w:szCs w:val="18"/>
                    </w:rPr>
                  </w:pPr>
                  <w:r w:rsidRPr="00303227">
                    <w:rPr>
                      <w:rFonts w:ascii="Arial" w:eastAsia="Calibri" w:hAnsi="Arial" w:cs="Times New Roman"/>
                      <w:sz w:val="18"/>
                      <w:szCs w:val="18"/>
                    </w:rPr>
                    <w:t>Les entrées suivantes doivent donc être déclarées en EP.03.01</w:t>
                  </w:r>
                  <w:r w:rsidRPr="00303227">
                    <w:rPr>
                      <w:rFonts w:ascii="Arial" w:eastAsia="Calibri" w:hAnsi="Arial" w:cs="Times New Roman"/>
                      <w:sz w:val="18"/>
                      <w:szCs w:val="18"/>
                    </w:rPr>
                    <w:br/>
                    <w:t>(EZ0010 « 5 – Autres changements de volume »).</w:t>
                  </w:r>
                </w:p>
                <w:p w14:paraId="2045E36B" w14:textId="77777777" w:rsidR="007709D9" w:rsidRPr="00303227" w:rsidRDefault="007709D9" w:rsidP="005B5817">
                  <w:pPr>
                    <w:spacing w:after="0" w:line="360" w:lineRule="auto"/>
                    <w:rPr>
                      <w:rFonts w:ascii="Arial" w:eastAsia="Calibri" w:hAnsi="Arial" w:cs="Arial"/>
                      <w:sz w:val="18"/>
                      <w:szCs w:val="18"/>
                    </w:rPr>
                  </w:pPr>
                </w:p>
              </w:tc>
            </w:tr>
            <w:tr w:rsidR="007709D9" w:rsidRPr="00303227" w14:paraId="535CE671" w14:textId="77777777" w:rsidTr="005B5817">
              <w:trPr>
                <w:trHeight w:val="285"/>
              </w:trPr>
              <w:tc>
                <w:tcPr>
                  <w:tcW w:w="3983" w:type="dxa"/>
                  <w:tcBorders>
                    <w:left w:val="nil"/>
                    <w:bottom w:val="nil"/>
                    <w:right w:val="nil"/>
                  </w:tcBorders>
                  <w:shd w:val="clear" w:color="auto" w:fill="F2F2F2" w:themeFill="background1" w:themeFillShade="F2"/>
                  <w:noWrap/>
                  <w:vAlign w:val="center"/>
                  <w:hideMark/>
                </w:tcPr>
                <w:p w14:paraId="09A8984D" w14:textId="77777777" w:rsidR="007709D9" w:rsidRPr="00303227" w:rsidRDefault="007709D9" w:rsidP="005B5817">
                  <w:pPr>
                    <w:spacing w:after="0" w:line="360" w:lineRule="auto"/>
                    <w:rPr>
                      <w:rFonts w:ascii="Arial" w:eastAsia="Calibri" w:hAnsi="Arial" w:cs="Arial"/>
                      <w:sz w:val="18"/>
                      <w:szCs w:val="18"/>
                    </w:rPr>
                  </w:pPr>
                </w:p>
              </w:tc>
              <w:tc>
                <w:tcPr>
                  <w:tcW w:w="996" w:type="dxa"/>
                  <w:tcBorders>
                    <w:left w:val="nil"/>
                    <w:bottom w:val="nil"/>
                    <w:right w:val="single" w:sz="4" w:space="0" w:color="auto"/>
                  </w:tcBorders>
                  <w:shd w:val="clear" w:color="auto" w:fill="F2F2F2" w:themeFill="background1" w:themeFillShade="F2"/>
                  <w:noWrap/>
                  <w:vAlign w:val="center"/>
                  <w:hideMark/>
                </w:tcPr>
                <w:p w14:paraId="23E78A81" w14:textId="77777777" w:rsidR="007709D9" w:rsidRPr="00303227" w:rsidRDefault="007709D9" w:rsidP="005B5817">
                  <w:pPr>
                    <w:spacing w:after="0" w:line="360" w:lineRule="auto"/>
                    <w:rPr>
                      <w:rFonts w:ascii="Arial" w:eastAsia="Calibri" w:hAnsi="Arial" w:cs="Arial"/>
                      <w:sz w:val="18"/>
                      <w:szCs w:val="18"/>
                    </w:rPr>
                  </w:pPr>
                </w:p>
              </w:tc>
              <w:tc>
                <w:tcPr>
                  <w:tcW w:w="3825" w:type="dxa"/>
                  <w:gridSpan w:val="3"/>
                  <w:tcBorders>
                    <w:top w:val="single" w:sz="4" w:space="0" w:color="auto"/>
                    <w:left w:val="single" w:sz="4" w:space="0" w:color="auto"/>
                    <w:bottom w:val="nil"/>
                    <w:right w:val="single" w:sz="4" w:space="0" w:color="000000"/>
                  </w:tcBorders>
                  <w:shd w:val="clear" w:color="auto" w:fill="F2F2F2" w:themeFill="background1" w:themeFillShade="F2"/>
                  <w:noWrap/>
                  <w:vAlign w:val="center"/>
                  <w:hideMark/>
                </w:tcPr>
                <w:p w14:paraId="04B94A1D" w14:textId="77777777" w:rsidR="007709D9" w:rsidRPr="00303227" w:rsidRDefault="007709D9" w:rsidP="005B581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Total</w:t>
                  </w:r>
                </w:p>
              </w:tc>
            </w:tr>
            <w:tr w:rsidR="007709D9" w:rsidRPr="00303227" w14:paraId="41E01C3B" w14:textId="77777777" w:rsidTr="005B5817">
              <w:trPr>
                <w:trHeight w:val="578"/>
              </w:trPr>
              <w:tc>
                <w:tcPr>
                  <w:tcW w:w="3983" w:type="dxa"/>
                  <w:tcBorders>
                    <w:top w:val="nil"/>
                    <w:left w:val="nil"/>
                    <w:bottom w:val="nil"/>
                    <w:right w:val="nil"/>
                  </w:tcBorders>
                  <w:shd w:val="clear" w:color="auto" w:fill="F2F2F2" w:themeFill="background1" w:themeFillShade="F2"/>
                  <w:noWrap/>
                  <w:vAlign w:val="center"/>
                  <w:hideMark/>
                </w:tcPr>
                <w:p w14:paraId="2E0167D3" w14:textId="77777777" w:rsidR="007709D9" w:rsidRPr="00303227" w:rsidRDefault="007709D9" w:rsidP="005B5817">
                  <w:pPr>
                    <w:spacing w:after="0" w:line="360" w:lineRule="auto"/>
                    <w:rPr>
                      <w:rFonts w:ascii="Arial" w:eastAsia="Calibri" w:hAnsi="Arial" w:cs="Arial"/>
                      <w:sz w:val="18"/>
                      <w:szCs w:val="18"/>
                    </w:rPr>
                  </w:pPr>
                </w:p>
              </w:tc>
              <w:tc>
                <w:tcPr>
                  <w:tcW w:w="996" w:type="dxa"/>
                  <w:tcBorders>
                    <w:top w:val="nil"/>
                    <w:left w:val="nil"/>
                    <w:bottom w:val="nil"/>
                    <w:right w:val="nil"/>
                  </w:tcBorders>
                  <w:shd w:val="clear" w:color="auto" w:fill="F2F2F2" w:themeFill="background1" w:themeFillShade="F2"/>
                  <w:noWrap/>
                  <w:vAlign w:val="center"/>
                  <w:hideMark/>
                </w:tcPr>
                <w:p w14:paraId="06F8DD47" w14:textId="77777777" w:rsidR="007709D9" w:rsidRPr="00303227" w:rsidRDefault="007709D9" w:rsidP="005B5817">
                  <w:pPr>
                    <w:spacing w:after="0" w:line="360" w:lineRule="auto"/>
                    <w:rPr>
                      <w:rFonts w:ascii="Arial" w:eastAsia="Calibri" w:hAnsi="Arial" w:cs="Arial"/>
                      <w:sz w:val="18"/>
                      <w:szCs w:val="18"/>
                    </w:rPr>
                  </w:pPr>
                </w:p>
              </w:tc>
              <w:tc>
                <w:tcPr>
                  <w:tcW w:w="992" w:type="dxa"/>
                  <w:tcBorders>
                    <w:top w:val="nil"/>
                    <w:left w:val="single" w:sz="4" w:space="0" w:color="auto"/>
                    <w:bottom w:val="nil"/>
                    <w:right w:val="single" w:sz="4" w:space="0" w:color="auto"/>
                  </w:tcBorders>
                  <w:shd w:val="clear" w:color="auto" w:fill="F2F2F2" w:themeFill="background1" w:themeFillShade="F2"/>
                  <w:vAlign w:val="center"/>
                  <w:hideMark/>
                </w:tcPr>
                <w:p w14:paraId="144D952F" w14:textId="77777777" w:rsidR="007709D9" w:rsidRPr="00303227" w:rsidRDefault="007709D9" w:rsidP="005B5817">
                  <w:pPr>
                    <w:spacing w:after="0" w:line="360" w:lineRule="auto"/>
                    <w:rPr>
                      <w:rFonts w:ascii="Arial" w:eastAsia="Calibri" w:hAnsi="Arial" w:cs="Arial"/>
                      <w:sz w:val="18"/>
                      <w:szCs w:val="18"/>
                    </w:rPr>
                  </w:pPr>
                  <w:r w:rsidRPr="00303227">
                    <w:rPr>
                      <w:rFonts w:ascii="Arial" w:eastAsia="Calibri" w:hAnsi="Arial" w:cs="Times New Roman"/>
                      <w:sz w:val="18"/>
                      <w:szCs w:val="18"/>
                    </w:rPr>
                    <w:t> </w:t>
                  </w:r>
                </w:p>
              </w:tc>
              <w:tc>
                <w:tcPr>
                  <w:tcW w:w="2833" w:type="dxa"/>
                  <w:gridSpan w:val="2"/>
                  <w:tcBorders>
                    <w:top w:val="single" w:sz="4" w:space="0" w:color="auto"/>
                    <w:left w:val="single" w:sz="4" w:space="0" w:color="auto"/>
                    <w:bottom w:val="nil"/>
                    <w:right w:val="single" w:sz="4" w:space="0" w:color="000000"/>
                  </w:tcBorders>
                  <w:shd w:val="clear" w:color="auto" w:fill="F2F2F2" w:themeFill="background1" w:themeFillShade="F2"/>
                  <w:vAlign w:val="center"/>
                  <w:hideMark/>
                </w:tcPr>
                <w:p w14:paraId="7F60DBE0" w14:textId="77777777" w:rsidR="007709D9" w:rsidRPr="00303227" w:rsidRDefault="007709D9" w:rsidP="005B581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Territoire national</w:t>
                  </w:r>
                </w:p>
              </w:tc>
            </w:tr>
            <w:tr w:rsidR="007709D9" w:rsidRPr="00303227" w14:paraId="77C530A5" w14:textId="77777777" w:rsidTr="005B5817">
              <w:trPr>
                <w:trHeight w:val="300"/>
              </w:trPr>
              <w:tc>
                <w:tcPr>
                  <w:tcW w:w="3983" w:type="dxa"/>
                  <w:tcBorders>
                    <w:top w:val="nil"/>
                    <w:left w:val="nil"/>
                    <w:bottom w:val="nil"/>
                    <w:right w:val="nil"/>
                  </w:tcBorders>
                  <w:shd w:val="clear" w:color="auto" w:fill="F2F2F2" w:themeFill="background1" w:themeFillShade="F2"/>
                  <w:noWrap/>
                  <w:vAlign w:val="center"/>
                  <w:hideMark/>
                </w:tcPr>
                <w:p w14:paraId="4DA7E703" w14:textId="77777777" w:rsidR="007709D9" w:rsidRPr="00303227" w:rsidRDefault="007709D9" w:rsidP="005B5817">
                  <w:pPr>
                    <w:spacing w:after="0" w:line="360" w:lineRule="auto"/>
                    <w:rPr>
                      <w:rFonts w:ascii="Arial" w:eastAsia="Calibri" w:hAnsi="Arial" w:cs="Arial"/>
                      <w:sz w:val="18"/>
                      <w:szCs w:val="18"/>
                    </w:rPr>
                  </w:pPr>
                </w:p>
              </w:tc>
              <w:tc>
                <w:tcPr>
                  <w:tcW w:w="996" w:type="dxa"/>
                  <w:tcBorders>
                    <w:top w:val="nil"/>
                    <w:left w:val="nil"/>
                    <w:bottom w:val="nil"/>
                    <w:right w:val="nil"/>
                  </w:tcBorders>
                  <w:shd w:val="clear" w:color="auto" w:fill="F2F2F2" w:themeFill="background1" w:themeFillShade="F2"/>
                  <w:noWrap/>
                  <w:vAlign w:val="center"/>
                  <w:hideMark/>
                </w:tcPr>
                <w:p w14:paraId="3D56474A" w14:textId="77777777" w:rsidR="007709D9" w:rsidRPr="00303227" w:rsidRDefault="007709D9" w:rsidP="005B5817">
                  <w:pPr>
                    <w:spacing w:after="0" w:line="360" w:lineRule="auto"/>
                    <w:rPr>
                      <w:rFonts w:ascii="Arial" w:eastAsia="Calibri" w:hAnsi="Arial" w:cs="Arial"/>
                      <w:sz w:val="18"/>
                      <w:szCs w:val="18"/>
                    </w:rPr>
                  </w:pPr>
                </w:p>
              </w:tc>
              <w:tc>
                <w:tcPr>
                  <w:tcW w:w="992" w:type="dxa"/>
                  <w:tcBorders>
                    <w:top w:val="nil"/>
                    <w:left w:val="single" w:sz="4" w:space="0" w:color="auto"/>
                    <w:bottom w:val="nil"/>
                    <w:right w:val="single" w:sz="4" w:space="0" w:color="auto"/>
                  </w:tcBorders>
                  <w:shd w:val="clear" w:color="auto" w:fill="F2F2F2" w:themeFill="background1" w:themeFillShade="F2"/>
                  <w:vAlign w:val="center"/>
                  <w:hideMark/>
                </w:tcPr>
                <w:p w14:paraId="31F9BC9F" w14:textId="77777777" w:rsidR="007709D9" w:rsidRPr="00303227" w:rsidRDefault="007709D9" w:rsidP="005B5817">
                  <w:pPr>
                    <w:spacing w:after="0" w:line="360" w:lineRule="auto"/>
                    <w:rPr>
                      <w:rFonts w:ascii="Arial" w:eastAsia="Calibri" w:hAnsi="Arial" w:cs="Arial"/>
                      <w:sz w:val="18"/>
                      <w:szCs w:val="18"/>
                    </w:rPr>
                  </w:pPr>
                  <w:r w:rsidRPr="00303227">
                    <w:rPr>
                      <w:rFonts w:ascii="Arial" w:eastAsia="Calibri" w:hAnsi="Arial" w:cs="Times New Roman"/>
                      <w:sz w:val="18"/>
                      <w:szCs w:val="18"/>
                    </w:rPr>
                    <w:t> </w:t>
                  </w:r>
                </w:p>
              </w:tc>
              <w:tc>
                <w:tcPr>
                  <w:tcW w:w="991" w:type="dxa"/>
                  <w:tcBorders>
                    <w:top w:val="nil"/>
                    <w:left w:val="nil"/>
                    <w:bottom w:val="nil"/>
                    <w:right w:val="single" w:sz="4" w:space="0" w:color="auto"/>
                  </w:tcBorders>
                  <w:shd w:val="clear" w:color="auto" w:fill="F2F2F2" w:themeFill="background1" w:themeFillShade="F2"/>
                  <w:vAlign w:val="center"/>
                  <w:hideMark/>
                </w:tcPr>
                <w:p w14:paraId="54C5F853" w14:textId="77777777" w:rsidR="007709D9" w:rsidRPr="00303227" w:rsidRDefault="007709D9" w:rsidP="005B5817">
                  <w:pPr>
                    <w:spacing w:after="0" w:line="360" w:lineRule="auto"/>
                    <w:rPr>
                      <w:rFonts w:ascii="Arial" w:eastAsia="Calibri" w:hAnsi="Arial" w:cs="Arial"/>
                      <w:sz w:val="18"/>
                      <w:szCs w:val="18"/>
                    </w:rPr>
                  </w:pPr>
                  <w:r w:rsidRPr="00303227">
                    <w:rPr>
                      <w:rFonts w:ascii="Arial" w:eastAsia="Calibri" w:hAnsi="Arial" w:cs="Times New Roman"/>
                      <w:sz w:val="18"/>
                      <w:szCs w:val="18"/>
                    </w:rPr>
                    <w:t> </w:t>
                  </w:r>
                </w:p>
              </w:tc>
              <w:tc>
                <w:tcPr>
                  <w:tcW w:w="1842" w:type="dxa"/>
                  <w:tcBorders>
                    <w:top w:val="single" w:sz="4" w:space="0" w:color="auto"/>
                    <w:left w:val="nil"/>
                    <w:bottom w:val="nil"/>
                    <w:right w:val="single" w:sz="4" w:space="0" w:color="auto"/>
                  </w:tcBorders>
                  <w:shd w:val="clear" w:color="auto" w:fill="F2F2F2" w:themeFill="background1" w:themeFillShade="F2"/>
                  <w:vAlign w:val="center"/>
                  <w:hideMark/>
                </w:tcPr>
                <w:p w14:paraId="49D47CD1" w14:textId="77777777" w:rsidR="007709D9" w:rsidRPr="00303227" w:rsidRDefault="007709D9" w:rsidP="005B581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IFM (S.121+122)</w:t>
                  </w:r>
                </w:p>
              </w:tc>
            </w:tr>
            <w:tr w:rsidR="007709D9" w:rsidRPr="00303227" w14:paraId="7AB31702" w14:textId="77777777" w:rsidTr="005B5817">
              <w:trPr>
                <w:trHeight w:val="300"/>
              </w:trPr>
              <w:tc>
                <w:tcPr>
                  <w:tcW w:w="3983" w:type="dxa"/>
                  <w:tcBorders>
                    <w:top w:val="nil"/>
                    <w:left w:val="nil"/>
                    <w:bottom w:val="single" w:sz="4" w:space="0" w:color="auto"/>
                    <w:right w:val="nil"/>
                  </w:tcBorders>
                  <w:shd w:val="clear" w:color="auto" w:fill="F2F2F2" w:themeFill="background1" w:themeFillShade="F2"/>
                  <w:noWrap/>
                  <w:vAlign w:val="bottom"/>
                  <w:hideMark/>
                </w:tcPr>
                <w:p w14:paraId="62E81829" w14:textId="77777777" w:rsidR="007709D9" w:rsidRPr="00303227" w:rsidRDefault="007709D9" w:rsidP="005B5817">
                  <w:pPr>
                    <w:spacing w:after="0" w:line="360" w:lineRule="auto"/>
                    <w:ind w:firstLineChars="100" w:firstLine="180"/>
                    <w:rPr>
                      <w:rFonts w:ascii="Arial" w:eastAsia="Calibri" w:hAnsi="Arial" w:cs="Arial"/>
                      <w:sz w:val="18"/>
                      <w:szCs w:val="18"/>
                    </w:rPr>
                  </w:pPr>
                </w:p>
              </w:tc>
              <w:tc>
                <w:tcPr>
                  <w:tcW w:w="996" w:type="dxa"/>
                  <w:tcBorders>
                    <w:top w:val="nil"/>
                    <w:left w:val="nil"/>
                    <w:bottom w:val="single" w:sz="4" w:space="0" w:color="auto"/>
                    <w:right w:val="nil"/>
                  </w:tcBorders>
                  <w:shd w:val="clear" w:color="auto" w:fill="F2F2F2" w:themeFill="background1" w:themeFillShade="F2"/>
                  <w:noWrap/>
                  <w:vAlign w:val="bottom"/>
                  <w:hideMark/>
                </w:tcPr>
                <w:p w14:paraId="7CF3BE39" w14:textId="77777777" w:rsidR="007709D9" w:rsidRPr="00303227" w:rsidRDefault="007709D9" w:rsidP="005B5817">
                  <w:pPr>
                    <w:spacing w:after="0" w:line="360" w:lineRule="auto"/>
                    <w:ind w:firstLineChars="100" w:firstLine="180"/>
                    <w:rPr>
                      <w:rFonts w:ascii="Arial" w:eastAsia="Calibri" w:hAnsi="Arial" w:cs="Arial"/>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2DD58F0A" w14:textId="77777777" w:rsidR="007709D9" w:rsidRPr="00303227" w:rsidRDefault="007709D9" w:rsidP="005B581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EC0010</w:t>
                  </w:r>
                </w:p>
              </w:tc>
              <w:tc>
                <w:tcPr>
                  <w:tcW w:w="991"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74DD2FB2" w14:textId="77777777" w:rsidR="007709D9" w:rsidRPr="00303227" w:rsidRDefault="007709D9" w:rsidP="005B581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EC0020</w:t>
                  </w:r>
                </w:p>
              </w:tc>
              <w:tc>
                <w:tcPr>
                  <w:tcW w:w="1842"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647BC14A" w14:textId="77777777" w:rsidR="007709D9" w:rsidRPr="00303227" w:rsidRDefault="007709D9" w:rsidP="005B581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EC0030</w:t>
                  </w:r>
                </w:p>
              </w:tc>
            </w:tr>
            <w:tr w:rsidR="007709D9" w:rsidRPr="00303227" w14:paraId="5AE17134" w14:textId="77777777" w:rsidTr="005B5817">
              <w:trPr>
                <w:trHeight w:val="300"/>
              </w:trPr>
              <w:tc>
                <w:tcPr>
                  <w:tcW w:w="3983"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4386B3D8" w14:textId="77777777" w:rsidR="007709D9" w:rsidRPr="00303227" w:rsidRDefault="007709D9" w:rsidP="005B5817">
                  <w:pPr>
                    <w:spacing w:after="0" w:line="360" w:lineRule="auto"/>
                    <w:rPr>
                      <w:rFonts w:ascii="Arial" w:eastAsia="Calibri" w:hAnsi="Arial" w:cs="Arial"/>
                      <w:sz w:val="18"/>
                      <w:szCs w:val="18"/>
                    </w:rPr>
                  </w:pPr>
                  <w:r w:rsidRPr="00303227">
                    <w:rPr>
                      <w:rFonts w:ascii="Arial" w:eastAsia="Calibri" w:hAnsi="Arial" w:cs="Times New Roman"/>
                      <w:sz w:val="18"/>
                      <w:szCs w:val="18"/>
                    </w:rPr>
                    <w:t>10. Prêts reçus (SEC 2010 : F.4)</w:t>
                  </w:r>
                </w:p>
              </w:tc>
              <w:tc>
                <w:tcPr>
                  <w:tcW w:w="996"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21AE32B9" w14:textId="77777777" w:rsidR="007709D9" w:rsidRPr="00303227" w:rsidRDefault="007709D9" w:rsidP="005B5817">
                  <w:pPr>
                    <w:spacing w:after="0" w:line="360" w:lineRule="auto"/>
                    <w:rPr>
                      <w:rFonts w:ascii="Arial" w:eastAsia="Calibri" w:hAnsi="Arial" w:cs="Arial"/>
                      <w:sz w:val="18"/>
                      <w:szCs w:val="18"/>
                    </w:rPr>
                  </w:pPr>
                  <w:r w:rsidRPr="00303227">
                    <w:rPr>
                      <w:rFonts w:ascii="Arial" w:eastAsia="Calibri" w:hAnsi="Arial" w:cs="Times New Roman"/>
                      <w:sz w:val="18"/>
                      <w:szCs w:val="18"/>
                    </w:rPr>
                    <w:t>ER0020</w:t>
                  </w:r>
                </w:p>
              </w:tc>
              <w:tc>
                <w:tcPr>
                  <w:tcW w:w="992" w:type="dxa"/>
                  <w:tcBorders>
                    <w:top w:val="single" w:sz="4" w:space="0" w:color="auto"/>
                    <w:left w:val="nil"/>
                    <w:bottom w:val="single" w:sz="4" w:space="0" w:color="auto"/>
                    <w:right w:val="single" w:sz="4" w:space="0" w:color="auto"/>
                  </w:tcBorders>
                  <w:shd w:val="clear" w:color="auto" w:fill="F2F2F2" w:themeFill="background1" w:themeFillShade="F2"/>
                  <w:noWrap/>
                  <w:hideMark/>
                </w:tcPr>
                <w:p w14:paraId="32DCA119" w14:textId="77777777" w:rsidR="007709D9" w:rsidRPr="00303227" w:rsidRDefault="007709D9" w:rsidP="005B581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+90</w:t>
                  </w:r>
                </w:p>
              </w:tc>
              <w:tc>
                <w:tcPr>
                  <w:tcW w:w="991" w:type="dxa"/>
                  <w:tcBorders>
                    <w:top w:val="single" w:sz="4" w:space="0" w:color="auto"/>
                    <w:left w:val="nil"/>
                    <w:bottom w:val="single" w:sz="4" w:space="0" w:color="auto"/>
                    <w:right w:val="single" w:sz="4" w:space="0" w:color="auto"/>
                  </w:tcBorders>
                  <w:shd w:val="clear" w:color="auto" w:fill="F2F2F2" w:themeFill="background1" w:themeFillShade="F2"/>
                  <w:noWrap/>
                  <w:hideMark/>
                </w:tcPr>
                <w:p w14:paraId="551D1745" w14:textId="77777777" w:rsidR="007709D9" w:rsidRPr="00303227" w:rsidRDefault="007709D9" w:rsidP="005B581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+90</w:t>
                  </w:r>
                </w:p>
              </w:tc>
              <w:tc>
                <w:tcPr>
                  <w:tcW w:w="1842" w:type="dxa"/>
                  <w:tcBorders>
                    <w:top w:val="single" w:sz="4" w:space="0" w:color="auto"/>
                    <w:left w:val="nil"/>
                    <w:bottom w:val="single" w:sz="4" w:space="0" w:color="auto"/>
                    <w:right w:val="single" w:sz="4" w:space="0" w:color="auto"/>
                  </w:tcBorders>
                  <w:shd w:val="clear" w:color="auto" w:fill="F2F2F2" w:themeFill="background1" w:themeFillShade="F2"/>
                  <w:noWrap/>
                  <w:hideMark/>
                </w:tcPr>
                <w:p w14:paraId="58128E14" w14:textId="77777777" w:rsidR="007709D9" w:rsidRPr="00303227" w:rsidRDefault="007709D9" w:rsidP="005B581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+90</w:t>
                  </w:r>
                </w:p>
              </w:tc>
            </w:tr>
            <w:tr w:rsidR="007709D9" w:rsidRPr="00303227" w14:paraId="696BB613" w14:textId="77777777" w:rsidTr="005B5817">
              <w:trPr>
                <w:trHeight w:val="300"/>
              </w:trPr>
              <w:tc>
                <w:tcPr>
                  <w:tcW w:w="3983"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15C0ACDD" w14:textId="77777777" w:rsidR="007709D9" w:rsidRPr="00303227" w:rsidRDefault="007709D9" w:rsidP="005B5817">
                  <w:pPr>
                    <w:spacing w:after="0" w:line="360" w:lineRule="auto"/>
                    <w:rPr>
                      <w:rFonts w:ascii="Arial" w:eastAsia="Calibri" w:hAnsi="Arial" w:cs="Arial"/>
                      <w:sz w:val="18"/>
                      <w:szCs w:val="18"/>
                    </w:rPr>
                  </w:pPr>
                  <w:r w:rsidRPr="00303227">
                    <w:rPr>
                      <w:rFonts w:ascii="Arial" w:eastAsia="Calibri" w:hAnsi="Arial" w:cs="Times New Roman"/>
                      <w:sz w:val="18"/>
                      <w:szCs w:val="18"/>
                    </w:rPr>
                    <w:t xml:space="preserve"> Durée &lt; ou = à 1 an</w:t>
                  </w:r>
                </w:p>
              </w:tc>
              <w:tc>
                <w:tcPr>
                  <w:tcW w:w="996"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1BB44D04" w14:textId="77777777" w:rsidR="007709D9" w:rsidRPr="00303227" w:rsidRDefault="007709D9" w:rsidP="005B5817">
                  <w:pPr>
                    <w:spacing w:after="0" w:line="360" w:lineRule="auto"/>
                    <w:rPr>
                      <w:rFonts w:ascii="Arial" w:eastAsia="Calibri" w:hAnsi="Arial" w:cs="Arial"/>
                      <w:sz w:val="18"/>
                      <w:szCs w:val="18"/>
                    </w:rPr>
                  </w:pPr>
                  <w:r w:rsidRPr="00303227">
                    <w:rPr>
                      <w:rFonts w:ascii="Arial" w:eastAsia="Calibri" w:hAnsi="Arial" w:cs="Times New Roman"/>
                      <w:sz w:val="18"/>
                      <w:szCs w:val="18"/>
                    </w:rPr>
                    <w:t>ER0030</w:t>
                  </w:r>
                </w:p>
              </w:tc>
              <w:tc>
                <w:tcPr>
                  <w:tcW w:w="992" w:type="dxa"/>
                  <w:tcBorders>
                    <w:top w:val="single" w:sz="4" w:space="0" w:color="auto"/>
                    <w:left w:val="nil"/>
                    <w:bottom w:val="single" w:sz="4" w:space="0" w:color="auto"/>
                    <w:right w:val="single" w:sz="4" w:space="0" w:color="auto"/>
                  </w:tcBorders>
                  <w:shd w:val="clear" w:color="auto" w:fill="F2F2F2" w:themeFill="background1" w:themeFillShade="F2"/>
                  <w:noWrap/>
                </w:tcPr>
                <w:p w14:paraId="6EFB44CD" w14:textId="77777777" w:rsidR="007709D9" w:rsidRPr="00303227" w:rsidRDefault="007709D9" w:rsidP="005B581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+90</w:t>
                  </w:r>
                </w:p>
              </w:tc>
              <w:tc>
                <w:tcPr>
                  <w:tcW w:w="991" w:type="dxa"/>
                  <w:tcBorders>
                    <w:top w:val="single" w:sz="4" w:space="0" w:color="auto"/>
                    <w:left w:val="nil"/>
                    <w:bottom w:val="single" w:sz="4" w:space="0" w:color="auto"/>
                    <w:right w:val="single" w:sz="4" w:space="0" w:color="auto"/>
                  </w:tcBorders>
                  <w:shd w:val="clear" w:color="auto" w:fill="F2F2F2" w:themeFill="background1" w:themeFillShade="F2"/>
                  <w:noWrap/>
                </w:tcPr>
                <w:p w14:paraId="388B6F13" w14:textId="77777777" w:rsidR="007709D9" w:rsidRPr="00303227" w:rsidRDefault="007709D9" w:rsidP="005B581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+90</w:t>
                  </w:r>
                </w:p>
              </w:tc>
              <w:tc>
                <w:tcPr>
                  <w:tcW w:w="1842" w:type="dxa"/>
                  <w:tcBorders>
                    <w:top w:val="single" w:sz="4" w:space="0" w:color="auto"/>
                    <w:left w:val="nil"/>
                    <w:bottom w:val="single" w:sz="4" w:space="0" w:color="auto"/>
                    <w:right w:val="single" w:sz="4" w:space="0" w:color="auto"/>
                  </w:tcBorders>
                  <w:shd w:val="clear" w:color="auto" w:fill="F2F2F2" w:themeFill="background1" w:themeFillShade="F2"/>
                  <w:noWrap/>
                </w:tcPr>
                <w:p w14:paraId="5830F674" w14:textId="77777777" w:rsidR="007709D9" w:rsidRPr="00303227" w:rsidRDefault="007709D9" w:rsidP="005B581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+90</w:t>
                  </w:r>
                </w:p>
              </w:tc>
            </w:tr>
            <w:tr w:rsidR="007709D9" w:rsidRPr="00303227" w14:paraId="5E68DEF2" w14:textId="77777777" w:rsidTr="005B5817">
              <w:trPr>
                <w:trHeight w:val="465"/>
              </w:trPr>
              <w:tc>
                <w:tcPr>
                  <w:tcW w:w="8804" w:type="dxa"/>
                  <w:gridSpan w:val="5"/>
                  <w:tcBorders>
                    <w:top w:val="single" w:sz="4" w:space="0" w:color="auto"/>
                  </w:tcBorders>
                  <w:shd w:val="clear" w:color="auto" w:fill="F2F2F2" w:themeFill="background1" w:themeFillShade="F2"/>
                  <w:vAlign w:val="center"/>
                </w:tcPr>
                <w:p w14:paraId="6434F35B" w14:textId="77777777" w:rsidR="007709D9" w:rsidRPr="00303227" w:rsidRDefault="007709D9" w:rsidP="005B5817">
                  <w:pPr>
                    <w:spacing w:after="0" w:line="360" w:lineRule="auto"/>
                    <w:jc w:val="center"/>
                    <w:rPr>
                      <w:rFonts w:ascii="Arial" w:eastAsia="Calibri" w:hAnsi="Arial" w:cs="Arial"/>
                      <w:sz w:val="18"/>
                      <w:szCs w:val="18"/>
                    </w:rPr>
                  </w:pPr>
                </w:p>
              </w:tc>
            </w:tr>
            <w:tr w:rsidR="007709D9" w:rsidRPr="00303227" w14:paraId="6C73D870" w14:textId="77777777" w:rsidTr="005B5817">
              <w:trPr>
                <w:trHeight w:val="283"/>
              </w:trPr>
              <w:tc>
                <w:tcPr>
                  <w:tcW w:w="8804" w:type="dxa"/>
                  <w:gridSpan w:val="5"/>
                  <w:shd w:val="clear" w:color="auto" w:fill="F2F2F2" w:themeFill="background1" w:themeFillShade="F2"/>
                  <w:vAlign w:val="center"/>
                </w:tcPr>
                <w:p w14:paraId="783DD189" w14:textId="77777777" w:rsidR="007709D9" w:rsidRPr="00303227" w:rsidRDefault="007709D9" w:rsidP="005B5817">
                  <w:pPr>
                    <w:spacing w:after="0" w:line="360" w:lineRule="auto"/>
                    <w:rPr>
                      <w:rFonts w:ascii="Arial" w:eastAsia="Calibri" w:hAnsi="Arial" w:cs="Arial"/>
                      <w:sz w:val="18"/>
                      <w:szCs w:val="18"/>
                    </w:rPr>
                  </w:pPr>
                  <w:r w:rsidRPr="00303227">
                    <w:rPr>
                      <w:rFonts w:ascii="Arial" w:eastAsia="Calibri" w:hAnsi="Arial" w:cs="Times New Roman"/>
                      <w:sz w:val="18"/>
                      <w:szCs w:val="18"/>
                    </w:rPr>
                    <w:t>Les entrées suivantes doivent aussi être déclarées en PFE.02.01.</w:t>
                  </w:r>
                </w:p>
                <w:p w14:paraId="769C7CFC" w14:textId="77777777" w:rsidR="007709D9" w:rsidRPr="00303227" w:rsidRDefault="007709D9" w:rsidP="005B5817">
                  <w:pPr>
                    <w:spacing w:after="0" w:line="360" w:lineRule="auto"/>
                    <w:rPr>
                      <w:rFonts w:ascii="Arial" w:eastAsia="Calibri" w:hAnsi="Arial" w:cs="Arial"/>
                      <w:sz w:val="18"/>
                      <w:szCs w:val="18"/>
                    </w:rPr>
                  </w:pPr>
                </w:p>
              </w:tc>
            </w:tr>
            <w:tr w:rsidR="007709D9" w:rsidRPr="00303227" w14:paraId="0DEB7B59" w14:textId="77777777" w:rsidTr="005B5817">
              <w:trPr>
                <w:trHeight w:val="240"/>
              </w:trPr>
              <w:tc>
                <w:tcPr>
                  <w:tcW w:w="3983" w:type="dxa"/>
                  <w:tcBorders>
                    <w:top w:val="nil"/>
                    <w:left w:val="nil"/>
                    <w:bottom w:val="nil"/>
                    <w:right w:val="nil"/>
                  </w:tcBorders>
                  <w:shd w:val="clear" w:color="auto" w:fill="auto"/>
                  <w:vAlign w:val="center"/>
                  <w:hideMark/>
                </w:tcPr>
                <w:p w14:paraId="33433B7F" w14:textId="77777777" w:rsidR="007709D9" w:rsidRPr="00303227" w:rsidRDefault="007709D9" w:rsidP="005B5817">
                  <w:pPr>
                    <w:spacing w:after="0" w:line="360" w:lineRule="auto"/>
                    <w:rPr>
                      <w:rFonts w:ascii="Arial" w:eastAsia="Calibri" w:hAnsi="Arial" w:cs="Arial"/>
                      <w:b/>
                      <w:sz w:val="18"/>
                      <w:szCs w:val="18"/>
                    </w:rPr>
                  </w:pPr>
                </w:p>
              </w:tc>
              <w:tc>
                <w:tcPr>
                  <w:tcW w:w="996" w:type="dxa"/>
                  <w:tcBorders>
                    <w:top w:val="nil"/>
                    <w:left w:val="nil"/>
                    <w:bottom w:val="nil"/>
                    <w:right w:val="nil"/>
                  </w:tcBorders>
                  <w:shd w:val="clear" w:color="auto" w:fill="auto"/>
                  <w:noWrap/>
                  <w:vAlign w:val="center"/>
                  <w:hideMark/>
                </w:tcPr>
                <w:p w14:paraId="354E45E3" w14:textId="77777777" w:rsidR="007709D9" w:rsidRPr="00303227" w:rsidRDefault="007709D9" w:rsidP="005B5817">
                  <w:pPr>
                    <w:spacing w:after="0" w:line="360" w:lineRule="auto"/>
                    <w:rPr>
                      <w:rFonts w:ascii="Arial" w:eastAsia="Calibri" w:hAnsi="Arial" w:cs="Arial"/>
                      <w:b/>
                      <w:sz w:val="18"/>
                      <w:szCs w:val="18"/>
                    </w:rPr>
                  </w:pPr>
                </w:p>
              </w:tc>
              <w:tc>
                <w:tcPr>
                  <w:tcW w:w="3825"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6DBEBA3" w14:textId="77777777" w:rsidR="007709D9" w:rsidRPr="00303227" w:rsidRDefault="007709D9" w:rsidP="005B581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Autre changement de volume</w:t>
                  </w:r>
                </w:p>
              </w:tc>
            </w:tr>
            <w:tr w:rsidR="007709D9" w:rsidRPr="00303227" w14:paraId="2426F9CD" w14:textId="77777777" w:rsidTr="005B5817">
              <w:trPr>
                <w:trHeight w:val="240"/>
              </w:trPr>
              <w:tc>
                <w:tcPr>
                  <w:tcW w:w="3983" w:type="dxa"/>
                  <w:tcBorders>
                    <w:top w:val="nil"/>
                    <w:left w:val="nil"/>
                    <w:bottom w:val="single" w:sz="4" w:space="0" w:color="auto"/>
                    <w:right w:val="nil"/>
                  </w:tcBorders>
                  <w:shd w:val="clear" w:color="auto" w:fill="auto"/>
                  <w:vAlign w:val="center"/>
                  <w:hideMark/>
                </w:tcPr>
                <w:p w14:paraId="1DE7C27A" w14:textId="77777777" w:rsidR="007709D9" w:rsidRPr="00303227" w:rsidRDefault="007709D9" w:rsidP="005B5817">
                  <w:pPr>
                    <w:spacing w:after="0" w:line="360" w:lineRule="auto"/>
                    <w:rPr>
                      <w:rFonts w:ascii="Arial" w:eastAsia="Calibri" w:hAnsi="Arial" w:cs="Arial"/>
                      <w:b/>
                      <w:sz w:val="18"/>
                      <w:szCs w:val="18"/>
                    </w:rPr>
                  </w:pPr>
                </w:p>
              </w:tc>
              <w:tc>
                <w:tcPr>
                  <w:tcW w:w="996" w:type="dxa"/>
                  <w:tcBorders>
                    <w:top w:val="nil"/>
                    <w:left w:val="nil"/>
                    <w:bottom w:val="single" w:sz="4" w:space="0" w:color="auto"/>
                    <w:right w:val="nil"/>
                  </w:tcBorders>
                  <w:shd w:val="clear" w:color="auto" w:fill="auto"/>
                  <w:noWrap/>
                  <w:vAlign w:val="center"/>
                  <w:hideMark/>
                </w:tcPr>
                <w:p w14:paraId="5F1C7E30" w14:textId="77777777" w:rsidR="007709D9" w:rsidRPr="00303227" w:rsidRDefault="007709D9" w:rsidP="005B5817">
                  <w:pPr>
                    <w:spacing w:after="0" w:line="360" w:lineRule="auto"/>
                    <w:rPr>
                      <w:rFonts w:ascii="Arial" w:eastAsia="Calibri" w:hAnsi="Arial" w:cs="Arial"/>
                      <w:b/>
                      <w:sz w:val="18"/>
                      <w:szCs w:val="18"/>
                    </w:rPr>
                  </w:pPr>
                </w:p>
              </w:tc>
              <w:tc>
                <w:tcPr>
                  <w:tcW w:w="3825"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321D64B" w14:textId="77777777" w:rsidR="007709D9" w:rsidRPr="00303227" w:rsidRDefault="007709D9" w:rsidP="005B581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EC0041</w:t>
                  </w:r>
                </w:p>
              </w:tc>
            </w:tr>
            <w:tr w:rsidR="007709D9" w:rsidRPr="00303227" w14:paraId="31605A78" w14:textId="77777777" w:rsidTr="005B5817">
              <w:trPr>
                <w:trHeight w:val="300"/>
              </w:trPr>
              <w:tc>
                <w:tcPr>
                  <w:tcW w:w="3983"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0649FF4C" w14:textId="77777777" w:rsidR="007709D9" w:rsidRPr="00303227" w:rsidRDefault="007709D9" w:rsidP="005B5817">
                  <w:pPr>
                    <w:spacing w:after="0" w:line="360" w:lineRule="auto"/>
                    <w:rPr>
                      <w:rFonts w:ascii="Arial" w:eastAsia="Calibri" w:hAnsi="Arial" w:cs="Arial"/>
                      <w:sz w:val="18"/>
                      <w:szCs w:val="18"/>
                    </w:rPr>
                  </w:pPr>
                  <w:r w:rsidRPr="00303227">
                    <w:rPr>
                      <w:rFonts w:ascii="Arial" w:eastAsia="Calibri" w:hAnsi="Arial" w:cs="Times New Roman"/>
                      <w:sz w:val="18"/>
                      <w:szCs w:val="18"/>
                    </w:rPr>
                    <w:t>Autres actifs non mentionnés dans les postes ci-dessus</w:t>
                  </w:r>
                </w:p>
              </w:tc>
              <w:tc>
                <w:tcPr>
                  <w:tcW w:w="996" w:type="dxa"/>
                  <w:tcBorders>
                    <w:top w:val="nil"/>
                    <w:left w:val="nil"/>
                    <w:bottom w:val="single" w:sz="4" w:space="0" w:color="auto"/>
                    <w:right w:val="single" w:sz="4" w:space="0" w:color="auto"/>
                  </w:tcBorders>
                  <w:shd w:val="clear" w:color="auto" w:fill="F2F2F2" w:themeFill="background1" w:themeFillShade="F2"/>
                  <w:vAlign w:val="center"/>
                  <w:hideMark/>
                </w:tcPr>
                <w:p w14:paraId="5FD3C792" w14:textId="77777777" w:rsidR="007709D9" w:rsidRPr="00303227" w:rsidRDefault="007709D9" w:rsidP="005B581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R0260</w:t>
                  </w:r>
                </w:p>
              </w:tc>
              <w:tc>
                <w:tcPr>
                  <w:tcW w:w="3825" w:type="dxa"/>
                  <w:gridSpan w:val="3"/>
                  <w:tcBorders>
                    <w:top w:val="nil"/>
                    <w:left w:val="nil"/>
                    <w:bottom w:val="single" w:sz="4" w:space="0" w:color="auto"/>
                    <w:right w:val="single" w:sz="4" w:space="0" w:color="auto"/>
                  </w:tcBorders>
                  <w:shd w:val="clear" w:color="auto" w:fill="F2F2F2" w:themeFill="background1" w:themeFillShade="F2"/>
                  <w:hideMark/>
                </w:tcPr>
                <w:p w14:paraId="5A9C1862" w14:textId="77777777" w:rsidR="007709D9" w:rsidRPr="00303227" w:rsidRDefault="007709D9" w:rsidP="005B581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+90</w:t>
                  </w:r>
                </w:p>
              </w:tc>
            </w:tr>
            <w:tr w:rsidR="007709D9" w:rsidRPr="00303227" w14:paraId="4EB73032" w14:textId="77777777" w:rsidTr="005B5817">
              <w:trPr>
                <w:trHeight w:val="300"/>
              </w:trPr>
              <w:tc>
                <w:tcPr>
                  <w:tcW w:w="3983" w:type="dxa"/>
                  <w:tcBorders>
                    <w:top w:val="nil"/>
                    <w:left w:val="single" w:sz="4" w:space="0" w:color="auto"/>
                    <w:bottom w:val="single" w:sz="18" w:space="0" w:color="auto"/>
                    <w:right w:val="single" w:sz="4" w:space="0" w:color="auto"/>
                  </w:tcBorders>
                  <w:shd w:val="clear" w:color="auto" w:fill="F2F2F2" w:themeFill="background1" w:themeFillShade="F2"/>
                  <w:vAlign w:val="center"/>
                  <w:hideMark/>
                </w:tcPr>
                <w:p w14:paraId="587B7287" w14:textId="77777777" w:rsidR="007709D9" w:rsidRPr="00303227" w:rsidRDefault="007709D9" w:rsidP="005B5817">
                  <w:pPr>
                    <w:spacing w:after="0" w:line="360" w:lineRule="auto"/>
                    <w:rPr>
                      <w:rFonts w:ascii="Arial" w:eastAsia="Calibri" w:hAnsi="Arial" w:cs="Arial"/>
                      <w:sz w:val="18"/>
                      <w:szCs w:val="18"/>
                    </w:rPr>
                  </w:pPr>
                  <w:r w:rsidRPr="00303227">
                    <w:rPr>
                      <w:rFonts w:ascii="Arial" w:eastAsia="Calibri" w:hAnsi="Arial" w:cs="Times New Roman"/>
                      <w:sz w:val="18"/>
                      <w:szCs w:val="18"/>
                    </w:rPr>
                    <w:t>Total de l’actif</w:t>
                  </w:r>
                </w:p>
              </w:tc>
              <w:tc>
                <w:tcPr>
                  <w:tcW w:w="996" w:type="dxa"/>
                  <w:tcBorders>
                    <w:top w:val="nil"/>
                    <w:left w:val="nil"/>
                    <w:bottom w:val="single" w:sz="18" w:space="0" w:color="auto"/>
                    <w:right w:val="single" w:sz="4" w:space="0" w:color="auto"/>
                  </w:tcBorders>
                  <w:shd w:val="clear" w:color="auto" w:fill="F2F2F2" w:themeFill="background1" w:themeFillShade="F2"/>
                  <w:vAlign w:val="center"/>
                  <w:hideMark/>
                </w:tcPr>
                <w:p w14:paraId="12E58315" w14:textId="77777777" w:rsidR="007709D9" w:rsidRPr="00303227" w:rsidRDefault="007709D9" w:rsidP="005B581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R0270</w:t>
                  </w:r>
                </w:p>
              </w:tc>
              <w:tc>
                <w:tcPr>
                  <w:tcW w:w="3825" w:type="dxa"/>
                  <w:gridSpan w:val="3"/>
                  <w:tcBorders>
                    <w:top w:val="nil"/>
                    <w:left w:val="nil"/>
                    <w:bottom w:val="single" w:sz="18" w:space="0" w:color="auto"/>
                    <w:right w:val="single" w:sz="4" w:space="0" w:color="auto"/>
                  </w:tcBorders>
                  <w:shd w:val="clear" w:color="auto" w:fill="F2F2F2" w:themeFill="background1" w:themeFillShade="F2"/>
                  <w:hideMark/>
                </w:tcPr>
                <w:p w14:paraId="09E26E89" w14:textId="77777777" w:rsidR="007709D9" w:rsidRPr="00303227" w:rsidRDefault="007709D9" w:rsidP="005B581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+90</w:t>
                  </w:r>
                </w:p>
              </w:tc>
            </w:tr>
            <w:tr w:rsidR="007709D9" w:rsidRPr="00303227" w14:paraId="6B4814F7" w14:textId="77777777" w:rsidTr="005B5817">
              <w:trPr>
                <w:trHeight w:val="300"/>
              </w:trPr>
              <w:tc>
                <w:tcPr>
                  <w:tcW w:w="3983"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64C0D15E" w14:textId="77777777" w:rsidR="007709D9" w:rsidRPr="00303227" w:rsidRDefault="007709D9" w:rsidP="005B5817">
                  <w:pPr>
                    <w:spacing w:after="0" w:line="360" w:lineRule="auto"/>
                    <w:rPr>
                      <w:rFonts w:ascii="Arial" w:eastAsia="Calibri" w:hAnsi="Arial" w:cs="Arial"/>
                      <w:sz w:val="18"/>
                      <w:szCs w:val="18"/>
                    </w:rPr>
                  </w:pPr>
                  <w:r w:rsidRPr="00303227">
                    <w:rPr>
                      <w:rFonts w:ascii="Arial" w:eastAsia="Calibri" w:hAnsi="Arial" w:cs="Times New Roman"/>
                      <w:sz w:val="18"/>
                      <w:szCs w:val="18"/>
                    </w:rPr>
                    <w:t>Autres passifs (hors éléments de fonds propres)</w:t>
                  </w:r>
                </w:p>
              </w:tc>
              <w:tc>
                <w:tcPr>
                  <w:tcW w:w="996" w:type="dxa"/>
                  <w:tcBorders>
                    <w:top w:val="nil"/>
                    <w:left w:val="nil"/>
                    <w:bottom w:val="single" w:sz="4" w:space="0" w:color="auto"/>
                    <w:right w:val="single" w:sz="4" w:space="0" w:color="auto"/>
                  </w:tcBorders>
                  <w:shd w:val="clear" w:color="auto" w:fill="F2F2F2" w:themeFill="background1" w:themeFillShade="F2"/>
                  <w:vAlign w:val="center"/>
                  <w:hideMark/>
                </w:tcPr>
                <w:p w14:paraId="542CEFDE" w14:textId="77777777" w:rsidR="007709D9" w:rsidRPr="00303227" w:rsidRDefault="007709D9" w:rsidP="005B581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R0310</w:t>
                  </w:r>
                </w:p>
              </w:tc>
              <w:tc>
                <w:tcPr>
                  <w:tcW w:w="3825" w:type="dxa"/>
                  <w:gridSpan w:val="3"/>
                  <w:tcBorders>
                    <w:top w:val="nil"/>
                    <w:left w:val="nil"/>
                    <w:bottom w:val="single" w:sz="4" w:space="0" w:color="auto"/>
                    <w:right w:val="single" w:sz="4" w:space="0" w:color="auto"/>
                  </w:tcBorders>
                  <w:shd w:val="clear" w:color="auto" w:fill="F2F2F2" w:themeFill="background1" w:themeFillShade="F2"/>
                  <w:hideMark/>
                </w:tcPr>
                <w:p w14:paraId="5AFB06FE" w14:textId="77777777" w:rsidR="007709D9" w:rsidRPr="00303227" w:rsidRDefault="007709D9" w:rsidP="005B581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+90</w:t>
                  </w:r>
                </w:p>
              </w:tc>
            </w:tr>
            <w:tr w:rsidR="007709D9" w:rsidRPr="00303227" w14:paraId="6BA053E0" w14:textId="77777777" w:rsidTr="005B5817">
              <w:trPr>
                <w:trHeight w:val="300"/>
              </w:trPr>
              <w:tc>
                <w:tcPr>
                  <w:tcW w:w="3983"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475927A3" w14:textId="77777777" w:rsidR="007709D9" w:rsidRPr="00303227" w:rsidRDefault="007709D9" w:rsidP="005B5817">
                  <w:pPr>
                    <w:spacing w:after="0" w:line="360" w:lineRule="auto"/>
                    <w:rPr>
                      <w:rFonts w:ascii="Arial" w:eastAsia="Calibri" w:hAnsi="Arial" w:cs="Arial"/>
                      <w:sz w:val="18"/>
                      <w:szCs w:val="18"/>
                    </w:rPr>
                  </w:pPr>
                  <w:r w:rsidRPr="00303227">
                    <w:rPr>
                      <w:rFonts w:ascii="Arial" w:eastAsia="Calibri" w:hAnsi="Arial" w:cs="Times New Roman"/>
                      <w:sz w:val="18"/>
                      <w:szCs w:val="18"/>
                    </w:rPr>
                    <w:t>Total des passifs (hors éléments de fonds propres)</w:t>
                  </w:r>
                </w:p>
              </w:tc>
              <w:tc>
                <w:tcPr>
                  <w:tcW w:w="996" w:type="dxa"/>
                  <w:tcBorders>
                    <w:top w:val="nil"/>
                    <w:left w:val="nil"/>
                    <w:bottom w:val="single" w:sz="4" w:space="0" w:color="auto"/>
                    <w:right w:val="single" w:sz="4" w:space="0" w:color="auto"/>
                  </w:tcBorders>
                  <w:shd w:val="clear" w:color="auto" w:fill="F2F2F2" w:themeFill="background1" w:themeFillShade="F2"/>
                  <w:vAlign w:val="center"/>
                  <w:hideMark/>
                </w:tcPr>
                <w:p w14:paraId="4252853C" w14:textId="77777777" w:rsidR="007709D9" w:rsidRPr="00303227" w:rsidRDefault="007709D9" w:rsidP="005B581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R0320</w:t>
                  </w:r>
                </w:p>
              </w:tc>
              <w:tc>
                <w:tcPr>
                  <w:tcW w:w="3825" w:type="dxa"/>
                  <w:gridSpan w:val="3"/>
                  <w:tcBorders>
                    <w:top w:val="nil"/>
                    <w:left w:val="nil"/>
                    <w:bottom w:val="single" w:sz="4" w:space="0" w:color="auto"/>
                    <w:right w:val="single" w:sz="4" w:space="0" w:color="auto"/>
                  </w:tcBorders>
                  <w:shd w:val="clear" w:color="auto" w:fill="F2F2F2" w:themeFill="background1" w:themeFillShade="F2"/>
                  <w:hideMark/>
                </w:tcPr>
                <w:p w14:paraId="72CE33A6" w14:textId="77777777" w:rsidR="007709D9" w:rsidRPr="00303227" w:rsidRDefault="007709D9" w:rsidP="005B581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+90</w:t>
                  </w:r>
                </w:p>
              </w:tc>
            </w:tr>
          </w:tbl>
          <w:p w14:paraId="00BE99DC" w14:textId="77777777" w:rsidR="007709D9" w:rsidRPr="00303227" w:rsidRDefault="007709D9" w:rsidP="005B5817">
            <w:pPr>
              <w:spacing w:line="360" w:lineRule="auto"/>
              <w:jc w:val="both"/>
              <w:rPr>
                <w:rFonts w:ascii="Arial" w:eastAsia="Calibri" w:hAnsi="Arial" w:cs="Arial"/>
                <w:sz w:val="18"/>
                <w:szCs w:val="18"/>
              </w:rPr>
            </w:pPr>
          </w:p>
        </w:tc>
      </w:tr>
    </w:tbl>
    <w:p w14:paraId="378205C7" w14:textId="77777777" w:rsidR="007709D9" w:rsidRPr="00303227" w:rsidRDefault="007709D9" w:rsidP="007709D9">
      <w:pPr>
        <w:spacing w:line="360" w:lineRule="auto"/>
        <w:jc w:val="both"/>
        <w:rPr>
          <w:rFonts w:ascii="Arial" w:eastAsia="Calibri" w:hAnsi="Arial" w:cs="Arial"/>
          <w:sz w:val="18"/>
          <w:szCs w:val="18"/>
        </w:rPr>
      </w:pPr>
    </w:p>
    <w:p w14:paraId="122478C0" w14:textId="77777777" w:rsidR="007709D9" w:rsidRPr="00303227" w:rsidRDefault="007709D9" w:rsidP="007709D9">
      <w:pPr>
        <w:spacing w:before="60" w:after="120" w:line="360" w:lineRule="auto"/>
        <w:jc w:val="both"/>
        <w:rPr>
          <w:rFonts w:ascii="Arial" w:eastAsia="Calibri" w:hAnsi="Arial" w:cs="Arial"/>
          <w:sz w:val="18"/>
          <w:szCs w:val="18"/>
        </w:rPr>
      </w:pPr>
      <w:r w:rsidRPr="00303227">
        <w:rPr>
          <w:rFonts w:ascii="Arial" w:eastAsia="Calibri" w:hAnsi="Arial" w:cs="Times New Roman"/>
          <w:sz w:val="18"/>
          <w:szCs w:val="18"/>
        </w:rPr>
        <w:t>Les « transactions financières » doivent être déclarées conformément au paragraphe 1 de la cinquième partie de l’annexe II au règlement (UE) 2018/231.</w:t>
      </w:r>
    </w:p>
    <w:p w14:paraId="1C392AA1" w14:textId="77777777" w:rsidR="007709D9" w:rsidRPr="00303227" w:rsidRDefault="007709D9" w:rsidP="007709D9">
      <w:pPr>
        <w:spacing w:before="60" w:after="120" w:line="360" w:lineRule="auto"/>
        <w:jc w:val="both"/>
        <w:rPr>
          <w:rFonts w:ascii="Arial" w:eastAsia="Calibri" w:hAnsi="Arial" w:cs="Arial"/>
          <w:sz w:val="18"/>
          <w:szCs w:val="18"/>
        </w:rPr>
      </w:pPr>
      <w:r w:rsidRPr="00303227">
        <w:rPr>
          <w:rFonts w:ascii="Arial" w:eastAsia="Calibri" w:hAnsi="Arial" w:cs="Times New Roman"/>
          <w:sz w:val="18"/>
          <w:szCs w:val="18"/>
        </w:rPr>
        <w:t>Les « valorisations » doivent être déclarées conformément au paragraphe 2 de la cinquième partie de l’annexe II du règlement (UE) 2018/231.</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2268"/>
        <w:gridCol w:w="5386"/>
      </w:tblGrid>
      <w:tr w:rsidR="007709D9" w:rsidRPr="00303227" w14:paraId="1C16E724" w14:textId="77777777" w:rsidTr="005B5817">
        <w:trPr>
          <w:trHeight w:val="490"/>
        </w:trPr>
        <w:tc>
          <w:tcPr>
            <w:tcW w:w="2093" w:type="dxa"/>
          </w:tcPr>
          <w:p w14:paraId="582523E6" w14:textId="77777777" w:rsidR="007709D9" w:rsidRPr="00303227" w:rsidRDefault="007709D9" w:rsidP="005B5817">
            <w:pPr>
              <w:spacing w:line="360" w:lineRule="auto"/>
              <w:rPr>
                <w:rFonts w:ascii="Arial" w:eastAsia="Calibri" w:hAnsi="Arial" w:cs="Arial"/>
                <w:sz w:val="18"/>
                <w:szCs w:val="18"/>
              </w:rPr>
            </w:pPr>
          </w:p>
        </w:tc>
        <w:tc>
          <w:tcPr>
            <w:tcW w:w="2268" w:type="dxa"/>
          </w:tcPr>
          <w:p w14:paraId="23DF1E5A" w14:textId="77777777" w:rsidR="007709D9" w:rsidRPr="00303227" w:rsidRDefault="007709D9" w:rsidP="005B5817">
            <w:pPr>
              <w:spacing w:before="120" w:after="0" w:line="360" w:lineRule="auto"/>
              <w:rPr>
                <w:rFonts w:ascii="Arial" w:eastAsia="Calibri" w:hAnsi="Arial" w:cs="Arial"/>
                <w:b/>
                <w:sz w:val="18"/>
                <w:szCs w:val="18"/>
                <w:lang w:eastAsia="de-DE"/>
              </w:rPr>
            </w:pPr>
            <w:r w:rsidRPr="00303227">
              <w:rPr>
                <w:rFonts w:ascii="Arial" w:eastAsia="Calibri" w:hAnsi="Arial" w:cs="Times New Roman"/>
                <w:b/>
                <w:sz w:val="18"/>
                <w:szCs w:val="18"/>
                <w:lang w:eastAsia="de-DE"/>
              </w:rPr>
              <w:t>INTITULE</w:t>
            </w:r>
          </w:p>
        </w:tc>
        <w:tc>
          <w:tcPr>
            <w:tcW w:w="5386" w:type="dxa"/>
          </w:tcPr>
          <w:p w14:paraId="419C1679" w14:textId="77777777" w:rsidR="007709D9" w:rsidRPr="00303227" w:rsidRDefault="007709D9" w:rsidP="005B5817">
            <w:pPr>
              <w:spacing w:before="120" w:after="0" w:line="360" w:lineRule="auto"/>
              <w:rPr>
                <w:rFonts w:ascii="Arial" w:eastAsia="Calibri" w:hAnsi="Arial" w:cs="Arial"/>
                <w:b/>
                <w:sz w:val="18"/>
                <w:szCs w:val="18"/>
                <w:lang w:eastAsia="de-DE"/>
              </w:rPr>
            </w:pPr>
            <w:r w:rsidRPr="00303227">
              <w:rPr>
                <w:rFonts w:ascii="Arial" w:eastAsia="Calibri" w:hAnsi="Arial" w:cs="Times New Roman"/>
                <w:b/>
                <w:sz w:val="18"/>
                <w:szCs w:val="18"/>
                <w:lang w:eastAsia="de-DE"/>
              </w:rPr>
              <w:t>INSTRUCTIONS</w:t>
            </w:r>
          </w:p>
        </w:tc>
      </w:tr>
      <w:tr w:rsidR="007709D9" w:rsidRPr="00303227" w14:paraId="60E7CC56" w14:textId="77777777" w:rsidTr="005B5817">
        <w:trPr>
          <w:trHeight w:val="481"/>
        </w:trPr>
        <w:tc>
          <w:tcPr>
            <w:tcW w:w="2093" w:type="dxa"/>
          </w:tcPr>
          <w:p w14:paraId="35AE18FC" w14:textId="77777777"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EZ0010</w:t>
            </w:r>
          </w:p>
          <w:p w14:paraId="73014B45" w14:textId="77777777" w:rsidR="007709D9" w:rsidRPr="00303227" w:rsidRDefault="007709D9" w:rsidP="005B5817">
            <w:pPr>
              <w:spacing w:line="360" w:lineRule="auto"/>
              <w:rPr>
                <w:rFonts w:ascii="Arial" w:eastAsia="Calibri" w:hAnsi="Arial" w:cs="Arial"/>
                <w:sz w:val="18"/>
                <w:szCs w:val="18"/>
                <w:highlight w:val="magenta"/>
              </w:rPr>
            </w:pPr>
          </w:p>
        </w:tc>
        <w:tc>
          <w:tcPr>
            <w:tcW w:w="2268" w:type="dxa"/>
          </w:tcPr>
          <w:p w14:paraId="13B17A19" w14:textId="77777777" w:rsidR="007709D9" w:rsidRPr="00303227" w:rsidRDefault="007709D9" w:rsidP="005B5817">
            <w:pPr>
              <w:spacing w:before="120" w:after="0" w:line="360" w:lineRule="auto"/>
              <w:rPr>
                <w:rFonts w:ascii="Arial" w:eastAsia="Calibri" w:hAnsi="Arial" w:cs="Arial"/>
                <w:sz w:val="18"/>
                <w:szCs w:val="18"/>
                <w:lang w:eastAsia="de-DE"/>
              </w:rPr>
            </w:pPr>
            <w:r w:rsidRPr="00303227">
              <w:rPr>
                <w:rFonts w:ascii="Arial" w:eastAsia="Calibri" w:hAnsi="Arial" w:cs="Times New Roman"/>
                <w:sz w:val="18"/>
                <w:szCs w:val="18"/>
                <w:lang w:eastAsia="de-DE"/>
              </w:rPr>
              <w:t xml:space="preserve">Encours </w:t>
            </w:r>
          </w:p>
          <w:p w14:paraId="1AA5D771" w14:textId="77777777" w:rsidR="007709D9" w:rsidRPr="00303227" w:rsidRDefault="007709D9" w:rsidP="005B5817">
            <w:pPr>
              <w:spacing w:before="120" w:after="0" w:line="360" w:lineRule="auto"/>
              <w:rPr>
                <w:rFonts w:ascii="Arial" w:eastAsia="Calibri" w:hAnsi="Arial" w:cs="Arial"/>
                <w:sz w:val="18"/>
                <w:szCs w:val="18"/>
                <w:lang w:eastAsia="de-DE"/>
              </w:rPr>
            </w:pPr>
            <w:r w:rsidRPr="00303227">
              <w:rPr>
                <w:rFonts w:ascii="Arial" w:eastAsia="Calibri" w:hAnsi="Arial" w:cs="Times New Roman"/>
                <w:sz w:val="18"/>
                <w:szCs w:val="18"/>
                <w:lang w:eastAsia="de-DE"/>
              </w:rPr>
              <w:t>Autres changements de volume</w:t>
            </w:r>
          </w:p>
          <w:p w14:paraId="6746D307" w14:textId="77777777" w:rsidR="007709D9" w:rsidRPr="00303227" w:rsidRDefault="007709D9" w:rsidP="005B5817">
            <w:pPr>
              <w:spacing w:before="120" w:after="0" w:line="360" w:lineRule="auto"/>
              <w:rPr>
                <w:rFonts w:ascii="Arial" w:eastAsia="Calibri" w:hAnsi="Arial" w:cs="Arial"/>
                <w:sz w:val="18"/>
                <w:szCs w:val="18"/>
                <w:lang w:eastAsia="de-DE"/>
              </w:rPr>
            </w:pPr>
            <w:r w:rsidRPr="00303227">
              <w:rPr>
                <w:rFonts w:ascii="Arial" w:eastAsia="Calibri" w:hAnsi="Arial" w:cs="Times New Roman"/>
                <w:sz w:val="18"/>
                <w:szCs w:val="18"/>
                <w:lang w:eastAsia="de-DE"/>
              </w:rPr>
              <w:t>Valorisation (y compris effets de change) ou transactions financières</w:t>
            </w:r>
          </w:p>
          <w:p w14:paraId="231AB09A" w14:textId="77777777" w:rsidR="007709D9" w:rsidRPr="00303227" w:rsidRDefault="007709D9" w:rsidP="005B5817">
            <w:pPr>
              <w:spacing w:before="120" w:after="0" w:line="360" w:lineRule="auto"/>
              <w:rPr>
                <w:rFonts w:ascii="Arial" w:eastAsia="Calibri" w:hAnsi="Arial" w:cs="Arial"/>
                <w:sz w:val="18"/>
                <w:szCs w:val="18"/>
                <w:highlight w:val="magenta"/>
                <w:lang w:eastAsia="de-DE"/>
              </w:rPr>
            </w:pPr>
            <w:r w:rsidRPr="00303227">
              <w:rPr>
                <w:rFonts w:ascii="Arial" w:eastAsia="Calibri" w:hAnsi="Arial" w:cs="Times New Roman"/>
                <w:sz w:val="18"/>
                <w:szCs w:val="18"/>
                <w:lang w:eastAsia="de-DE"/>
              </w:rPr>
              <w:lastRenderedPageBreak/>
              <w:t>(des transactions financières peuvent être déclarées au lieu de valorisations)</w:t>
            </w:r>
          </w:p>
        </w:tc>
        <w:tc>
          <w:tcPr>
            <w:tcW w:w="5386" w:type="dxa"/>
          </w:tcPr>
          <w:p w14:paraId="51F5BD7D" w14:textId="77777777"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lastRenderedPageBreak/>
              <w:t>Les BCN indiqueront s’il faut déclarer des valorisations ou des transactions financières.</w:t>
            </w:r>
          </w:p>
          <w:p w14:paraId="5B73516E" w14:textId="77777777"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 xml:space="preserve">Veuillez choisir une option dans la liste exhaustive suivante : </w:t>
            </w:r>
          </w:p>
          <w:p w14:paraId="7207CDD0" w14:textId="77777777"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1 – Encours</w:t>
            </w:r>
          </w:p>
          <w:p w14:paraId="306F9123" w14:textId="77777777"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 xml:space="preserve">5 – Autres changements de volume </w:t>
            </w:r>
          </w:p>
          <w:p w14:paraId="431FA6D5" w14:textId="77777777"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8 – Valorisations (y compris effets de change)</w:t>
            </w:r>
          </w:p>
          <w:p w14:paraId="30501F48" w14:textId="77777777"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4 – Transactions financières</w:t>
            </w:r>
          </w:p>
          <w:p w14:paraId="0CCCE833" w14:textId="77777777"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lastRenderedPageBreak/>
              <w:t>L’agent déclarant devra déclarer « 1 – Encours », « 5 – Autres changements de volume », et au choix soit « 8 – Valorisations (y compris effets de change) » soit « 4 – Transactions financières », en fonction des instructions de la BCN concernée quant à laquelle des deux est à déclarer.</w:t>
            </w:r>
          </w:p>
          <w:p w14:paraId="2BF4943E" w14:textId="77777777" w:rsidR="007709D9" w:rsidRPr="00303227" w:rsidRDefault="007709D9" w:rsidP="005B5817">
            <w:pPr>
              <w:spacing w:before="120" w:after="0" w:line="360" w:lineRule="auto"/>
              <w:rPr>
                <w:rFonts w:ascii="Arial" w:eastAsia="Calibri" w:hAnsi="Arial" w:cs="Arial"/>
                <w:sz w:val="18"/>
                <w:szCs w:val="18"/>
                <w:highlight w:val="magenta"/>
                <w:lang w:eastAsia="de-DE"/>
              </w:rPr>
            </w:pPr>
          </w:p>
        </w:tc>
      </w:tr>
    </w:tbl>
    <w:p w14:paraId="3796F9D3" w14:textId="77777777" w:rsidR="007709D9" w:rsidRPr="00303227" w:rsidRDefault="007709D9" w:rsidP="007709D9">
      <w:pPr>
        <w:spacing w:before="60" w:after="120" w:line="360" w:lineRule="auto"/>
        <w:jc w:val="both"/>
        <w:rPr>
          <w:rFonts w:ascii="Arial" w:eastAsia="Calibri" w:hAnsi="Arial" w:cs="Arial"/>
          <w:sz w:val="18"/>
          <w:szCs w:val="18"/>
        </w:rPr>
      </w:pPr>
    </w:p>
    <w:p w14:paraId="35FAF3C9" w14:textId="77777777" w:rsidR="007709D9" w:rsidRPr="00303227" w:rsidRDefault="007709D9" w:rsidP="007709D9">
      <w:pPr>
        <w:spacing w:before="60" w:after="120" w:line="360" w:lineRule="auto"/>
        <w:jc w:val="both"/>
        <w:rPr>
          <w:rFonts w:ascii="Arial" w:eastAsia="Calibri" w:hAnsi="Arial" w:cs="Arial"/>
          <w:sz w:val="18"/>
          <w:szCs w:val="18"/>
        </w:rPr>
      </w:pPr>
    </w:p>
    <w:p w14:paraId="77674194" w14:textId="77777777" w:rsidR="007709D9" w:rsidRPr="00303227" w:rsidRDefault="007709D9" w:rsidP="007709D9">
      <w:pPr>
        <w:spacing w:line="360" w:lineRule="auto"/>
        <w:jc w:val="both"/>
        <w:rPr>
          <w:rFonts w:ascii="Arial" w:eastAsia="Calibri" w:hAnsi="Arial" w:cs="Arial"/>
          <w:sz w:val="18"/>
          <w:szCs w:val="1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2268"/>
        <w:gridCol w:w="5386"/>
      </w:tblGrid>
      <w:tr w:rsidR="007709D9" w:rsidRPr="00303227" w14:paraId="368AB8B0" w14:textId="77777777" w:rsidTr="005B5817">
        <w:trPr>
          <w:trHeight w:val="481"/>
        </w:trPr>
        <w:tc>
          <w:tcPr>
            <w:tcW w:w="2093" w:type="dxa"/>
            <w:tcBorders>
              <w:top w:val="single" w:sz="4" w:space="0" w:color="auto"/>
              <w:left w:val="single" w:sz="4" w:space="0" w:color="auto"/>
              <w:bottom w:val="single" w:sz="4" w:space="0" w:color="auto"/>
              <w:right w:val="single" w:sz="4" w:space="0" w:color="auto"/>
            </w:tcBorders>
          </w:tcPr>
          <w:p w14:paraId="4F4BC99E" w14:textId="77777777" w:rsidR="007709D9" w:rsidRPr="00303227" w:rsidRDefault="007709D9" w:rsidP="005B5817">
            <w:pPr>
              <w:tabs>
                <w:tab w:val="left" w:pos="851"/>
                <w:tab w:val="right" w:pos="9356"/>
              </w:tabs>
              <w:spacing w:before="60" w:after="60" w:line="360" w:lineRule="auto"/>
              <w:rPr>
                <w:rFonts w:ascii="Arial" w:eastAsia="Calibri" w:hAnsi="Arial" w:cs="Arial"/>
                <w:b/>
                <w:bCs/>
                <w:sz w:val="18"/>
                <w:szCs w:val="18"/>
              </w:rPr>
            </w:pPr>
          </w:p>
        </w:tc>
        <w:tc>
          <w:tcPr>
            <w:tcW w:w="2268" w:type="dxa"/>
            <w:tcBorders>
              <w:top w:val="single" w:sz="4" w:space="0" w:color="auto"/>
              <w:left w:val="single" w:sz="4" w:space="0" w:color="auto"/>
              <w:bottom w:val="single" w:sz="4" w:space="0" w:color="auto"/>
              <w:right w:val="single" w:sz="4" w:space="0" w:color="auto"/>
            </w:tcBorders>
          </w:tcPr>
          <w:p w14:paraId="2982A02C" w14:textId="77777777" w:rsidR="007709D9" w:rsidRPr="00303227" w:rsidRDefault="007709D9" w:rsidP="005B5817">
            <w:pPr>
              <w:spacing w:before="120" w:after="0" w:line="360" w:lineRule="auto"/>
              <w:rPr>
                <w:rFonts w:ascii="Arial" w:eastAsia="Calibri" w:hAnsi="Arial" w:cs="Arial"/>
                <w:b/>
                <w:sz w:val="18"/>
                <w:szCs w:val="18"/>
                <w:lang w:eastAsia="de-DE"/>
              </w:rPr>
            </w:pPr>
            <w:r w:rsidRPr="00303227">
              <w:rPr>
                <w:rFonts w:ascii="Arial" w:eastAsia="Calibri" w:hAnsi="Arial" w:cs="Times New Roman"/>
                <w:b/>
                <w:sz w:val="18"/>
                <w:szCs w:val="18"/>
                <w:lang w:eastAsia="de-DE"/>
              </w:rPr>
              <w:t>INTITULE</w:t>
            </w:r>
          </w:p>
        </w:tc>
        <w:tc>
          <w:tcPr>
            <w:tcW w:w="5386" w:type="dxa"/>
            <w:tcBorders>
              <w:top w:val="single" w:sz="4" w:space="0" w:color="auto"/>
              <w:left w:val="single" w:sz="4" w:space="0" w:color="auto"/>
              <w:bottom w:val="single" w:sz="4" w:space="0" w:color="auto"/>
              <w:right w:val="single" w:sz="4" w:space="0" w:color="auto"/>
            </w:tcBorders>
          </w:tcPr>
          <w:p w14:paraId="13476F6F" w14:textId="77777777" w:rsidR="007709D9" w:rsidRPr="00303227" w:rsidRDefault="007709D9" w:rsidP="005B5817">
            <w:pPr>
              <w:tabs>
                <w:tab w:val="left" w:pos="851"/>
                <w:tab w:val="right" w:pos="9356"/>
              </w:tabs>
              <w:spacing w:before="60" w:after="60" w:line="360" w:lineRule="auto"/>
              <w:rPr>
                <w:rFonts w:ascii="Arial" w:eastAsia="Calibri" w:hAnsi="Arial" w:cs="Arial"/>
                <w:b/>
                <w:sz w:val="18"/>
                <w:szCs w:val="18"/>
              </w:rPr>
            </w:pPr>
            <w:r w:rsidRPr="00303227">
              <w:rPr>
                <w:rFonts w:ascii="Arial" w:eastAsia="Calibri" w:hAnsi="Arial" w:cs="Times New Roman"/>
                <w:b/>
                <w:sz w:val="18"/>
                <w:szCs w:val="18"/>
              </w:rPr>
              <w:t>INSTRUCTIONS</w:t>
            </w:r>
          </w:p>
        </w:tc>
      </w:tr>
      <w:tr w:rsidR="007709D9" w:rsidRPr="00303227" w14:paraId="26C50A4B" w14:textId="77777777" w:rsidTr="005B5817">
        <w:trPr>
          <w:trHeight w:val="481"/>
        </w:trPr>
        <w:tc>
          <w:tcPr>
            <w:tcW w:w="2093" w:type="dxa"/>
            <w:tcBorders>
              <w:top w:val="single" w:sz="4" w:space="0" w:color="auto"/>
              <w:left w:val="single" w:sz="4" w:space="0" w:color="auto"/>
              <w:bottom w:val="single" w:sz="4" w:space="0" w:color="auto"/>
              <w:right w:val="single" w:sz="4" w:space="0" w:color="auto"/>
            </w:tcBorders>
          </w:tcPr>
          <w:p w14:paraId="02DBF6BB" w14:textId="77777777"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ER0010</w:t>
            </w:r>
          </w:p>
        </w:tc>
        <w:tc>
          <w:tcPr>
            <w:tcW w:w="2268" w:type="dxa"/>
            <w:tcBorders>
              <w:top w:val="single" w:sz="4" w:space="0" w:color="auto"/>
              <w:left w:val="single" w:sz="4" w:space="0" w:color="auto"/>
              <w:bottom w:val="single" w:sz="4" w:space="0" w:color="auto"/>
              <w:right w:val="single" w:sz="4" w:space="0" w:color="auto"/>
            </w:tcBorders>
          </w:tcPr>
          <w:p w14:paraId="4B951FA7" w14:textId="128E557A" w:rsidR="007709D9" w:rsidRPr="00303227" w:rsidRDefault="007709D9" w:rsidP="005B5817">
            <w:pPr>
              <w:spacing w:before="120" w:after="0" w:line="360" w:lineRule="auto"/>
              <w:rPr>
                <w:rFonts w:ascii="Arial" w:eastAsia="Calibri" w:hAnsi="Arial" w:cs="Arial"/>
                <w:sz w:val="18"/>
                <w:szCs w:val="18"/>
                <w:lang w:eastAsia="de-DE"/>
              </w:rPr>
            </w:pPr>
            <w:r w:rsidRPr="00303227">
              <w:rPr>
                <w:rFonts w:ascii="Arial" w:eastAsia="Calibri" w:hAnsi="Arial" w:cs="Times New Roman"/>
                <w:sz w:val="18"/>
                <w:szCs w:val="18"/>
                <w:lang w:eastAsia="de-DE"/>
              </w:rPr>
              <w:t xml:space="preserve">Passifs </w:t>
            </w:r>
            <w:r w:rsidR="00E546EE" w:rsidRPr="00E546EE">
              <w:rPr>
                <w:rFonts w:ascii="Arial" w:eastAsia="Calibri" w:hAnsi="Arial" w:cs="Times New Roman"/>
                <w:sz w:val="18"/>
                <w:szCs w:val="18"/>
                <w:lang w:eastAsia="de-DE"/>
              </w:rPr>
              <w:t>(total)</w:t>
            </w:r>
          </w:p>
        </w:tc>
        <w:tc>
          <w:tcPr>
            <w:tcW w:w="5386" w:type="dxa"/>
            <w:tcBorders>
              <w:top w:val="single" w:sz="4" w:space="0" w:color="auto"/>
              <w:left w:val="single" w:sz="4" w:space="0" w:color="auto"/>
              <w:bottom w:val="single" w:sz="4" w:space="0" w:color="auto"/>
              <w:right w:val="single" w:sz="4" w:space="0" w:color="auto"/>
            </w:tcBorders>
          </w:tcPr>
          <w:p w14:paraId="32EC1A98" w14:textId="77777777"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 xml:space="preserve">Les passifs à des fins statistiques incluent le « total des passifs (hors éléments de fonds propres) » PFE.02.01 R0320 et l’«excédent d’actif sur passif » PFE.02.01 ER0321. </w:t>
            </w:r>
          </w:p>
        </w:tc>
      </w:tr>
      <w:tr w:rsidR="007709D9" w:rsidRPr="00303227" w14:paraId="04CC3129" w14:textId="77777777" w:rsidTr="005B5817">
        <w:trPr>
          <w:trHeight w:val="481"/>
        </w:trPr>
        <w:tc>
          <w:tcPr>
            <w:tcW w:w="2093" w:type="dxa"/>
            <w:tcBorders>
              <w:top w:val="single" w:sz="4" w:space="0" w:color="auto"/>
              <w:left w:val="single" w:sz="4" w:space="0" w:color="auto"/>
              <w:bottom w:val="single" w:sz="4" w:space="0" w:color="auto"/>
              <w:right w:val="single" w:sz="4" w:space="0" w:color="auto"/>
            </w:tcBorders>
          </w:tcPr>
          <w:p w14:paraId="7028A740" w14:textId="77777777"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ER0020-ER0050</w:t>
            </w:r>
          </w:p>
        </w:tc>
        <w:tc>
          <w:tcPr>
            <w:tcW w:w="2268" w:type="dxa"/>
            <w:tcBorders>
              <w:top w:val="single" w:sz="4" w:space="0" w:color="auto"/>
              <w:left w:val="single" w:sz="4" w:space="0" w:color="auto"/>
              <w:bottom w:val="single" w:sz="4" w:space="0" w:color="auto"/>
              <w:right w:val="single" w:sz="4" w:space="0" w:color="auto"/>
            </w:tcBorders>
          </w:tcPr>
          <w:p w14:paraId="62A53171" w14:textId="04D15A40" w:rsidR="007709D9" w:rsidRPr="00303227" w:rsidRDefault="00E546EE" w:rsidP="005B5817">
            <w:pPr>
              <w:tabs>
                <w:tab w:val="left" w:pos="851"/>
                <w:tab w:val="right" w:pos="9356"/>
              </w:tabs>
              <w:spacing w:before="60" w:after="60" w:line="360" w:lineRule="auto"/>
              <w:rPr>
                <w:rFonts w:ascii="Arial" w:eastAsia="Calibri" w:hAnsi="Arial" w:cs="Arial"/>
                <w:sz w:val="18"/>
                <w:szCs w:val="18"/>
              </w:rPr>
            </w:pPr>
            <w:r>
              <w:rPr>
                <w:rFonts w:ascii="Arial" w:eastAsia="Calibri" w:hAnsi="Arial" w:cs="Times New Roman"/>
                <w:sz w:val="18"/>
                <w:szCs w:val="18"/>
              </w:rPr>
              <w:t xml:space="preserve">10. </w:t>
            </w:r>
            <w:r w:rsidR="007709D9" w:rsidRPr="00303227">
              <w:rPr>
                <w:rFonts w:ascii="Arial" w:eastAsia="Calibri" w:hAnsi="Arial" w:cs="Times New Roman"/>
                <w:sz w:val="18"/>
                <w:szCs w:val="18"/>
              </w:rPr>
              <w:t>Prêts reçus</w:t>
            </w:r>
          </w:p>
          <w:p w14:paraId="7666AB2B" w14:textId="77777777" w:rsidR="007709D9" w:rsidRPr="00303227" w:rsidRDefault="007709D9" w:rsidP="005B5817">
            <w:pPr>
              <w:spacing w:before="120" w:after="0" w:line="360" w:lineRule="auto"/>
              <w:rPr>
                <w:rFonts w:ascii="Arial" w:eastAsia="Calibri" w:hAnsi="Arial" w:cs="Arial"/>
                <w:sz w:val="18"/>
                <w:szCs w:val="18"/>
                <w:lang w:eastAsia="de-DE"/>
              </w:rPr>
            </w:pPr>
            <w:r w:rsidRPr="00303227">
              <w:rPr>
                <w:rFonts w:ascii="Arial" w:eastAsia="Calibri" w:hAnsi="Arial" w:cs="Times New Roman"/>
                <w:sz w:val="18"/>
                <w:szCs w:val="18"/>
                <w:lang w:eastAsia="de-DE"/>
              </w:rPr>
              <w:t>(SEC 2010 : F.4)</w:t>
            </w:r>
          </w:p>
        </w:tc>
        <w:tc>
          <w:tcPr>
            <w:tcW w:w="5386" w:type="dxa"/>
            <w:tcBorders>
              <w:top w:val="single" w:sz="4" w:space="0" w:color="auto"/>
              <w:left w:val="single" w:sz="4" w:space="0" w:color="auto"/>
              <w:bottom w:val="single" w:sz="4" w:space="0" w:color="auto"/>
              <w:right w:val="single" w:sz="4" w:space="0" w:color="auto"/>
            </w:tcBorders>
          </w:tcPr>
          <w:p w14:paraId="5BC178C5" w14:textId="77777777"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Montants dus à ses créanciers par le fonds de pension, autres que ceux qui proviennent de l’émission de titres négociables. Cette catégorie comprend :</w:t>
            </w:r>
          </w:p>
          <w:p w14:paraId="284309FD" w14:textId="1E9DE1E4"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 xml:space="preserve"> – Les crédits : crédits accordés aux fonds de pension, qui sont soit matérialisés par des </w:t>
            </w:r>
            <w:r w:rsidR="00E61442">
              <w:rPr>
                <w:rFonts w:ascii="Arial" w:eastAsia="Calibri" w:hAnsi="Arial" w:cs="Times New Roman"/>
                <w:sz w:val="18"/>
                <w:szCs w:val="18"/>
              </w:rPr>
              <w:t>documents</w:t>
            </w:r>
            <w:r w:rsidR="00E61442" w:rsidRPr="00303227">
              <w:rPr>
                <w:rFonts w:ascii="Arial" w:eastAsia="Calibri" w:hAnsi="Arial" w:cs="Times New Roman"/>
                <w:sz w:val="18"/>
                <w:szCs w:val="18"/>
              </w:rPr>
              <w:t xml:space="preserve"> </w:t>
            </w:r>
            <w:r w:rsidRPr="00303227">
              <w:rPr>
                <w:rFonts w:ascii="Arial" w:eastAsia="Calibri" w:hAnsi="Arial" w:cs="Times New Roman"/>
                <w:sz w:val="18"/>
                <w:szCs w:val="18"/>
              </w:rPr>
              <w:t xml:space="preserve">non négociables, soit non matérialisés par des </w:t>
            </w:r>
            <w:r w:rsidR="00E61442">
              <w:rPr>
                <w:rFonts w:ascii="Arial" w:eastAsia="Calibri" w:hAnsi="Arial" w:cs="Times New Roman"/>
                <w:sz w:val="18"/>
                <w:szCs w:val="18"/>
              </w:rPr>
              <w:t>documents</w:t>
            </w:r>
            <w:r w:rsidRPr="00303227">
              <w:rPr>
                <w:rFonts w:ascii="Arial" w:eastAsia="Calibri" w:hAnsi="Arial" w:cs="Times New Roman"/>
                <w:sz w:val="18"/>
                <w:szCs w:val="18"/>
              </w:rPr>
              <w:t xml:space="preserve">. </w:t>
            </w:r>
          </w:p>
          <w:p w14:paraId="2EE30262" w14:textId="77777777"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 xml:space="preserve">– Les opérations de pension et les opérations similaires à des opérations de pension contre un nantissement en espèces : contrepartie en espèces reçue en échange de titres vendus par le fonds de pension à un prix donné avec engagement ferme de rachat des mêmes titres (ou de titres similaires) à un prix fixe et à une date ultérieure spécifiée. Les sommes reçues par le fonds de pension en échange de titres transférés à un tiers (l’« acquéreur temporaire ») doivent être classées dans la présente catégorie lorsqu’il existe un engagement ferme de procéder au rachat des titres et non pas seulement une option en ce sens. Cela signifie que le fonds de pension conserve tous les risques et bénéfices liés aux titres sous-jacents pendant la durée de l’opération. </w:t>
            </w:r>
          </w:p>
          <w:p w14:paraId="55DF2A6A" w14:textId="77777777"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 xml:space="preserve">– Les nantissements en espèces reçus en échange d’un prêt de titres : sommes reçues en échange de titres temporairement transférés à un tiers sous la forme de prêts de titres contre un nantissement en espèces. </w:t>
            </w:r>
          </w:p>
          <w:p w14:paraId="6D6B02EA" w14:textId="77777777"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 Les nantissements en espèces reçus lors d’opérations impliquant la cession temporaire d’or contre une garantie.</w:t>
            </w:r>
          </w:p>
          <w:p w14:paraId="3D5BC61E" w14:textId="77777777"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Les prêts reçus doivent figurer dans la rubrique « autres passifs (hors éléments de fonds propres) » PFE.02.01 R0310.</w:t>
            </w:r>
          </w:p>
        </w:tc>
      </w:tr>
      <w:tr w:rsidR="007709D9" w:rsidRPr="00303227" w14:paraId="34BDCFBB" w14:textId="77777777" w:rsidTr="005B5817">
        <w:trPr>
          <w:trHeight w:val="481"/>
        </w:trPr>
        <w:tc>
          <w:tcPr>
            <w:tcW w:w="2093" w:type="dxa"/>
            <w:tcBorders>
              <w:top w:val="single" w:sz="4" w:space="0" w:color="auto"/>
              <w:left w:val="single" w:sz="4" w:space="0" w:color="auto"/>
              <w:bottom w:val="single" w:sz="4" w:space="0" w:color="auto"/>
              <w:right w:val="single" w:sz="4" w:space="0" w:color="auto"/>
            </w:tcBorders>
          </w:tcPr>
          <w:p w14:paraId="2886B794" w14:textId="77777777" w:rsidR="007709D9" w:rsidRPr="00303227" w:rsidRDefault="007709D9" w:rsidP="005B5817">
            <w:pPr>
              <w:tabs>
                <w:tab w:val="left" w:pos="851"/>
                <w:tab w:val="right" w:pos="9356"/>
              </w:tabs>
              <w:spacing w:before="60" w:after="60" w:line="360" w:lineRule="auto"/>
              <w:rPr>
                <w:rFonts w:ascii="Arial" w:eastAsia="Calibri" w:hAnsi="Arial" w:cs="Arial"/>
                <w:bCs/>
                <w:sz w:val="18"/>
                <w:szCs w:val="18"/>
              </w:rPr>
            </w:pPr>
            <w:r w:rsidRPr="00303227">
              <w:rPr>
                <w:rFonts w:ascii="Arial" w:eastAsia="Calibri" w:hAnsi="Arial" w:cs="Times New Roman"/>
                <w:bCs/>
                <w:sz w:val="18"/>
                <w:szCs w:val="18"/>
              </w:rPr>
              <w:lastRenderedPageBreak/>
              <w:t>ER0030</w:t>
            </w:r>
          </w:p>
        </w:tc>
        <w:tc>
          <w:tcPr>
            <w:tcW w:w="2268" w:type="dxa"/>
            <w:tcBorders>
              <w:top w:val="single" w:sz="4" w:space="0" w:color="auto"/>
              <w:left w:val="single" w:sz="4" w:space="0" w:color="auto"/>
              <w:bottom w:val="single" w:sz="4" w:space="0" w:color="auto"/>
              <w:right w:val="single" w:sz="4" w:space="0" w:color="auto"/>
            </w:tcBorders>
          </w:tcPr>
          <w:p w14:paraId="533D7FC2" w14:textId="77777777"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Durée &lt; ou = à 1 an</w:t>
            </w:r>
          </w:p>
        </w:tc>
        <w:tc>
          <w:tcPr>
            <w:tcW w:w="5386" w:type="dxa"/>
            <w:tcBorders>
              <w:top w:val="single" w:sz="4" w:space="0" w:color="auto"/>
              <w:left w:val="single" w:sz="4" w:space="0" w:color="auto"/>
              <w:bottom w:val="single" w:sz="4" w:space="0" w:color="auto"/>
              <w:right w:val="single" w:sz="4" w:space="0" w:color="auto"/>
            </w:tcBorders>
          </w:tcPr>
          <w:p w14:paraId="795B0AE4" w14:textId="77777777"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Prêts reçus (SEC 2010 : F.4) d’une durée initiale &lt; ou = à 1 an</w:t>
            </w:r>
          </w:p>
        </w:tc>
      </w:tr>
      <w:tr w:rsidR="007709D9" w:rsidRPr="00303227" w14:paraId="63B74375" w14:textId="77777777" w:rsidTr="005B5817">
        <w:trPr>
          <w:trHeight w:val="481"/>
        </w:trPr>
        <w:tc>
          <w:tcPr>
            <w:tcW w:w="2093" w:type="dxa"/>
            <w:tcBorders>
              <w:top w:val="single" w:sz="4" w:space="0" w:color="auto"/>
              <w:left w:val="single" w:sz="4" w:space="0" w:color="auto"/>
              <w:bottom w:val="single" w:sz="4" w:space="0" w:color="auto"/>
              <w:right w:val="single" w:sz="4" w:space="0" w:color="auto"/>
            </w:tcBorders>
          </w:tcPr>
          <w:p w14:paraId="70D6F8FF" w14:textId="77777777" w:rsidR="007709D9" w:rsidRPr="00303227" w:rsidRDefault="007709D9" w:rsidP="005B5817">
            <w:pPr>
              <w:tabs>
                <w:tab w:val="left" w:pos="851"/>
                <w:tab w:val="right" w:pos="9356"/>
              </w:tabs>
              <w:spacing w:before="60" w:after="60" w:line="360" w:lineRule="auto"/>
              <w:rPr>
                <w:rFonts w:ascii="Arial" w:eastAsia="Calibri" w:hAnsi="Arial" w:cs="Arial"/>
                <w:bCs/>
                <w:sz w:val="18"/>
                <w:szCs w:val="18"/>
              </w:rPr>
            </w:pPr>
            <w:r w:rsidRPr="00303227">
              <w:rPr>
                <w:rFonts w:ascii="Arial" w:eastAsia="Calibri" w:hAnsi="Arial" w:cs="Times New Roman"/>
                <w:bCs/>
                <w:sz w:val="18"/>
                <w:szCs w:val="18"/>
              </w:rPr>
              <w:t>ER0040</w:t>
            </w:r>
          </w:p>
        </w:tc>
        <w:tc>
          <w:tcPr>
            <w:tcW w:w="2268" w:type="dxa"/>
            <w:tcBorders>
              <w:top w:val="single" w:sz="4" w:space="0" w:color="auto"/>
              <w:left w:val="single" w:sz="4" w:space="0" w:color="auto"/>
              <w:bottom w:val="single" w:sz="4" w:space="0" w:color="auto"/>
              <w:right w:val="single" w:sz="4" w:space="0" w:color="auto"/>
            </w:tcBorders>
          </w:tcPr>
          <w:p w14:paraId="021B3418" w14:textId="77777777"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Durée &gt; à 1 an et &lt; ou = à 5 ans</w:t>
            </w:r>
          </w:p>
        </w:tc>
        <w:tc>
          <w:tcPr>
            <w:tcW w:w="5386" w:type="dxa"/>
            <w:tcBorders>
              <w:top w:val="single" w:sz="4" w:space="0" w:color="auto"/>
              <w:left w:val="single" w:sz="4" w:space="0" w:color="auto"/>
              <w:bottom w:val="single" w:sz="4" w:space="0" w:color="auto"/>
              <w:right w:val="single" w:sz="4" w:space="0" w:color="auto"/>
            </w:tcBorders>
          </w:tcPr>
          <w:p w14:paraId="68AA2E18" w14:textId="77777777"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Prêts reçus (SEC 2010 : F.4) d’une durée initiale &gt; à 1 an et &lt; ou = à 5 ans</w:t>
            </w:r>
          </w:p>
        </w:tc>
      </w:tr>
      <w:tr w:rsidR="007709D9" w:rsidRPr="00303227" w14:paraId="3BA0282A" w14:textId="77777777" w:rsidTr="005B5817">
        <w:trPr>
          <w:trHeight w:val="481"/>
        </w:trPr>
        <w:tc>
          <w:tcPr>
            <w:tcW w:w="2093" w:type="dxa"/>
            <w:tcBorders>
              <w:top w:val="single" w:sz="4" w:space="0" w:color="auto"/>
              <w:left w:val="single" w:sz="4" w:space="0" w:color="auto"/>
              <w:bottom w:val="single" w:sz="4" w:space="0" w:color="auto"/>
              <w:right w:val="single" w:sz="4" w:space="0" w:color="auto"/>
            </w:tcBorders>
          </w:tcPr>
          <w:p w14:paraId="08A3D033" w14:textId="77777777" w:rsidR="007709D9" w:rsidRPr="00303227" w:rsidRDefault="007709D9" w:rsidP="005B5817">
            <w:pPr>
              <w:tabs>
                <w:tab w:val="left" w:pos="851"/>
                <w:tab w:val="right" w:pos="9356"/>
              </w:tabs>
              <w:spacing w:before="60" w:after="60" w:line="360" w:lineRule="auto"/>
              <w:rPr>
                <w:rFonts w:ascii="Arial" w:eastAsia="Calibri" w:hAnsi="Arial" w:cs="Arial"/>
                <w:bCs/>
                <w:sz w:val="18"/>
                <w:szCs w:val="18"/>
              </w:rPr>
            </w:pPr>
            <w:r w:rsidRPr="00303227">
              <w:rPr>
                <w:rFonts w:ascii="Arial" w:eastAsia="Calibri" w:hAnsi="Arial" w:cs="Times New Roman"/>
                <w:bCs/>
                <w:sz w:val="18"/>
                <w:szCs w:val="18"/>
              </w:rPr>
              <w:t>ER0050</w:t>
            </w:r>
          </w:p>
        </w:tc>
        <w:tc>
          <w:tcPr>
            <w:tcW w:w="2268" w:type="dxa"/>
            <w:tcBorders>
              <w:top w:val="single" w:sz="4" w:space="0" w:color="auto"/>
              <w:left w:val="single" w:sz="4" w:space="0" w:color="auto"/>
              <w:bottom w:val="single" w:sz="4" w:space="0" w:color="auto"/>
              <w:right w:val="single" w:sz="4" w:space="0" w:color="auto"/>
            </w:tcBorders>
          </w:tcPr>
          <w:p w14:paraId="0F76EF33" w14:textId="77777777"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&gt; à 5 ans</w:t>
            </w:r>
          </w:p>
        </w:tc>
        <w:tc>
          <w:tcPr>
            <w:tcW w:w="5386" w:type="dxa"/>
            <w:tcBorders>
              <w:top w:val="single" w:sz="4" w:space="0" w:color="auto"/>
              <w:left w:val="single" w:sz="4" w:space="0" w:color="auto"/>
              <w:bottom w:val="single" w:sz="4" w:space="0" w:color="auto"/>
              <w:right w:val="single" w:sz="4" w:space="0" w:color="auto"/>
            </w:tcBorders>
          </w:tcPr>
          <w:p w14:paraId="60C3339E" w14:textId="77777777"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Prêts reçus (SEC 2010 : F.4) d’une durée initiale &gt; à 5 ans</w:t>
            </w:r>
          </w:p>
        </w:tc>
      </w:tr>
      <w:tr w:rsidR="007709D9" w:rsidRPr="00303227" w14:paraId="473D8F2C" w14:textId="77777777" w:rsidTr="005B5817">
        <w:trPr>
          <w:trHeight w:val="481"/>
        </w:trPr>
        <w:tc>
          <w:tcPr>
            <w:tcW w:w="2093" w:type="dxa"/>
            <w:tcBorders>
              <w:top w:val="single" w:sz="4" w:space="0" w:color="auto"/>
              <w:left w:val="single" w:sz="4" w:space="0" w:color="auto"/>
              <w:bottom w:val="single" w:sz="4" w:space="0" w:color="auto"/>
              <w:right w:val="single" w:sz="4" w:space="0" w:color="auto"/>
            </w:tcBorders>
          </w:tcPr>
          <w:p w14:paraId="0A319F17" w14:textId="77777777"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ER0060</w:t>
            </w:r>
          </w:p>
        </w:tc>
        <w:tc>
          <w:tcPr>
            <w:tcW w:w="2268" w:type="dxa"/>
            <w:tcBorders>
              <w:top w:val="single" w:sz="4" w:space="0" w:color="auto"/>
              <w:left w:val="single" w:sz="4" w:space="0" w:color="auto"/>
              <w:bottom w:val="single" w:sz="4" w:space="0" w:color="auto"/>
              <w:right w:val="single" w:sz="4" w:space="0" w:color="auto"/>
            </w:tcBorders>
          </w:tcPr>
          <w:p w14:paraId="2CB0E1F0" w14:textId="715172B8" w:rsidR="007709D9" w:rsidRPr="00303227" w:rsidRDefault="00E546EE" w:rsidP="005B5817">
            <w:pPr>
              <w:spacing w:before="120" w:after="0" w:line="360" w:lineRule="auto"/>
              <w:rPr>
                <w:rFonts w:ascii="Arial" w:eastAsia="Calibri" w:hAnsi="Arial" w:cs="Arial"/>
                <w:sz w:val="18"/>
                <w:szCs w:val="18"/>
                <w:lang w:eastAsia="de-DE"/>
              </w:rPr>
            </w:pPr>
            <w:r>
              <w:rPr>
                <w:rFonts w:ascii="Arial" w:eastAsia="Calibri" w:hAnsi="Arial" w:cs="Times New Roman"/>
                <w:sz w:val="18"/>
                <w:szCs w:val="18"/>
                <w:lang w:eastAsia="de-DE"/>
              </w:rPr>
              <w:t xml:space="preserve">11. </w:t>
            </w:r>
            <w:r w:rsidR="007709D9" w:rsidRPr="00303227">
              <w:rPr>
                <w:rFonts w:ascii="Arial" w:eastAsia="Calibri" w:hAnsi="Arial" w:cs="Times New Roman"/>
                <w:sz w:val="18"/>
                <w:szCs w:val="18"/>
                <w:lang w:eastAsia="de-DE"/>
              </w:rPr>
              <w:t>Titres de créance émis (SEC</w:t>
            </w:r>
            <w:r w:rsidR="003D7930">
              <w:rPr>
                <w:rFonts w:ascii="Arial" w:eastAsia="Calibri" w:hAnsi="Arial" w:cs="Times New Roman"/>
                <w:sz w:val="18"/>
                <w:szCs w:val="18"/>
                <w:lang w:eastAsia="de-DE"/>
              </w:rPr>
              <w:t xml:space="preserve"> </w:t>
            </w:r>
            <w:r w:rsidR="007709D9" w:rsidRPr="00303227">
              <w:rPr>
                <w:rFonts w:ascii="Arial" w:eastAsia="Calibri" w:hAnsi="Arial" w:cs="Times New Roman"/>
                <w:sz w:val="18"/>
                <w:szCs w:val="18"/>
                <w:lang w:eastAsia="de-DE"/>
              </w:rPr>
              <w:t>2010 : F.3)</w:t>
            </w:r>
          </w:p>
        </w:tc>
        <w:tc>
          <w:tcPr>
            <w:tcW w:w="5386" w:type="dxa"/>
            <w:tcBorders>
              <w:top w:val="single" w:sz="4" w:space="0" w:color="auto"/>
              <w:left w:val="single" w:sz="4" w:space="0" w:color="auto"/>
              <w:bottom w:val="single" w:sz="4" w:space="0" w:color="auto"/>
              <w:right w:val="single" w:sz="4" w:space="0" w:color="auto"/>
            </w:tcBorders>
          </w:tcPr>
          <w:p w14:paraId="18D890F4" w14:textId="77777777"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Titres émis par le fonds de pension, autres que les actions, qui sont des instruments habituellement négociables et font l’objet de transactions sur des marchés secondaires ou qui peuvent être compensés sur le marché, et qui ne confèrent à leur porteur aucun droit de propriété sur l’institution émettrice. Élément figurant dans la rubrique « autres passifs (hors éléments de fonds propres) » PFE.02.01 R0310.</w:t>
            </w:r>
          </w:p>
        </w:tc>
      </w:tr>
      <w:tr w:rsidR="007709D9" w:rsidRPr="00303227" w14:paraId="2A2ADD08" w14:textId="77777777" w:rsidTr="005B5817">
        <w:trPr>
          <w:trHeight w:val="481"/>
        </w:trPr>
        <w:tc>
          <w:tcPr>
            <w:tcW w:w="2093" w:type="dxa"/>
            <w:tcBorders>
              <w:top w:val="single" w:sz="4" w:space="0" w:color="auto"/>
              <w:left w:val="single" w:sz="4" w:space="0" w:color="auto"/>
              <w:bottom w:val="single" w:sz="4" w:space="0" w:color="auto"/>
              <w:right w:val="single" w:sz="4" w:space="0" w:color="auto"/>
            </w:tcBorders>
          </w:tcPr>
          <w:p w14:paraId="1FAA5D1C" w14:textId="77777777"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ER0070</w:t>
            </w:r>
          </w:p>
        </w:tc>
        <w:tc>
          <w:tcPr>
            <w:tcW w:w="2268" w:type="dxa"/>
            <w:tcBorders>
              <w:top w:val="single" w:sz="4" w:space="0" w:color="auto"/>
              <w:left w:val="single" w:sz="4" w:space="0" w:color="auto"/>
              <w:bottom w:val="single" w:sz="4" w:space="0" w:color="auto"/>
              <w:right w:val="single" w:sz="4" w:space="0" w:color="auto"/>
            </w:tcBorders>
          </w:tcPr>
          <w:p w14:paraId="65C2B1A5" w14:textId="00D3983D" w:rsidR="007709D9" w:rsidRPr="00303227" w:rsidRDefault="00B25CB4" w:rsidP="005B5817">
            <w:pPr>
              <w:spacing w:before="120" w:after="0" w:line="360" w:lineRule="auto"/>
              <w:rPr>
                <w:rFonts w:ascii="Arial" w:eastAsia="Calibri" w:hAnsi="Arial" w:cs="Arial"/>
                <w:sz w:val="18"/>
                <w:szCs w:val="18"/>
                <w:lang w:eastAsia="de-DE"/>
              </w:rPr>
            </w:pPr>
            <w:r>
              <w:rPr>
                <w:rFonts w:ascii="Arial" w:eastAsia="Calibri" w:hAnsi="Arial" w:cs="Times New Roman"/>
                <w:sz w:val="18"/>
                <w:szCs w:val="18"/>
                <w:lang w:eastAsia="de-DE"/>
              </w:rPr>
              <w:t xml:space="preserve">12. </w:t>
            </w:r>
            <w:r w:rsidR="007709D9" w:rsidRPr="00303227">
              <w:rPr>
                <w:rFonts w:ascii="Arial" w:eastAsia="Calibri" w:hAnsi="Arial" w:cs="Times New Roman"/>
                <w:sz w:val="18"/>
                <w:szCs w:val="18"/>
                <w:lang w:eastAsia="de-DE"/>
              </w:rPr>
              <w:t>Actions (SEC 2010 : F.5, F.519)</w:t>
            </w:r>
          </w:p>
        </w:tc>
        <w:tc>
          <w:tcPr>
            <w:tcW w:w="5386" w:type="dxa"/>
            <w:tcBorders>
              <w:top w:val="single" w:sz="4" w:space="0" w:color="auto"/>
              <w:left w:val="single" w:sz="4" w:space="0" w:color="auto"/>
              <w:bottom w:val="single" w:sz="4" w:space="0" w:color="auto"/>
              <w:right w:val="single" w:sz="4" w:space="0" w:color="auto"/>
            </w:tcBorders>
          </w:tcPr>
          <w:p w14:paraId="7925E2CD" w14:textId="77777777"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 xml:space="preserve">Actifs financiers qui représentent des droits sur la propriété de sociétés ou de quasi-sociétés. Ces actifs financiers confèrent généralement à leurs porteurs le droit à une part des bénéfices des sociétés ou quasi-sociétés, et à une part de leur actif net en cas de liquidation. </w:t>
            </w:r>
          </w:p>
          <w:p w14:paraId="3D7AC6D6" w14:textId="2F478740"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Les actions doivent être enregistrées à la rubrique « excédent d’actif sur passif » PFE.02.01.</w:t>
            </w:r>
            <w:r w:rsidR="004C7412">
              <w:rPr>
                <w:rFonts w:ascii="Arial" w:eastAsia="Calibri" w:hAnsi="Arial" w:cs="Times New Roman"/>
                <w:sz w:val="18"/>
                <w:szCs w:val="18"/>
              </w:rPr>
              <w:t xml:space="preserve"> </w:t>
            </w:r>
            <w:r w:rsidRPr="00303227">
              <w:rPr>
                <w:rFonts w:ascii="Arial" w:eastAsia="Calibri" w:hAnsi="Arial" w:cs="Times New Roman"/>
                <w:sz w:val="18"/>
                <w:szCs w:val="18"/>
              </w:rPr>
              <w:t>R0321.</w:t>
            </w:r>
          </w:p>
        </w:tc>
      </w:tr>
      <w:tr w:rsidR="007709D9" w:rsidRPr="00303227" w14:paraId="6FFDCA03" w14:textId="77777777" w:rsidTr="005B5817">
        <w:trPr>
          <w:trHeight w:val="481"/>
        </w:trPr>
        <w:tc>
          <w:tcPr>
            <w:tcW w:w="2093" w:type="dxa"/>
            <w:tcBorders>
              <w:top w:val="single" w:sz="4" w:space="0" w:color="auto"/>
              <w:left w:val="single" w:sz="4" w:space="0" w:color="auto"/>
              <w:bottom w:val="single" w:sz="4" w:space="0" w:color="auto"/>
              <w:right w:val="single" w:sz="4" w:space="0" w:color="auto"/>
            </w:tcBorders>
          </w:tcPr>
          <w:p w14:paraId="496E34DA" w14:textId="77777777"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ER0080</w:t>
            </w:r>
          </w:p>
        </w:tc>
        <w:tc>
          <w:tcPr>
            <w:tcW w:w="2268" w:type="dxa"/>
            <w:tcBorders>
              <w:top w:val="single" w:sz="4" w:space="0" w:color="auto"/>
              <w:left w:val="single" w:sz="4" w:space="0" w:color="auto"/>
              <w:bottom w:val="single" w:sz="4" w:space="0" w:color="auto"/>
              <w:right w:val="single" w:sz="4" w:space="0" w:color="auto"/>
            </w:tcBorders>
          </w:tcPr>
          <w:p w14:paraId="23EE6AD6" w14:textId="65F85A9F" w:rsidR="007709D9" w:rsidRPr="00303227" w:rsidRDefault="00B25CB4" w:rsidP="005B5817">
            <w:pPr>
              <w:tabs>
                <w:tab w:val="left" w:pos="851"/>
                <w:tab w:val="right" w:pos="9356"/>
              </w:tabs>
              <w:spacing w:before="60" w:after="60" w:line="360" w:lineRule="auto"/>
              <w:rPr>
                <w:rFonts w:ascii="Arial" w:eastAsia="Calibri" w:hAnsi="Arial" w:cs="Arial"/>
                <w:sz w:val="18"/>
                <w:szCs w:val="18"/>
              </w:rPr>
            </w:pPr>
            <w:r>
              <w:rPr>
                <w:rFonts w:ascii="Arial" w:eastAsia="Calibri" w:hAnsi="Arial" w:cs="Times New Roman"/>
                <w:sz w:val="18"/>
                <w:szCs w:val="18"/>
              </w:rPr>
              <w:t xml:space="preserve">13. </w:t>
            </w:r>
            <w:r w:rsidR="007709D9" w:rsidRPr="00303227">
              <w:rPr>
                <w:rFonts w:ascii="Arial" w:eastAsia="Calibri" w:hAnsi="Arial" w:cs="Times New Roman"/>
                <w:sz w:val="18"/>
                <w:szCs w:val="18"/>
              </w:rPr>
              <w:t>Réserves techniques</w:t>
            </w:r>
          </w:p>
          <w:p w14:paraId="0C854CD7" w14:textId="77777777" w:rsidR="007709D9" w:rsidRPr="00303227" w:rsidRDefault="007709D9" w:rsidP="005B5817">
            <w:pPr>
              <w:spacing w:before="120" w:after="0" w:line="360" w:lineRule="auto"/>
              <w:rPr>
                <w:rFonts w:ascii="Arial" w:eastAsia="Calibri" w:hAnsi="Arial" w:cs="Arial"/>
                <w:sz w:val="18"/>
                <w:szCs w:val="18"/>
                <w:lang w:eastAsia="de-DE"/>
              </w:rPr>
            </w:pPr>
            <w:r w:rsidRPr="00303227">
              <w:rPr>
                <w:rFonts w:ascii="Arial" w:eastAsia="Calibri" w:hAnsi="Arial" w:cs="Times New Roman"/>
                <w:sz w:val="18"/>
                <w:szCs w:val="18"/>
                <w:lang w:eastAsia="de-DE"/>
              </w:rPr>
              <w:t>(SEC 2010 : F.6)</w:t>
            </w:r>
          </w:p>
        </w:tc>
        <w:tc>
          <w:tcPr>
            <w:tcW w:w="5386" w:type="dxa"/>
            <w:tcBorders>
              <w:top w:val="single" w:sz="4" w:space="0" w:color="auto"/>
              <w:left w:val="single" w:sz="4" w:space="0" w:color="auto"/>
              <w:bottom w:val="single" w:sz="4" w:space="0" w:color="auto"/>
              <w:right w:val="single" w:sz="4" w:space="0" w:color="auto"/>
            </w:tcBorders>
          </w:tcPr>
          <w:p w14:paraId="70E19750" w14:textId="77777777"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Les réserves techniques des régimes de retraite sont réparties en trois sous-catégories :</w:t>
            </w:r>
          </w:p>
          <w:p w14:paraId="1976D5A5" w14:textId="77777777" w:rsidR="007709D9" w:rsidRPr="00303227" w:rsidRDefault="007709D9" w:rsidP="005B5817">
            <w:pPr>
              <w:numPr>
                <w:ilvl w:val="0"/>
                <w:numId w:val="1"/>
              </w:numPr>
              <w:tabs>
                <w:tab w:val="left" w:pos="851"/>
                <w:tab w:val="right" w:pos="9356"/>
              </w:tabs>
              <w:spacing w:before="60" w:after="60" w:line="360" w:lineRule="auto"/>
              <w:ind w:left="459"/>
              <w:contextualSpacing/>
              <w:rPr>
                <w:rFonts w:ascii="Arial" w:eastAsia="Calibri" w:hAnsi="Arial" w:cs="Arial"/>
                <w:sz w:val="18"/>
                <w:szCs w:val="18"/>
              </w:rPr>
            </w:pPr>
            <w:r w:rsidRPr="00303227">
              <w:rPr>
                <w:rFonts w:ascii="Arial" w:eastAsia="Calibri" w:hAnsi="Arial" w:cs="Times New Roman"/>
                <w:sz w:val="18"/>
                <w:szCs w:val="18"/>
              </w:rPr>
              <w:t>droits à pension (F.63) ;</w:t>
            </w:r>
          </w:p>
          <w:p w14:paraId="7EEEDEE6" w14:textId="77777777" w:rsidR="007709D9" w:rsidRPr="00303227" w:rsidRDefault="007709D9" w:rsidP="005B5817">
            <w:pPr>
              <w:numPr>
                <w:ilvl w:val="0"/>
                <w:numId w:val="1"/>
              </w:numPr>
              <w:tabs>
                <w:tab w:val="left" w:pos="851"/>
                <w:tab w:val="right" w:pos="9356"/>
              </w:tabs>
              <w:spacing w:before="60" w:after="60" w:line="360" w:lineRule="auto"/>
              <w:ind w:left="459"/>
              <w:contextualSpacing/>
              <w:rPr>
                <w:rFonts w:ascii="Arial" w:eastAsia="Calibri" w:hAnsi="Arial" w:cs="Arial"/>
                <w:sz w:val="18"/>
                <w:szCs w:val="18"/>
              </w:rPr>
            </w:pPr>
            <w:r w:rsidRPr="00303227">
              <w:rPr>
                <w:rFonts w:ascii="Arial" w:eastAsia="Calibri" w:hAnsi="Arial" w:cs="Times New Roman"/>
                <w:sz w:val="18"/>
                <w:szCs w:val="18"/>
              </w:rPr>
              <w:t>droits des fonds de pension sur les gérants des systèmes de pension (F.64) ;</w:t>
            </w:r>
          </w:p>
          <w:p w14:paraId="2CEA1418" w14:textId="77777777" w:rsidR="007709D9" w:rsidRPr="00303227" w:rsidRDefault="007709D9" w:rsidP="005B5817">
            <w:pPr>
              <w:numPr>
                <w:ilvl w:val="0"/>
                <w:numId w:val="1"/>
              </w:numPr>
              <w:tabs>
                <w:tab w:val="left" w:pos="851"/>
                <w:tab w:val="right" w:pos="9356"/>
              </w:tabs>
              <w:spacing w:before="60" w:after="60" w:line="360" w:lineRule="auto"/>
              <w:ind w:left="459"/>
              <w:contextualSpacing/>
              <w:rPr>
                <w:rFonts w:ascii="Arial" w:eastAsia="Calibri" w:hAnsi="Arial" w:cs="Arial"/>
                <w:sz w:val="18"/>
                <w:szCs w:val="18"/>
              </w:rPr>
            </w:pPr>
            <w:r w:rsidRPr="00303227">
              <w:rPr>
                <w:rFonts w:ascii="Arial" w:eastAsia="Calibri" w:hAnsi="Arial" w:cs="Times New Roman"/>
                <w:sz w:val="18"/>
                <w:szCs w:val="18"/>
              </w:rPr>
              <w:t>droits à des prestations autres que de pension (F.65) ;</w:t>
            </w:r>
          </w:p>
          <w:p w14:paraId="2B119DFC" w14:textId="77777777"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Les réserves techniques doivent être déclarées brutes de réassurance.</w:t>
            </w:r>
          </w:p>
          <w:p w14:paraId="5DE6880A" w14:textId="29EF9C81"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Les réserves techniques doivent inclure les « provisions techniques » PFE.02.01 R0280 et la « </w:t>
            </w:r>
            <w:r w:rsidR="00B25CB4" w:rsidRPr="00B25CB4">
              <w:rPr>
                <w:rFonts w:ascii="Arial" w:eastAsia="Calibri" w:hAnsi="Arial" w:cs="Times New Roman"/>
                <w:sz w:val="18"/>
                <w:szCs w:val="18"/>
              </w:rPr>
              <w:t>Marge pour risque, marge de prudence supplémentaire (si applicable)</w:t>
            </w:r>
            <w:r w:rsidRPr="00303227">
              <w:rPr>
                <w:rFonts w:ascii="Arial" w:eastAsia="Calibri" w:hAnsi="Arial" w:cs="Times New Roman"/>
                <w:sz w:val="18"/>
                <w:szCs w:val="18"/>
              </w:rPr>
              <w:t>» PFE.02.01 R0290.</w:t>
            </w:r>
          </w:p>
        </w:tc>
      </w:tr>
      <w:tr w:rsidR="007709D9" w:rsidRPr="00303227" w14:paraId="0A55F8C1" w14:textId="77777777" w:rsidTr="005B5817">
        <w:trPr>
          <w:trHeight w:val="481"/>
        </w:trPr>
        <w:tc>
          <w:tcPr>
            <w:tcW w:w="2093" w:type="dxa"/>
            <w:tcBorders>
              <w:top w:val="single" w:sz="4" w:space="0" w:color="auto"/>
              <w:left w:val="single" w:sz="4" w:space="0" w:color="auto"/>
              <w:bottom w:val="single" w:sz="4" w:space="0" w:color="auto"/>
              <w:right w:val="single" w:sz="4" w:space="0" w:color="auto"/>
            </w:tcBorders>
          </w:tcPr>
          <w:p w14:paraId="763BC1E2" w14:textId="77777777"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ER0090</w:t>
            </w:r>
          </w:p>
        </w:tc>
        <w:tc>
          <w:tcPr>
            <w:tcW w:w="2268" w:type="dxa"/>
            <w:tcBorders>
              <w:top w:val="single" w:sz="4" w:space="0" w:color="auto"/>
              <w:left w:val="single" w:sz="4" w:space="0" w:color="auto"/>
              <w:bottom w:val="single" w:sz="4" w:space="0" w:color="auto"/>
              <w:right w:val="single" w:sz="4" w:space="0" w:color="auto"/>
            </w:tcBorders>
          </w:tcPr>
          <w:p w14:paraId="6D89F169" w14:textId="77777777"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dont droits à pension</w:t>
            </w:r>
          </w:p>
          <w:p w14:paraId="5FFF4227" w14:textId="77777777" w:rsidR="007709D9" w:rsidRPr="00303227" w:rsidRDefault="007709D9" w:rsidP="005B5817">
            <w:pPr>
              <w:spacing w:before="120" w:after="0" w:line="360" w:lineRule="auto"/>
              <w:rPr>
                <w:rFonts w:ascii="Arial" w:eastAsia="Calibri" w:hAnsi="Arial" w:cs="Arial"/>
                <w:sz w:val="18"/>
                <w:szCs w:val="18"/>
                <w:lang w:eastAsia="de-DE"/>
              </w:rPr>
            </w:pPr>
            <w:r w:rsidRPr="00303227">
              <w:rPr>
                <w:rFonts w:ascii="Arial" w:eastAsia="Calibri" w:hAnsi="Arial" w:cs="Times New Roman"/>
                <w:sz w:val="18"/>
                <w:szCs w:val="18"/>
                <w:lang w:eastAsia="de-DE"/>
              </w:rPr>
              <w:t>(SEC 2010 : F.63)</w:t>
            </w:r>
          </w:p>
        </w:tc>
        <w:tc>
          <w:tcPr>
            <w:tcW w:w="5386" w:type="dxa"/>
            <w:tcBorders>
              <w:top w:val="single" w:sz="4" w:space="0" w:color="auto"/>
              <w:left w:val="single" w:sz="4" w:space="0" w:color="auto"/>
              <w:bottom w:val="single" w:sz="4" w:space="0" w:color="auto"/>
              <w:right w:val="single" w:sz="4" w:space="0" w:color="auto"/>
            </w:tcBorders>
          </w:tcPr>
          <w:p w14:paraId="5E99B97E" w14:textId="77777777"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 xml:space="preserve">Montant de capital détenu par le fonds de pension afin de régler les futures indemnités de ses régimes de retraite. Il comprend les créances financières que les salariés actuels et les anciens salariés détiennent vis-à-vis : </w:t>
            </w:r>
          </w:p>
          <w:p w14:paraId="4A6E031F" w14:textId="77777777" w:rsidR="007709D9" w:rsidRPr="00303227" w:rsidRDefault="007709D9" w:rsidP="005B5817">
            <w:pPr>
              <w:numPr>
                <w:ilvl w:val="0"/>
                <w:numId w:val="2"/>
              </w:numPr>
              <w:tabs>
                <w:tab w:val="left" w:pos="851"/>
                <w:tab w:val="right" w:pos="9356"/>
              </w:tabs>
              <w:spacing w:before="60" w:after="60" w:line="360" w:lineRule="auto"/>
              <w:contextualSpacing/>
              <w:rPr>
                <w:rFonts w:ascii="Arial" w:eastAsia="Calibri" w:hAnsi="Arial" w:cs="Arial"/>
                <w:sz w:val="18"/>
                <w:szCs w:val="18"/>
              </w:rPr>
            </w:pPr>
            <w:r w:rsidRPr="00303227">
              <w:rPr>
                <w:rFonts w:ascii="Arial" w:eastAsia="Calibri" w:hAnsi="Arial" w:cs="Times New Roman"/>
                <w:sz w:val="18"/>
                <w:szCs w:val="18"/>
              </w:rPr>
              <w:t>soit de leurs employeurs ;</w:t>
            </w:r>
          </w:p>
          <w:p w14:paraId="797A88C3" w14:textId="77777777" w:rsidR="007709D9" w:rsidRPr="00303227" w:rsidRDefault="007709D9" w:rsidP="005B5817">
            <w:pPr>
              <w:numPr>
                <w:ilvl w:val="0"/>
                <w:numId w:val="2"/>
              </w:numPr>
              <w:tabs>
                <w:tab w:val="left" w:pos="851"/>
                <w:tab w:val="right" w:pos="9356"/>
              </w:tabs>
              <w:spacing w:before="60" w:after="60" w:line="360" w:lineRule="auto"/>
              <w:contextualSpacing/>
              <w:rPr>
                <w:rFonts w:ascii="Arial" w:eastAsia="Calibri" w:hAnsi="Arial" w:cs="Arial"/>
                <w:sz w:val="18"/>
                <w:szCs w:val="18"/>
              </w:rPr>
            </w:pPr>
            <w:r w:rsidRPr="00303227">
              <w:rPr>
                <w:rFonts w:ascii="Arial" w:eastAsia="Calibri" w:hAnsi="Arial" w:cs="Times New Roman"/>
                <w:sz w:val="18"/>
                <w:szCs w:val="18"/>
              </w:rPr>
              <w:t xml:space="preserve">soit d’un régime désigné par l’employeur pour payer les pensions acquises dans le cadre d’un accord de rémunération entre l’employeur et le salarié ; </w:t>
            </w:r>
          </w:p>
          <w:p w14:paraId="6CDD8C22" w14:textId="77777777" w:rsidR="007709D9" w:rsidRPr="00303227" w:rsidRDefault="007709D9" w:rsidP="005B5817">
            <w:pPr>
              <w:numPr>
                <w:ilvl w:val="0"/>
                <w:numId w:val="2"/>
              </w:numPr>
              <w:tabs>
                <w:tab w:val="left" w:pos="851"/>
                <w:tab w:val="right" w:pos="9356"/>
              </w:tabs>
              <w:spacing w:before="60" w:after="60" w:line="360" w:lineRule="auto"/>
              <w:contextualSpacing/>
              <w:rPr>
                <w:rFonts w:ascii="Arial" w:eastAsia="Calibri" w:hAnsi="Arial" w:cs="Arial"/>
                <w:sz w:val="18"/>
                <w:szCs w:val="18"/>
              </w:rPr>
            </w:pPr>
            <w:r w:rsidRPr="00303227">
              <w:rPr>
                <w:rFonts w:ascii="Arial" w:eastAsia="Calibri" w:hAnsi="Arial" w:cs="Times New Roman"/>
                <w:sz w:val="18"/>
                <w:szCs w:val="18"/>
              </w:rPr>
              <w:t xml:space="preserve">soit d’un assureur. </w:t>
            </w:r>
          </w:p>
        </w:tc>
      </w:tr>
      <w:tr w:rsidR="007709D9" w:rsidRPr="00303227" w14:paraId="4521857E" w14:textId="77777777" w:rsidTr="005B5817">
        <w:trPr>
          <w:trHeight w:val="481"/>
        </w:trPr>
        <w:tc>
          <w:tcPr>
            <w:tcW w:w="2093" w:type="dxa"/>
            <w:tcBorders>
              <w:top w:val="single" w:sz="4" w:space="0" w:color="auto"/>
              <w:left w:val="single" w:sz="4" w:space="0" w:color="auto"/>
              <w:bottom w:val="single" w:sz="4" w:space="0" w:color="auto"/>
              <w:right w:val="single" w:sz="4" w:space="0" w:color="auto"/>
            </w:tcBorders>
          </w:tcPr>
          <w:p w14:paraId="1F34B618" w14:textId="77777777"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lastRenderedPageBreak/>
              <w:t>ER0100</w:t>
            </w:r>
          </w:p>
        </w:tc>
        <w:tc>
          <w:tcPr>
            <w:tcW w:w="2268" w:type="dxa"/>
            <w:tcBorders>
              <w:top w:val="single" w:sz="4" w:space="0" w:color="auto"/>
              <w:left w:val="single" w:sz="4" w:space="0" w:color="auto"/>
              <w:bottom w:val="single" w:sz="4" w:space="0" w:color="auto"/>
              <w:right w:val="single" w:sz="4" w:space="0" w:color="auto"/>
            </w:tcBorders>
          </w:tcPr>
          <w:p w14:paraId="443A701D" w14:textId="77777777" w:rsidR="007709D9" w:rsidRPr="00303227" w:rsidRDefault="007709D9" w:rsidP="005B5817">
            <w:pPr>
              <w:spacing w:before="120" w:after="0" w:line="360" w:lineRule="auto"/>
              <w:rPr>
                <w:rFonts w:ascii="Arial" w:eastAsia="Calibri" w:hAnsi="Arial" w:cs="Arial"/>
                <w:sz w:val="18"/>
                <w:szCs w:val="18"/>
                <w:lang w:eastAsia="de-DE"/>
              </w:rPr>
            </w:pPr>
            <w:r w:rsidRPr="00303227">
              <w:rPr>
                <w:rFonts w:ascii="Arial" w:eastAsia="Calibri" w:hAnsi="Arial" w:cs="Times New Roman"/>
                <w:sz w:val="18"/>
                <w:szCs w:val="18"/>
                <w:lang w:eastAsia="de-DE"/>
              </w:rPr>
              <w:t>Droits à pension, dont régimes à cotisations définies</w:t>
            </w:r>
          </w:p>
        </w:tc>
        <w:tc>
          <w:tcPr>
            <w:tcW w:w="5386" w:type="dxa"/>
            <w:tcBorders>
              <w:top w:val="single" w:sz="4" w:space="0" w:color="auto"/>
              <w:left w:val="single" w:sz="4" w:space="0" w:color="auto"/>
              <w:bottom w:val="single" w:sz="4" w:space="0" w:color="auto"/>
              <w:right w:val="single" w:sz="4" w:space="0" w:color="auto"/>
            </w:tcBorders>
          </w:tcPr>
          <w:p w14:paraId="10EBE79F" w14:textId="3A7EEBAA" w:rsidR="007709D9" w:rsidRPr="00303227" w:rsidRDefault="007709D9" w:rsidP="00A82840">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Montant de capital détenu par le fonds de pension afin de régler les futurs droits à pension des assurés de son régime à cotisations définies. Dans un régime à cotisations définies, les prestations versées dépendent du rendement des actifs acquis par le régime de retraite. Le passif d’un régime à cotisations définies est égal à la valeur de marché courante des actifs du fonds.</w:t>
            </w:r>
          </w:p>
        </w:tc>
      </w:tr>
      <w:tr w:rsidR="007709D9" w:rsidRPr="00303227" w14:paraId="3E598E4E" w14:textId="77777777" w:rsidTr="005B5817">
        <w:trPr>
          <w:trHeight w:val="481"/>
        </w:trPr>
        <w:tc>
          <w:tcPr>
            <w:tcW w:w="2093" w:type="dxa"/>
            <w:tcBorders>
              <w:top w:val="single" w:sz="4" w:space="0" w:color="auto"/>
              <w:left w:val="single" w:sz="4" w:space="0" w:color="auto"/>
              <w:bottom w:val="single" w:sz="4" w:space="0" w:color="auto"/>
              <w:right w:val="single" w:sz="4" w:space="0" w:color="auto"/>
            </w:tcBorders>
          </w:tcPr>
          <w:p w14:paraId="320B1E99" w14:textId="77777777"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ER0110</w:t>
            </w:r>
          </w:p>
        </w:tc>
        <w:tc>
          <w:tcPr>
            <w:tcW w:w="2268" w:type="dxa"/>
            <w:tcBorders>
              <w:top w:val="single" w:sz="4" w:space="0" w:color="auto"/>
              <w:left w:val="single" w:sz="4" w:space="0" w:color="auto"/>
              <w:bottom w:val="single" w:sz="4" w:space="0" w:color="auto"/>
              <w:right w:val="single" w:sz="4" w:space="0" w:color="auto"/>
            </w:tcBorders>
          </w:tcPr>
          <w:p w14:paraId="6FA195AB" w14:textId="77777777" w:rsidR="007709D9" w:rsidRPr="00303227" w:rsidRDefault="007709D9" w:rsidP="005B5817">
            <w:pPr>
              <w:spacing w:before="120" w:after="0" w:line="360" w:lineRule="auto"/>
              <w:rPr>
                <w:rFonts w:ascii="Arial" w:eastAsia="Calibri" w:hAnsi="Arial" w:cs="Arial"/>
                <w:sz w:val="18"/>
                <w:szCs w:val="18"/>
                <w:lang w:eastAsia="de-DE"/>
              </w:rPr>
            </w:pPr>
            <w:r w:rsidRPr="00303227">
              <w:rPr>
                <w:rFonts w:ascii="Arial" w:eastAsia="Calibri" w:hAnsi="Arial" w:cs="Times New Roman"/>
                <w:sz w:val="18"/>
                <w:szCs w:val="18"/>
                <w:lang w:eastAsia="de-DE"/>
              </w:rPr>
              <w:t>Droits à pension, dont régimes à prestations définies</w:t>
            </w:r>
          </w:p>
        </w:tc>
        <w:tc>
          <w:tcPr>
            <w:tcW w:w="5386" w:type="dxa"/>
            <w:tcBorders>
              <w:top w:val="single" w:sz="4" w:space="0" w:color="auto"/>
              <w:left w:val="single" w:sz="4" w:space="0" w:color="auto"/>
              <w:bottom w:val="single" w:sz="4" w:space="0" w:color="auto"/>
              <w:right w:val="single" w:sz="4" w:space="0" w:color="auto"/>
            </w:tcBorders>
          </w:tcPr>
          <w:p w14:paraId="24F7A2E8" w14:textId="50122680"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Montant de capital détenu par le fonds de pension afin de régler les futurs droits à pension des assurés de son régime à prestations définies. Dans un régime de retraite à prestations définies, le niveau des prestations de retraite promises aux salariés affiliés est calculé selon une formule convenue d’avance. Le passif d’un régime de retraite à prestations définies est égal à la valeur actuelle des prestations promises.</w:t>
            </w:r>
          </w:p>
          <w:p w14:paraId="4B315368" w14:textId="77777777"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Les régimes fictifs à cotisations définies et les régimes hybrides sont regroupés dans les régimes à prestations définies (SEC 2010, paragraphe 17.59). Un régime fictif à cotisations définies est similaire à un régime à cotisations définies, mais avec un montant minimal garanti à payer. Les régimes hybrides contiennent à la fois un élément de prestations définies et de cotisations définies. Un régime est considéré comme «hybride», soit parce qu’il contient des systèmes à prestations définies et à cotisations définies, soit parce qu’il comprend un régime fictif à cotisations définies et, en même temps, un système à prestations définies ou à cotisations définies.</w:t>
            </w:r>
          </w:p>
        </w:tc>
      </w:tr>
      <w:tr w:rsidR="007709D9" w:rsidRPr="00303227" w14:paraId="57789EFC" w14:textId="77777777" w:rsidTr="005B5817">
        <w:trPr>
          <w:trHeight w:val="481"/>
        </w:trPr>
        <w:tc>
          <w:tcPr>
            <w:tcW w:w="2093" w:type="dxa"/>
            <w:tcBorders>
              <w:top w:val="single" w:sz="4" w:space="0" w:color="auto"/>
              <w:left w:val="single" w:sz="4" w:space="0" w:color="auto"/>
              <w:bottom w:val="single" w:sz="4" w:space="0" w:color="auto"/>
              <w:right w:val="single" w:sz="4" w:space="0" w:color="auto"/>
            </w:tcBorders>
          </w:tcPr>
          <w:p w14:paraId="0CB511CB" w14:textId="77777777"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ER0120</w:t>
            </w:r>
          </w:p>
        </w:tc>
        <w:tc>
          <w:tcPr>
            <w:tcW w:w="2268" w:type="dxa"/>
            <w:tcBorders>
              <w:top w:val="single" w:sz="4" w:space="0" w:color="auto"/>
              <w:left w:val="single" w:sz="4" w:space="0" w:color="auto"/>
              <w:bottom w:val="single" w:sz="4" w:space="0" w:color="auto"/>
              <w:right w:val="single" w:sz="4" w:space="0" w:color="auto"/>
            </w:tcBorders>
          </w:tcPr>
          <w:p w14:paraId="197848DA" w14:textId="77777777"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dont droits des fonds de pension sur les gérants des systèmes de pension</w:t>
            </w:r>
          </w:p>
          <w:p w14:paraId="368F9E33" w14:textId="77777777" w:rsidR="007709D9" w:rsidRPr="00303227" w:rsidRDefault="007709D9" w:rsidP="005B5817">
            <w:pPr>
              <w:spacing w:before="120" w:after="0" w:line="360" w:lineRule="auto"/>
              <w:rPr>
                <w:rFonts w:ascii="Arial" w:eastAsia="Calibri" w:hAnsi="Arial" w:cs="Arial"/>
                <w:sz w:val="18"/>
                <w:szCs w:val="18"/>
                <w:lang w:eastAsia="de-DE"/>
              </w:rPr>
            </w:pPr>
            <w:r w:rsidRPr="00303227">
              <w:rPr>
                <w:rFonts w:ascii="Arial" w:eastAsia="Calibri" w:hAnsi="Arial" w:cs="Times New Roman"/>
                <w:sz w:val="18"/>
                <w:szCs w:val="18"/>
                <w:lang w:eastAsia="de-DE"/>
              </w:rPr>
              <w:t>(SEC 2010 : F.64)</w:t>
            </w:r>
          </w:p>
        </w:tc>
        <w:tc>
          <w:tcPr>
            <w:tcW w:w="5386" w:type="dxa"/>
            <w:tcBorders>
              <w:top w:val="single" w:sz="4" w:space="0" w:color="auto"/>
              <w:left w:val="single" w:sz="4" w:space="0" w:color="auto"/>
              <w:bottom w:val="single" w:sz="4" w:space="0" w:color="auto"/>
              <w:right w:val="single" w:sz="4" w:space="0" w:color="auto"/>
            </w:tcBorders>
          </w:tcPr>
          <w:p w14:paraId="3EB4DD8C" w14:textId="77777777"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 xml:space="preserve">Droits des fonds de pension sur les gérants des systèmes de pension, tels que définis aux paragraphes 5.186 et 17.78 du SEC 2010. </w:t>
            </w:r>
          </w:p>
          <w:p w14:paraId="3BA42797" w14:textId="77777777"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p>
          <w:p w14:paraId="238F9CA1" w14:textId="77777777"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Par conséquent, le montant que le fonds de pension doit verser au gérant du système de pension.</w:t>
            </w:r>
          </w:p>
        </w:tc>
      </w:tr>
      <w:tr w:rsidR="007709D9" w:rsidRPr="00303227" w14:paraId="1C2603F1" w14:textId="77777777" w:rsidTr="005B5817">
        <w:trPr>
          <w:trHeight w:val="481"/>
        </w:trPr>
        <w:tc>
          <w:tcPr>
            <w:tcW w:w="2093" w:type="dxa"/>
            <w:tcBorders>
              <w:top w:val="single" w:sz="4" w:space="0" w:color="auto"/>
              <w:left w:val="single" w:sz="4" w:space="0" w:color="auto"/>
              <w:bottom w:val="single" w:sz="4" w:space="0" w:color="auto"/>
              <w:right w:val="single" w:sz="4" w:space="0" w:color="auto"/>
            </w:tcBorders>
          </w:tcPr>
          <w:p w14:paraId="497802DC" w14:textId="77777777"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ER0130</w:t>
            </w:r>
          </w:p>
        </w:tc>
        <w:tc>
          <w:tcPr>
            <w:tcW w:w="2268" w:type="dxa"/>
            <w:tcBorders>
              <w:top w:val="single" w:sz="4" w:space="0" w:color="auto"/>
              <w:left w:val="single" w:sz="4" w:space="0" w:color="auto"/>
              <w:bottom w:val="single" w:sz="4" w:space="0" w:color="auto"/>
              <w:right w:val="single" w:sz="4" w:space="0" w:color="auto"/>
            </w:tcBorders>
          </w:tcPr>
          <w:p w14:paraId="1C129F8B" w14:textId="77777777"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 xml:space="preserve">dont droits à des prestations autres que de pension </w:t>
            </w:r>
          </w:p>
          <w:p w14:paraId="117F675F" w14:textId="77777777" w:rsidR="007709D9" w:rsidRPr="00303227" w:rsidRDefault="007709D9" w:rsidP="005B5817">
            <w:pPr>
              <w:spacing w:before="120" w:after="0" w:line="360" w:lineRule="auto"/>
              <w:rPr>
                <w:rFonts w:ascii="Arial" w:eastAsia="Calibri" w:hAnsi="Arial" w:cs="Arial"/>
                <w:sz w:val="18"/>
                <w:szCs w:val="18"/>
                <w:lang w:eastAsia="de-DE"/>
              </w:rPr>
            </w:pPr>
            <w:r w:rsidRPr="00303227">
              <w:rPr>
                <w:rFonts w:ascii="Arial" w:eastAsia="Calibri" w:hAnsi="Arial" w:cs="Times New Roman"/>
                <w:sz w:val="18"/>
                <w:szCs w:val="18"/>
                <w:lang w:eastAsia="de-DE"/>
              </w:rPr>
              <w:t>(SEC 2010 : F.65)</w:t>
            </w:r>
          </w:p>
        </w:tc>
        <w:tc>
          <w:tcPr>
            <w:tcW w:w="5386" w:type="dxa"/>
            <w:tcBorders>
              <w:top w:val="single" w:sz="4" w:space="0" w:color="auto"/>
              <w:left w:val="single" w:sz="4" w:space="0" w:color="auto"/>
              <w:bottom w:val="single" w:sz="4" w:space="0" w:color="auto"/>
              <w:right w:val="single" w:sz="4" w:space="0" w:color="auto"/>
            </w:tcBorders>
          </w:tcPr>
          <w:p w14:paraId="5FAD731D" w14:textId="77777777"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C’est l’excédent de cotisations nettes par rapport aux prestations, qui représente une augmentation de la dette du régime d’assurance envers les bénéficiaires (selon la définition du SEC 2010, paragraphe 5.187).</w:t>
            </w:r>
          </w:p>
        </w:tc>
      </w:tr>
      <w:tr w:rsidR="007709D9" w:rsidRPr="00303227" w14:paraId="381540ED" w14:textId="77777777" w:rsidTr="005B5817">
        <w:trPr>
          <w:trHeight w:val="481"/>
        </w:trPr>
        <w:tc>
          <w:tcPr>
            <w:tcW w:w="2093" w:type="dxa"/>
            <w:tcBorders>
              <w:top w:val="single" w:sz="4" w:space="0" w:color="auto"/>
              <w:left w:val="single" w:sz="4" w:space="0" w:color="auto"/>
              <w:bottom w:val="single" w:sz="4" w:space="0" w:color="auto"/>
              <w:right w:val="single" w:sz="4" w:space="0" w:color="auto"/>
            </w:tcBorders>
          </w:tcPr>
          <w:p w14:paraId="7971F74F" w14:textId="77777777"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ER0140</w:t>
            </w:r>
          </w:p>
        </w:tc>
        <w:tc>
          <w:tcPr>
            <w:tcW w:w="2268" w:type="dxa"/>
            <w:tcBorders>
              <w:top w:val="single" w:sz="4" w:space="0" w:color="auto"/>
              <w:left w:val="single" w:sz="4" w:space="0" w:color="auto"/>
              <w:bottom w:val="single" w:sz="4" w:space="0" w:color="auto"/>
              <w:right w:val="single" w:sz="4" w:space="0" w:color="auto"/>
            </w:tcBorders>
          </w:tcPr>
          <w:p w14:paraId="24298BD6" w14:textId="284DE5DE" w:rsidR="007709D9" w:rsidRPr="00303227" w:rsidRDefault="00B25CB4" w:rsidP="005B5817">
            <w:pPr>
              <w:tabs>
                <w:tab w:val="left" w:pos="851"/>
                <w:tab w:val="right" w:pos="9356"/>
              </w:tabs>
              <w:spacing w:before="60" w:after="60" w:line="360" w:lineRule="auto"/>
              <w:rPr>
                <w:rFonts w:ascii="Arial" w:eastAsia="Calibri" w:hAnsi="Arial" w:cs="Arial"/>
                <w:sz w:val="18"/>
                <w:szCs w:val="18"/>
              </w:rPr>
            </w:pPr>
            <w:r>
              <w:rPr>
                <w:rFonts w:ascii="Arial" w:eastAsia="Calibri" w:hAnsi="Arial" w:cs="Times New Roman"/>
                <w:sz w:val="18"/>
                <w:szCs w:val="18"/>
              </w:rPr>
              <w:t xml:space="preserve">14. </w:t>
            </w:r>
            <w:r w:rsidR="007709D9" w:rsidRPr="00303227">
              <w:rPr>
                <w:rFonts w:ascii="Arial" w:eastAsia="Calibri" w:hAnsi="Arial" w:cs="Times New Roman"/>
                <w:sz w:val="18"/>
                <w:szCs w:val="18"/>
              </w:rPr>
              <w:t xml:space="preserve">Produits financiers dérivés </w:t>
            </w:r>
          </w:p>
          <w:p w14:paraId="68E64736" w14:textId="77777777" w:rsidR="007709D9" w:rsidRPr="00303227" w:rsidRDefault="007709D9" w:rsidP="005B5817">
            <w:pPr>
              <w:spacing w:before="120" w:after="0" w:line="360" w:lineRule="auto"/>
              <w:rPr>
                <w:rFonts w:ascii="Arial" w:eastAsia="Calibri" w:hAnsi="Arial" w:cs="Arial"/>
                <w:sz w:val="18"/>
                <w:szCs w:val="18"/>
                <w:lang w:eastAsia="de-DE"/>
              </w:rPr>
            </w:pPr>
            <w:r w:rsidRPr="00303227">
              <w:rPr>
                <w:rFonts w:ascii="Arial" w:eastAsia="Calibri" w:hAnsi="Arial" w:cs="Times New Roman"/>
                <w:sz w:val="18"/>
                <w:szCs w:val="18"/>
                <w:lang w:eastAsia="de-DE"/>
              </w:rPr>
              <w:t>(SEC 2010 : F.71)</w:t>
            </w:r>
          </w:p>
        </w:tc>
        <w:tc>
          <w:tcPr>
            <w:tcW w:w="5386" w:type="dxa"/>
            <w:tcBorders>
              <w:top w:val="single" w:sz="4" w:space="0" w:color="auto"/>
              <w:left w:val="single" w:sz="4" w:space="0" w:color="auto"/>
              <w:bottom w:val="single" w:sz="4" w:space="0" w:color="auto"/>
              <w:right w:val="single" w:sz="4" w:space="0" w:color="auto"/>
            </w:tcBorders>
          </w:tcPr>
          <w:p w14:paraId="6546E4D7" w14:textId="77777777"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 xml:space="preserve">Les produits financiers dérivés sont des instruments financiers qui sont liés à un instrument ou indicateur financier ou produit de base spécifique, par le biais duquel des risques financiers spécifiques peuvent être négociés en tant que tels sur les marchés financiers. Cette catégorie comprend : </w:t>
            </w:r>
          </w:p>
          <w:p w14:paraId="6BC60077" w14:textId="77777777" w:rsidR="007709D9" w:rsidRPr="00303227" w:rsidRDefault="007709D9" w:rsidP="005B5817">
            <w:pPr>
              <w:numPr>
                <w:ilvl w:val="0"/>
                <w:numId w:val="1"/>
              </w:numPr>
              <w:tabs>
                <w:tab w:val="left" w:pos="851"/>
                <w:tab w:val="right" w:pos="9356"/>
              </w:tabs>
              <w:spacing w:before="60" w:after="60" w:line="360" w:lineRule="auto"/>
              <w:ind w:left="459"/>
              <w:contextualSpacing/>
              <w:rPr>
                <w:rFonts w:ascii="Arial" w:eastAsia="Calibri" w:hAnsi="Arial" w:cs="Arial"/>
                <w:sz w:val="18"/>
                <w:szCs w:val="18"/>
              </w:rPr>
            </w:pPr>
            <w:r w:rsidRPr="00303227">
              <w:rPr>
                <w:rFonts w:ascii="Arial" w:eastAsia="Calibri" w:hAnsi="Arial" w:cs="Times New Roman"/>
                <w:sz w:val="18"/>
                <w:szCs w:val="18"/>
              </w:rPr>
              <w:t>les options</w:t>
            </w:r>
          </w:p>
          <w:p w14:paraId="260CD8CE" w14:textId="77777777" w:rsidR="007709D9" w:rsidRPr="00303227" w:rsidRDefault="007709D9" w:rsidP="005B5817">
            <w:pPr>
              <w:numPr>
                <w:ilvl w:val="0"/>
                <w:numId w:val="1"/>
              </w:numPr>
              <w:tabs>
                <w:tab w:val="left" w:pos="851"/>
                <w:tab w:val="right" w:pos="9356"/>
              </w:tabs>
              <w:spacing w:before="60" w:after="60" w:line="360" w:lineRule="auto"/>
              <w:ind w:left="459"/>
              <w:contextualSpacing/>
              <w:rPr>
                <w:rFonts w:ascii="Arial" w:eastAsia="Calibri" w:hAnsi="Arial" w:cs="Arial"/>
                <w:sz w:val="18"/>
                <w:szCs w:val="18"/>
              </w:rPr>
            </w:pPr>
            <w:r w:rsidRPr="00303227">
              <w:rPr>
                <w:rFonts w:ascii="Arial" w:eastAsia="Calibri" w:hAnsi="Arial" w:cs="Times New Roman"/>
                <w:sz w:val="18"/>
                <w:szCs w:val="18"/>
              </w:rPr>
              <w:t>les bons d’option (</w:t>
            </w:r>
            <w:r w:rsidRPr="00303227">
              <w:rPr>
                <w:rFonts w:ascii="Arial" w:eastAsia="Calibri" w:hAnsi="Arial" w:cs="Times New Roman"/>
                <w:i/>
                <w:iCs/>
                <w:sz w:val="18"/>
                <w:szCs w:val="18"/>
              </w:rPr>
              <w:t>warrants</w:t>
            </w:r>
            <w:r w:rsidRPr="00303227">
              <w:rPr>
                <w:rFonts w:ascii="Arial" w:eastAsia="Calibri" w:hAnsi="Arial" w:cs="Times New Roman"/>
                <w:sz w:val="18"/>
                <w:szCs w:val="18"/>
              </w:rPr>
              <w:t>)</w:t>
            </w:r>
          </w:p>
          <w:p w14:paraId="55E62F2D" w14:textId="77777777" w:rsidR="007709D9" w:rsidRPr="00303227" w:rsidRDefault="007709D9" w:rsidP="005B5817">
            <w:pPr>
              <w:numPr>
                <w:ilvl w:val="0"/>
                <w:numId w:val="1"/>
              </w:numPr>
              <w:tabs>
                <w:tab w:val="left" w:pos="851"/>
                <w:tab w:val="right" w:pos="9356"/>
              </w:tabs>
              <w:spacing w:before="60" w:after="60" w:line="360" w:lineRule="auto"/>
              <w:ind w:left="459"/>
              <w:contextualSpacing/>
              <w:rPr>
                <w:rFonts w:ascii="Arial" w:eastAsia="Calibri" w:hAnsi="Arial" w:cs="Arial"/>
                <w:sz w:val="18"/>
                <w:szCs w:val="18"/>
              </w:rPr>
            </w:pPr>
            <w:r w:rsidRPr="00303227">
              <w:rPr>
                <w:rFonts w:ascii="Arial" w:eastAsia="Calibri" w:hAnsi="Arial" w:cs="Times New Roman"/>
                <w:sz w:val="18"/>
                <w:szCs w:val="18"/>
              </w:rPr>
              <w:lastRenderedPageBreak/>
              <w:t>les contrats à terme normalisés (</w:t>
            </w:r>
            <w:r w:rsidRPr="00303227">
              <w:rPr>
                <w:rFonts w:ascii="Arial" w:eastAsia="Calibri" w:hAnsi="Arial" w:cs="Times New Roman"/>
                <w:i/>
                <w:iCs/>
                <w:sz w:val="18"/>
                <w:szCs w:val="18"/>
              </w:rPr>
              <w:t>futures</w:t>
            </w:r>
            <w:r w:rsidRPr="00303227">
              <w:rPr>
                <w:rFonts w:ascii="Arial" w:eastAsia="Calibri" w:hAnsi="Arial" w:cs="Times New Roman"/>
                <w:sz w:val="18"/>
                <w:szCs w:val="18"/>
              </w:rPr>
              <w:t>)</w:t>
            </w:r>
          </w:p>
          <w:p w14:paraId="7AACB11A" w14:textId="77777777" w:rsidR="007709D9" w:rsidRPr="00303227" w:rsidRDefault="007709D9" w:rsidP="005B5817">
            <w:pPr>
              <w:numPr>
                <w:ilvl w:val="0"/>
                <w:numId w:val="1"/>
              </w:numPr>
              <w:tabs>
                <w:tab w:val="left" w:pos="851"/>
                <w:tab w:val="right" w:pos="9356"/>
              </w:tabs>
              <w:spacing w:before="60" w:after="60" w:line="360" w:lineRule="auto"/>
              <w:ind w:left="459"/>
              <w:contextualSpacing/>
              <w:rPr>
                <w:rFonts w:ascii="Arial" w:eastAsia="Calibri" w:hAnsi="Arial" w:cs="Arial"/>
                <w:sz w:val="18"/>
                <w:szCs w:val="18"/>
              </w:rPr>
            </w:pPr>
            <w:r w:rsidRPr="00303227">
              <w:rPr>
                <w:rFonts w:ascii="Arial" w:eastAsia="Calibri" w:hAnsi="Arial" w:cs="Times New Roman"/>
                <w:sz w:val="18"/>
                <w:szCs w:val="18"/>
              </w:rPr>
              <w:t>les contrats à terme de gré à gré (</w:t>
            </w:r>
            <w:r w:rsidRPr="00303227">
              <w:rPr>
                <w:rFonts w:ascii="Arial" w:eastAsia="Calibri" w:hAnsi="Arial" w:cs="Times New Roman"/>
                <w:i/>
                <w:iCs/>
                <w:sz w:val="18"/>
                <w:szCs w:val="18"/>
              </w:rPr>
              <w:t>forwards</w:t>
            </w:r>
            <w:r w:rsidRPr="00303227">
              <w:rPr>
                <w:rFonts w:ascii="Arial" w:eastAsia="Calibri" w:hAnsi="Arial" w:cs="Times New Roman"/>
                <w:sz w:val="18"/>
                <w:szCs w:val="18"/>
              </w:rPr>
              <w:t>)</w:t>
            </w:r>
          </w:p>
          <w:p w14:paraId="4E1337E4" w14:textId="77777777" w:rsidR="007709D9" w:rsidRPr="00303227" w:rsidRDefault="007709D9" w:rsidP="005B5817">
            <w:pPr>
              <w:numPr>
                <w:ilvl w:val="0"/>
                <w:numId w:val="1"/>
              </w:numPr>
              <w:tabs>
                <w:tab w:val="left" w:pos="851"/>
                <w:tab w:val="right" w:pos="9356"/>
              </w:tabs>
              <w:spacing w:before="60" w:after="60" w:line="360" w:lineRule="auto"/>
              <w:ind w:left="459"/>
              <w:contextualSpacing/>
              <w:rPr>
                <w:rFonts w:ascii="Arial" w:eastAsia="Calibri" w:hAnsi="Arial" w:cs="Arial"/>
                <w:sz w:val="18"/>
                <w:szCs w:val="18"/>
              </w:rPr>
            </w:pPr>
            <w:r w:rsidRPr="00303227">
              <w:rPr>
                <w:rFonts w:ascii="Arial" w:eastAsia="Calibri" w:hAnsi="Arial" w:cs="Times New Roman"/>
                <w:sz w:val="18"/>
                <w:szCs w:val="18"/>
              </w:rPr>
              <w:t>les contrats d’échange (</w:t>
            </w:r>
            <w:r w:rsidRPr="00303227">
              <w:rPr>
                <w:rFonts w:ascii="Arial" w:eastAsia="Calibri" w:hAnsi="Arial" w:cs="Times New Roman"/>
                <w:i/>
                <w:iCs/>
                <w:sz w:val="18"/>
                <w:szCs w:val="18"/>
              </w:rPr>
              <w:t>swaps</w:t>
            </w:r>
            <w:r w:rsidRPr="00303227">
              <w:rPr>
                <w:rFonts w:ascii="Arial" w:eastAsia="Calibri" w:hAnsi="Arial" w:cs="Times New Roman"/>
                <w:sz w:val="18"/>
                <w:szCs w:val="18"/>
              </w:rPr>
              <w:t>)</w:t>
            </w:r>
          </w:p>
          <w:p w14:paraId="525412FF" w14:textId="77777777" w:rsidR="007709D9" w:rsidRPr="00303227" w:rsidRDefault="007709D9" w:rsidP="005B5817">
            <w:pPr>
              <w:numPr>
                <w:ilvl w:val="0"/>
                <w:numId w:val="1"/>
              </w:numPr>
              <w:tabs>
                <w:tab w:val="left" w:pos="851"/>
                <w:tab w:val="right" w:pos="9356"/>
              </w:tabs>
              <w:spacing w:before="60" w:after="60" w:line="360" w:lineRule="auto"/>
              <w:ind w:left="459"/>
              <w:contextualSpacing/>
              <w:rPr>
                <w:rFonts w:ascii="Arial" w:eastAsia="Calibri" w:hAnsi="Arial" w:cs="Arial"/>
                <w:sz w:val="18"/>
                <w:szCs w:val="18"/>
              </w:rPr>
            </w:pPr>
            <w:r w:rsidRPr="00303227">
              <w:rPr>
                <w:rFonts w:ascii="Arial" w:eastAsia="Calibri" w:hAnsi="Arial" w:cs="Times New Roman"/>
                <w:sz w:val="18"/>
                <w:szCs w:val="18"/>
              </w:rPr>
              <w:t>les dérivés de crédit</w:t>
            </w:r>
          </w:p>
          <w:p w14:paraId="7E69B36C" w14:textId="6853CEF0"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Les produits financiers dérivés sont inscrits au bilan, à la valeur de marché, pour leur montant brut. Les contrats individuels sur produits dérivés dont la valeur de marché est positive sont inscrits à l’actif du bilan tandis que les contrats dont la valeur de marché est négative sont inscrits au passif du bilan également avec une valeur positive. Les engagements bruts futurs découlant de contrats sur produits dérivés ne doivent pas être inscrits au bilan. Les produits financiers dérivés peuvent être comptabilisés pour leur montant net selon différentes méthodes d’évaluation. Si seules des positions nettes sont disponibles ou si des positions sont comptabilisées à une valeur qui n’est pas la valeur de marché, ces positions sont déclarées à la place. Cette catégorie ne comprend pas les produits financiers dérivés qui ne sont pas soumis à l’obligation d’inscription au bilan en vertu des règles nationales. Les produits financiers dérivés doivent figurer dans la rubrique « </w:t>
            </w:r>
            <w:r w:rsidR="007F7C6E" w:rsidRPr="007F7C6E">
              <w:rPr>
                <w:rFonts w:ascii="Arial" w:eastAsia="Calibri" w:hAnsi="Arial" w:cs="Times New Roman"/>
                <w:sz w:val="18"/>
                <w:szCs w:val="18"/>
              </w:rPr>
              <w:t>Autres actifs non mentionnés dans les postes ci-dessus</w:t>
            </w:r>
            <w:r w:rsidRPr="00303227">
              <w:rPr>
                <w:rFonts w:ascii="Arial" w:eastAsia="Calibri" w:hAnsi="Arial" w:cs="Times New Roman"/>
                <w:sz w:val="18"/>
                <w:szCs w:val="18"/>
              </w:rPr>
              <w:t> » PFE.02.01 R0260.</w:t>
            </w:r>
          </w:p>
        </w:tc>
      </w:tr>
    </w:tbl>
    <w:p w14:paraId="2268A655" w14:textId="77777777" w:rsidR="007709D9" w:rsidRPr="00303227" w:rsidRDefault="007709D9" w:rsidP="007709D9">
      <w:pPr>
        <w:spacing w:line="360" w:lineRule="auto"/>
        <w:rPr>
          <w:rFonts w:ascii="Arial" w:eastAsia="Calibri" w:hAnsi="Arial" w:cs="Arial"/>
          <w:sz w:val="18"/>
          <w:szCs w:val="1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2268"/>
        <w:gridCol w:w="5386"/>
      </w:tblGrid>
      <w:tr w:rsidR="007709D9" w:rsidRPr="00303227" w14:paraId="10207E23" w14:textId="77777777" w:rsidTr="005B5817">
        <w:trPr>
          <w:trHeight w:val="481"/>
        </w:trPr>
        <w:tc>
          <w:tcPr>
            <w:tcW w:w="2093" w:type="dxa"/>
            <w:tcBorders>
              <w:top w:val="single" w:sz="4" w:space="0" w:color="auto"/>
              <w:left w:val="single" w:sz="4" w:space="0" w:color="auto"/>
              <w:bottom w:val="single" w:sz="4" w:space="0" w:color="auto"/>
              <w:right w:val="single" w:sz="4" w:space="0" w:color="auto"/>
            </w:tcBorders>
          </w:tcPr>
          <w:p w14:paraId="23C1C360" w14:textId="77777777"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ER0150</w:t>
            </w:r>
          </w:p>
        </w:tc>
        <w:tc>
          <w:tcPr>
            <w:tcW w:w="2268" w:type="dxa"/>
            <w:tcBorders>
              <w:top w:val="single" w:sz="4" w:space="0" w:color="auto"/>
              <w:left w:val="single" w:sz="4" w:space="0" w:color="auto"/>
              <w:bottom w:val="single" w:sz="4" w:space="0" w:color="auto"/>
              <w:right w:val="single" w:sz="4" w:space="0" w:color="auto"/>
            </w:tcBorders>
          </w:tcPr>
          <w:p w14:paraId="5B711210" w14:textId="78B04094" w:rsidR="007709D9" w:rsidRPr="00303227" w:rsidRDefault="007F7C6E" w:rsidP="005B5817">
            <w:pPr>
              <w:tabs>
                <w:tab w:val="left" w:pos="851"/>
                <w:tab w:val="right" w:pos="9356"/>
              </w:tabs>
              <w:spacing w:before="60" w:after="60" w:line="360" w:lineRule="auto"/>
              <w:rPr>
                <w:rFonts w:ascii="Arial" w:eastAsia="Calibri" w:hAnsi="Arial" w:cs="Arial"/>
                <w:sz w:val="18"/>
                <w:szCs w:val="18"/>
              </w:rPr>
            </w:pPr>
            <w:r>
              <w:rPr>
                <w:rFonts w:ascii="Arial" w:eastAsia="Calibri" w:hAnsi="Arial" w:cs="Times New Roman"/>
                <w:sz w:val="18"/>
                <w:szCs w:val="18"/>
              </w:rPr>
              <w:t xml:space="preserve">15. </w:t>
            </w:r>
            <w:r w:rsidR="007709D9" w:rsidRPr="00303227">
              <w:rPr>
                <w:rFonts w:ascii="Arial" w:eastAsia="Calibri" w:hAnsi="Arial" w:cs="Times New Roman"/>
                <w:sz w:val="18"/>
                <w:szCs w:val="18"/>
              </w:rPr>
              <w:t xml:space="preserve">Autres comptes à recevoir/à payer </w:t>
            </w:r>
          </w:p>
          <w:p w14:paraId="1BCEE800" w14:textId="77777777" w:rsidR="007709D9" w:rsidRPr="00303227" w:rsidRDefault="007709D9" w:rsidP="005B5817">
            <w:pPr>
              <w:spacing w:before="120" w:after="0" w:line="360" w:lineRule="auto"/>
              <w:rPr>
                <w:rFonts w:ascii="Arial" w:eastAsia="Calibri" w:hAnsi="Arial" w:cs="Arial"/>
                <w:sz w:val="18"/>
                <w:szCs w:val="18"/>
                <w:lang w:eastAsia="de-DE"/>
              </w:rPr>
            </w:pPr>
            <w:r w:rsidRPr="00303227">
              <w:rPr>
                <w:rFonts w:ascii="Arial" w:eastAsia="Calibri" w:hAnsi="Arial" w:cs="Times New Roman"/>
                <w:sz w:val="18"/>
                <w:szCs w:val="18"/>
                <w:lang w:eastAsia="de-DE"/>
              </w:rPr>
              <w:t>(SEC 2010 : F.8)</w:t>
            </w:r>
          </w:p>
        </w:tc>
        <w:tc>
          <w:tcPr>
            <w:tcW w:w="5386" w:type="dxa"/>
            <w:tcBorders>
              <w:top w:val="single" w:sz="4" w:space="0" w:color="auto"/>
              <w:left w:val="single" w:sz="4" w:space="0" w:color="auto"/>
              <w:bottom w:val="single" w:sz="4" w:space="0" w:color="auto"/>
              <w:right w:val="single" w:sz="4" w:space="0" w:color="auto"/>
            </w:tcBorders>
          </w:tcPr>
          <w:p w14:paraId="6BA708F6" w14:textId="77777777"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 xml:space="preserve">Ce poste est le poste résiduel au passif du bilan et est défini comme les « engagements non recensés par ailleurs ». Les BCN peuvent demander la déclaration de sous-positions particulières comprises dans cette catégorie, telles que : </w:t>
            </w:r>
          </w:p>
          <w:p w14:paraId="020FB1B8" w14:textId="401C1C81"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 les sommes à payer non liées à l’activité principale du fonds de pension, c’est-à-dire les sommes dues aux fournisseurs, les impôts</w:t>
            </w:r>
            <w:r w:rsidR="009D7FEA">
              <w:rPr>
                <w:rFonts w:ascii="Arial" w:eastAsia="Calibri" w:hAnsi="Arial" w:cs="Times New Roman"/>
                <w:sz w:val="18"/>
                <w:szCs w:val="18"/>
              </w:rPr>
              <w:t xml:space="preserve"> dus</w:t>
            </w:r>
            <w:r w:rsidRPr="00303227">
              <w:rPr>
                <w:rFonts w:ascii="Arial" w:eastAsia="Calibri" w:hAnsi="Arial" w:cs="Times New Roman"/>
                <w:sz w:val="18"/>
                <w:szCs w:val="18"/>
              </w:rPr>
              <w:t>, les salaires, les cotisations sociales, etc. ;</w:t>
            </w:r>
          </w:p>
          <w:p w14:paraId="2F218622" w14:textId="77777777"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 xml:space="preserve">– les provisions représentant des engagements envers des tiers, c’est-à-dire les retraites, les dividendes, etc. ; </w:t>
            </w:r>
          </w:p>
          <w:p w14:paraId="3423993A" w14:textId="77777777"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 xml:space="preserve">– les positions nettes provenant de prêts de titres sans nantissement en espèces ; </w:t>
            </w:r>
          </w:p>
          <w:p w14:paraId="54BA0C81" w14:textId="77777777"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 xml:space="preserve">– les sommes nettes à payer dans le cadre de règlements ultérieurs d’opérations sur titres ; </w:t>
            </w:r>
          </w:p>
          <w:p w14:paraId="007E80D1" w14:textId="77777777"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 des intérêts courus à payer sur les crédits.</w:t>
            </w:r>
          </w:p>
        </w:tc>
      </w:tr>
      <w:tr w:rsidR="007709D9" w:rsidRPr="00303227" w14:paraId="14D0A19E" w14:textId="77777777" w:rsidTr="005B5817">
        <w:trPr>
          <w:trHeight w:val="481"/>
        </w:trPr>
        <w:tc>
          <w:tcPr>
            <w:tcW w:w="2093" w:type="dxa"/>
            <w:tcBorders>
              <w:top w:val="single" w:sz="4" w:space="0" w:color="auto"/>
              <w:left w:val="single" w:sz="4" w:space="0" w:color="auto"/>
              <w:bottom w:val="single" w:sz="4" w:space="0" w:color="auto"/>
              <w:right w:val="single" w:sz="4" w:space="0" w:color="auto"/>
            </w:tcBorders>
          </w:tcPr>
          <w:p w14:paraId="4993BEA3" w14:textId="77777777"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ER0160</w:t>
            </w:r>
          </w:p>
        </w:tc>
        <w:tc>
          <w:tcPr>
            <w:tcW w:w="2268" w:type="dxa"/>
            <w:tcBorders>
              <w:top w:val="single" w:sz="4" w:space="0" w:color="auto"/>
              <w:left w:val="single" w:sz="4" w:space="0" w:color="auto"/>
              <w:bottom w:val="single" w:sz="4" w:space="0" w:color="auto"/>
              <w:right w:val="single" w:sz="4" w:space="0" w:color="auto"/>
            </w:tcBorders>
          </w:tcPr>
          <w:p w14:paraId="440541DA" w14:textId="30753222" w:rsidR="007709D9" w:rsidRPr="00303227" w:rsidRDefault="007F7C6E" w:rsidP="005B5817">
            <w:pPr>
              <w:spacing w:before="120" w:after="0" w:line="360" w:lineRule="auto"/>
              <w:rPr>
                <w:rFonts w:ascii="Arial" w:eastAsia="Calibri" w:hAnsi="Arial" w:cs="Arial"/>
                <w:sz w:val="18"/>
                <w:szCs w:val="18"/>
                <w:lang w:eastAsia="de-DE"/>
              </w:rPr>
            </w:pPr>
            <w:r>
              <w:rPr>
                <w:rFonts w:ascii="Arial" w:eastAsia="Calibri" w:hAnsi="Arial" w:cs="Times New Roman"/>
                <w:sz w:val="18"/>
                <w:szCs w:val="18"/>
                <w:lang w:eastAsia="de-DE"/>
              </w:rPr>
              <w:t xml:space="preserve">16. </w:t>
            </w:r>
            <w:r w:rsidR="007709D9" w:rsidRPr="00303227">
              <w:rPr>
                <w:rFonts w:ascii="Arial" w:eastAsia="Calibri" w:hAnsi="Arial" w:cs="Times New Roman"/>
                <w:sz w:val="18"/>
                <w:szCs w:val="18"/>
                <w:lang w:eastAsia="de-DE"/>
              </w:rPr>
              <w:t>Valeur nette (SEC 2010 : B.90)</w:t>
            </w:r>
          </w:p>
        </w:tc>
        <w:tc>
          <w:tcPr>
            <w:tcW w:w="5386" w:type="dxa"/>
            <w:tcBorders>
              <w:top w:val="single" w:sz="4" w:space="0" w:color="auto"/>
              <w:left w:val="single" w:sz="4" w:space="0" w:color="auto"/>
              <w:bottom w:val="single" w:sz="4" w:space="0" w:color="auto"/>
              <w:right w:val="single" w:sz="4" w:space="0" w:color="auto"/>
            </w:tcBorders>
          </w:tcPr>
          <w:p w14:paraId="18BC270F" w14:textId="0F3BF149"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 xml:space="preserve">Il s’agit du solde d’un compte de patrimoine (B.90) (SEC 2010, paragraphe 7.02). Le stock d’actifs et de passifs enregistrés dans un compte de patrimoine est évalué aux prix appropriés, c’est-à-dire généralement aux prix du marché en vigueur à la date d’établissement de ce compte. </w:t>
            </w:r>
            <w:r w:rsidR="00523738">
              <w:rPr>
                <w:rFonts w:ascii="Arial" w:eastAsia="Calibri" w:hAnsi="Arial" w:cs="Times New Roman"/>
                <w:sz w:val="18"/>
                <w:szCs w:val="18"/>
              </w:rPr>
              <w:t>D</w:t>
            </w:r>
            <w:r w:rsidRPr="00303227">
              <w:rPr>
                <w:rFonts w:ascii="Arial" w:eastAsia="Calibri" w:hAnsi="Arial" w:cs="Times New Roman"/>
                <w:sz w:val="18"/>
                <w:szCs w:val="18"/>
              </w:rPr>
              <w:t xml:space="preserve">ans un régime de pension à prestations déﬁnies, le niveau des prestations futures qui </w:t>
            </w:r>
            <w:r w:rsidRPr="00303227">
              <w:rPr>
                <w:rFonts w:ascii="Arial" w:eastAsia="Calibri" w:hAnsi="Arial" w:cs="Times New Roman"/>
                <w:sz w:val="18"/>
                <w:szCs w:val="18"/>
              </w:rPr>
              <w:lastRenderedPageBreak/>
              <w:t xml:space="preserve">seront servies aux </w:t>
            </w:r>
            <w:r w:rsidR="00523738">
              <w:rPr>
                <w:rFonts w:ascii="Arial" w:eastAsia="Calibri" w:hAnsi="Arial" w:cs="Times New Roman"/>
                <w:sz w:val="18"/>
                <w:szCs w:val="18"/>
              </w:rPr>
              <w:t>employés participants</w:t>
            </w:r>
            <w:r w:rsidR="00523738" w:rsidRPr="00303227">
              <w:rPr>
                <w:rFonts w:ascii="Arial" w:eastAsia="Calibri" w:hAnsi="Arial" w:cs="Times New Roman"/>
                <w:sz w:val="18"/>
                <w:szCs w:val="18"/>
              </w:rPr>
              <w:t xml:space="preserve"> </w:t>
            </w:r>
            <w:r w:rsidRPr="00303227">
              <w:rPr>
                <w:rFonts w:ascii="Arial" w:eastAsia="Calibri" w:hAnsi="Arial" w:cs="Times New Roman"/>
                <w:sz w:val="18"/>
                <w:szCs w:val="18"/>
              </w:rPr>
              <w:t xml:space="preserve">est déterminé par une formule convenue à l’avance. Le passif d’un régime de pension à prestations déﬁnies étant égal à la valeur </w:t>
            </w:r>
            <w:r w:rsidR="004B7C06">
              <w:rPr>
                <w:rFonts w:ascii="Arial" w:eastAsia="Calibri" w:hAnsi="Arial" w:cs="Times New Roman"/>
                <w:sz w:val="18"/>
                <w:szCs w:val="18"/>
              </w:rPr>
              <w:t>actuelle</w:t>
            </w:r>
            <w:r w:rsidR="004B7C06" w:rsidRPr="00303227">
              <w:rPr>
                <w:rFonts w:ascii="Arial" w:eastAsia="Calibri" w:hAnsi="Arial" w:cs="Times New Roman"/>
                <w:sz w:val="18"/>
                <w:szCs w:val="18"/>
              </w:rPr>
              <w:t xml:space="preserve"> </w:t>
            </w:r>
            <w:r w:rsidRPr="00303227">
              <w:rPr>
                <w:rFonts w:ascii="Arial" w:eastAsia="Calibri" w:hAnsi="Arial" w:cs="Times New Roman"/>
                <w:sz w:val="18"/>
                <w:szCs w:val="18"/>
              </w:rPr>
              <w:t>des prestations garanties, la valeur nette d’un tel régime peut ne pas être nulle. Dans un régime à cotisations définies, les prestations versées dépendent de la performance des actifs acquis par le fonds de pension. Le passif d’un tel régime est égal à la valeur de marché courante des actifs du fonds. La valeur nette de celui-ci est toujours nulle.</w:t>
            </w:r>
          </w:p>
          <w:p w14:paraId="05331C48" w14:textId="77777777"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La valeur nette doit figurer à la rubrique « excédent d’actif sur passif » PFE.02.01 ER0321</w:t>
            </w:r>
          </w:p>
        </w:tc>
      </w:tr>
    </w:tbl>
    <w:p w14:paraId="22D4EB5D" w14:textId="77777777" w:rsidR="007709D9" w:rsidRPr="00303227" w:rsidRDefault="007709D9" w:rsidP="007709D9">
      <w:pPr>
        <w:spacing w:line="360" w:lineRule="auto"/>
        <w:rPr>
          <w:rFonts w:ascii="Arial" w:eastAsia="Calibri" w:hAnsi="Arial" w:cs="Arial"/>
          <w:b/>
          <w:sz w:val="18"/>
          <w:szCs w:val="1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2268"/>
        <w:gridCol w:w="5386"/>
      </w:tblGrid>
      <w:tr w:rsidR="007709D9" w:rsidRPr="00303227" w14:paraId="0A7A00FF" w14:textId="77777777" w:rsidTr="005B5817">
        <w:trPr>
          <w:trHeight w:val="490"/>
        </w:trPr>
        <w:tc>
          <w:tcPr>
            <w:tcW w:w="2093" w:type="dxa"/>
          </w:tcPr>
          <w:p w14:paraId="5D5614C4" w14:textId="77777777" w:rsidR="007709D9" w:rsidRPr="00303227" w:rsidRDefault="007709D9" w:rsidP="005B5817">
            <w:pPr>
              <w:spacing w:line="360" w:lineRule="auto"/>
              <w:rPr>
                <w:rFonts w:ascii="Arial" w:eastAsia="Calibri" w:hAnsi="Arial" w:cs="Arial"/>
                <w:sz w:val="18"/>
                <w:szCs w:val="18"/>
              </w:rPr>
            </w:pPr>
          </w:p>
        </w:tc>
        <w:tc>
          <w:tcPr>
            <w:tcW w:w="2268" w:type="dxa"/>
          </w:tcPr>
          <w:p w14:paraId="4A679611" w14:textId="77777777" w:rsidR="007709D9" w:rsidRPr="00303227" w:rsidRDefault="007709D9" w:rsidP="005B5817">
            <w:pPr>
              <w:spacing w:before="120" w:after="0" w:line="360" w:lineRule="auto"/>
              <w:rPr>
                <w:rFonts w:ascii="Arial" w:eastAsia="Calibri" w:hAnsi="Arial" w:cs="Arial"/>
                <w:b/>
                <w:sz w:val="18"/>
                <w:szCs w:val="18"/>
                <w:lang w:eastAsia="de-DE"/>
              </w:rPr>
            </w:pPr>
            <w:r w:rsidRPr="00303227">
              <w:rPr>
                <w:rFonts w:ascii="Arial" w:eastAsia="Calibri" w:hAnsi="Arial" w:cs="Times New Roman"/>
                <w:b/>
                <w:sz w:val="18"/>
                <w:szCs w:val="18"/>
                <w:lang w:eastAsia="de-DE"/>
              </w:rPr>
              <w:t>INTITULE</w:t>
            </w:r>
          </w:p>
        </w:tc>
        <w:tc>
          <w:tcPr>
            <w:tcW w:w="5386" w:type="dxa"/>
          </w:tcPr>
          <w:p w14:paraId="02F4F57A" w14:textId="77777777" w:rsidR="007709D9" w:rsidRPr="00303227" w:rsidRDefault="007709D9" w:rsidP="005B5817">
            <w:pPr>
              <w:spacing w:before="120" w:after="0" w:line="360" w:lineRule="auto"/>
              <w:rPr>
                <w:rFonts w:ascii="Arial" w:eastAsia="Calibri" w:hAnsi="Arial" w:cs="Arial"/>
                <w:b/>
                <w:sz w:val="18"/>
                <w:szCs w:val="18"/>
                <w:lang w:eastAsia="de-DE"/>
              </w:rPr>
            </w:pPr>
            <w:r w:rsidRPr="00303227">
              <w:rPr>
                <w:rFonts w:ascii="Arial" w:eastAsia="Calibri" w:hAnsi="Arial" w:cs="Times New Roman"/>
                <w:b/>
                <w:sz w:val="18"/>
                <w:szCs w:val="18"/>
                <w:lang w:eastAsia="de-DE"/>
              </w:rPr>
              <w:t>INSTRUCTIONS</w:t>
            </w:r>
          </w:p>
        </w:tc>
      </w:tr>
      <w:tr w:rsidR="007709D9" w:rsidRPr="00303227" w14:paraId="3F1270D6" w14:textId="77777777" w:rsidTr="005B5817">
        <w:trPr>
          <w:trHeight w:val="481"/>
        </w:trPr>
        <w:tc>
          <w:tcPr>
            <w:tcW w:w="2093" w:type="dxa"/>
          </w:tcPr>
          <w:p w14:paraId="0584E88C" w14:textId="77777777"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EC0010</w:t>
            </w:r>
          </w:p>
          <w:p w14:paraId="56D9E5EA" w14:textId="77777777" w:rsidR="007709D9" w:rsidRPr="00303227" w:rsidRDefault="007709D9" w:rsidP="005B5817">
            <w:pPr>
              <w:spacing w:line="360" w:lineRule="auto"/>
              <w:rPr>
                <w:rFonts w:ascii="Arial" w:eastAsia="Calibri" w:hAnsi="Arial" w:cs="Arial"/>
                <w:sz w:val="18"/>
                <w:szCs w:val="18"/>
                <w:highlight w:val="magenta"/>
              </w:rPr>
            </w:pPr>
          </w:p>
        </w:tc>
        <w:tc>
          <w:tcPr>
            <w:tcW w:w="2268" w:type="dxa"/>
          </w:tcPr>
          <w:p w14:paraId="00563342" w14:textId="77777777" w:rsidR="007709D9" w:rsidRPr="00303227" w:rsidRDefault="007709D9" w:rsidP="005B5817">
            <w:pPr>
              <w:spacing w:before="120" w:after="0" w:line="360" w:lineRule="auto"/>
              <w:rPr>
                <w:rFonts w:ascii="Arial" w:eastAsia="Calibri" w:hAnsi="Arial" w:cs="Arial"/>
                <w:sz w:val="18"/>
                <w:szCs w:val="18"/>
                <w:highlight w:val="magenta"/>
                <w:lang w:eastAsia="de-DE"/>
              </w:rPr>
            </w:pPr>
            <w:r w:rsidRPr="00303227">
              <w:rPr>
                <w:rFonts w:ascii="Arial" w:eastAsia="Calibri" w:hAnsi="Arial" w:cs="Times New Roman"/>
                <w:sz w:val="18"/>
                <w:szCs w:val="18"/>
                <w:lang w:eastAsia="de-DE"/>
              </w:rPr>
              <w:t>Total</w:t>
            </w:r>
          </w:p>
        </w:tc>
        <w:tc>
          <w:tcPr>
            <w:tcW w:w="5386" w:type="dxa"/>
          </w:tcPr>
          <w:p w14:paraId="4A5DA9D7" w14:textId="77777777" w:rsidR="007709D9" w:rsidRDefault="007709D9" w:rsidP="005B5817">
            <w:pPr>
              <w:spacing w:before="120" w:after="0" w:line="360" w:lineRule="auto"/>
              <w:rPr>
                <w:rFonts w:ascii="Arial" w:eastAsia="Calibri" w:hAnsi="Arial" w:cs="Times New Roman"/>
                <w:sz w:val="18"/>
                <w:szCs w:val="18"/>
                <w:lang w:eastAsia="de-DE"/>
              </w:rPr>
            </w:pPr>
            <w:r w:rsidRPr="00303227">
              <w:rPr>
                <w:rFonts w:ascii="Arial" w:eastAsia="Calibri" w:hAnsi="Arial" w:cs="Times New Roman"/>
                <w:sz w:val="18"/>
                <w:szCs w:val="18"/>
                <w:lang w:eastAsia="de-DE"/>
              </w:rPr>
              <w:t>La valeur totale des réserves des fonds de pension vis-à-vis de tous les pays des contreparties doit être déclarée ici.</w:t>
            </w:r>
          </w:p>
          <w:p w14:paraId="53DEE0C0" w14:textId="77777777" w:rsidR="00830CFE" w:rsidRDefault="00830CFE" w:rsidP="00830CFE">
            <w:pPr>
              <w:spacing w:line="360" w:lineRule="auto"/>
              <w:rPr>
                <w:rFonts w:ascii="Arial" w:eastAsia="Calibri" w:hAnsi="Arial" w:cs="Arial"/>
                <w:b/>
                <w:bCs/>
                <w:sz w:val="18"/>
                <w:szCs w:val="18"/>
              </w:rPr>
            </w:pPr>
          </w:p>
          <w:p w14:paraId="05F9111E" w14:textId="206C84A4" w:rsidR="00830CFE" w:rsidRPr="002E3DFD" w:rsidRDefault="00830CFE" w:rsidP="002E3DFD">
            <w:pPr>
              <w:spacing w:line="360" w:lineRule="auto"/>
              <w:rPr>
                <w:rFonts w:ascii="Arial" w:eastAsia="Calibri" w:hAnsi="Arial" w:cs="Arial"/>
                <w:bCs/>
                <w:sz w:val="18"/>
                <w:szCs w:val="18"/>
              </w:rPr>
            </w:pPr>
            <w:r w:rsidRPr="002E3DFD">
              <w:rPr>
                <w:rFonts w:ascii="Arial" w:eastAsia="Calibri" w:hAnsi="Arial" w:cs="Arial"/>
                <w:bCs/>
                <w:sz w:val="18"/>
                <w:szCs w:val="18"/>
              </w:rPr>
              <w:t>Pour déterminer le pays de la contrepartie, il faut se référer à l’article premier et l’annexe A du règlement n° 2533/98 du 23 novembre 1998.</w:t>
            </w:r>
          </w:p>
        </w:tc>
      </w:tr>
      <w:tr w:rsidR="007709D9" w:rsidRPr="00303227" w14:paraId="17F47746" w14:textId="77777777" w:rsidTr="005B5817">
        <w:trPr>
          <w:trHeight w:val="481"/>
        </w:trPr>
        <w:tc>
          <w:tcPr>
            <w:tcW w:w="2093" w:type="dxa"/>
          </w:tcPr>
          <w:p w14:paraId="417F87C9" w14:textId="77777777"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EC0020</w:t>
            </w:r>
          </w:p>
        </w:tc>
        <w:tc>
          <w:tcPr>
            <w:tcW w:w="2268" w:type="dxa"/>
          </w:tcPr>
          <w:p w14:paraId="54890D00" w14:textId="77777777"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Territoire national</w:t>
            </w:r>
          </w:p>
        </w:tc>
        <w:tc>
          <w:tcPr>
            <w:tcW w:w="5386" w:type="dxa"/>
          </w:tcPr>
          <w:p w14:paraId="28C490D1" w14:textId="77777777" w:rsidR="007709D9" w:rsidRPr="00303227" w:rsidRDefault="007709D9" w:rsidP="005B5817">
            <w:pPr>
              <w:autoSpaceDE w:val="0"/>
              <w:autoSpaceDN w:val="0"/>
              <w:adjustRightInd w:val="0"/>
              <w:spacing w:before="240" w:after="0" w:line="360" w:lineRule="auto"/>
              <w:rPr>
                <w:rFonts w:ascii="Arial" w:eastAsia="Times New Roman" w:hAnsi="Arial" w:cs="Arial"/>
                <w:sz w:val="18"/>
                <w:szCs w:val="18"/>
                <w:lang w:eastAsia="fr-FR"/>
              </w:rPr>
            </w:pPr>
            <w:r w:rsidRPr="00303227">
              <w:rPr>
                <w:rFonts w:ascii="Arial" w:eastAsia="Times New Roman" w:hAnsi="Arial" w:cs="Arial"/>
                <w:sz w:val="18"/>
                <w:szCs w:val="18"/>
                <w:lang w:eastAsia="fr-FR"/>
              </w:rPr>
              <w:t>La valeur totale des réserves des fonds de pension vis-à-vis du pays des contreparties dans lequel le fonds de pension est résident doit être déclarée ici.</w:t>
            </w:r>
          </w:p>
        </w:tc>
      </w:tr>
      <w:tr w:rsidR="007709D9" w:rsidRPr="00303227" w14:paraId="3986BB93" w14:textId="77777777" w:rsidTr="005B5817">
        <w:trPr>
          <w:trHeight w:val="481"/>
        </w:trPr>
        <w:tc>
          <w:tcPr>
            <w:tcW w:w="2093" w:type="dxa"/>
          </w:tcPr>
          <w:p w14:paraId="189067A3" w14:textId="77777777" w:rsidR="007709D9" w:rsidRPr="00303227" w:rsidRDefault="007709D9" w:rsidP="005B5817">
            <w:pPr>
              <w:spacing w:line="360" w:lineRule="auto"/>
              <w:rPr>
                <w:rFonts w:ascii="Arial" w:eastAsia="Calibri" w:hAnsi="Arial" w:cs="Arial"/>
                <w:sz w:val="18"/>
                <w:szCs w:val="18"/>
              </w:rPr>
            </w:pPr>
            <w:r w:rsidRPr="00303227">
              <w:rPr>
                <w:rFonts w:ascii="Arial" w:eastAsia="Calibri" w:hAnsi="Arial" w:cs="Times New Roman"/>
                <w:sz w:val="18"/>
                <w:szCs w:val="18"/>
              </w:rPr>
              <w:t>EC0130</w:t>
            </w:r>
          </w:p>
        </w:tc>
        <w:tc>
          <w:tcPr>
            <w:tcW w:w="2268" w:type="dxa"/>
          </w:tcPr>
          <w:p w14:paraId="76E49C52" w14:textId="77777777" w:rsidR="007709D9" w:rsidRPr="00303227" w:rsidRDefault="007709D9" w:rsidP="005B5817">
            <w:pPr>
              <w:spacing w:before="120" w:after="0" w:line="360" w:lineRule="auto"/>
              <w:rPr>
                <w:rFonts w:ascii="Arial" w:eastAsia="Calibri" w:hAnsi="Arial" w:cs="Arial"/>
                <w:sz w:val="18"/>
                <w:szCs w:val="18"/>
                <w:lang w:eastAsia="de-DE"/>
              </w:rPr>
            </w:pPr>
            <w:r w:rsidRPr="00303227">
              <w:rPr>
                <w:rFonts w:ascii="Arial" w:eastAsia="Calibri" w:hAnsi="Arial" w:cs="Times New Roman"/>
                <w:sz w:val="18"/>
                <w:szCs w:val="18"/>
                <w:lang w:eastAsia="de-DE"/>
              </w:rPr>
              <w:t>États membres de la zone euro hors territoire national (total)</w:t>
            </w:r>
          </w:p>
        </w:tc>
        <w:tc>
          <w:tcPr>
            <w:tcW w:w="5386" w:type="dxa"/>
          </w:tcPr>
          <w:p w14:paraId="3B4DFA43" w14:textId="77777777" w:rsidR="007709D9" w:rsidRPr="00303227" w:rsidRDefault="007709D9" w:rsidP="005B5817">
            <w:pPr>
              <w:spacing w:before="120" w:after="0" w:line="360" w:lineRule="auto"/>
              <w:rPr>
                <w:rFonts w:ascii="Arial" w:eastAsia="Calibri" w:hAnsi="Arial" w:cs="Arial"/>
                <w:sz w:val="18"/>
                <w:szCs w:val="18"/>
                <w:lang w:eastAsia="de-DE"/>
              </w:rPr>
            </w:pPr>
            <w:r w:rsidRPr="00303227">
              <w:rPr>
                <w:rFonts w:ascii="Arial" w:eastAsia="Calibri" w:hAnsi="Arial" w:cs="Times New Roman"/>
                <w:sz w:val="18"/>
                <w:szCs w:val="18"/>
                <w:lang w:eastAsia="de-DE"/>
              </w:rPr>
              <w:t>La valeur totale des réserves des fonds de pension vis-à-vis des pays des contreparties appartenant à la zone euro autres que celui dans lequel le fonds de pension est résident doit être déclarée ici.</w:t>
            </w:r>
          </w:p>
        </w:tc>
      </w:tr>
      <w:tr w:rsidR="007709D9" w:rsidRPr="00303227" w14:paraId="11D18722" w14:textId="77777777" w:rsidTr="005B5817">
        <w:trPr>
          <w:trHeight w:val="481"/>
        </w:trPr>
        <w:tc>
          <w:tcPr>
            <w:tcW w:w="2093" w:type="dxa"/>
          </w:tcPr>
          <w:p w14:paraId="00D6CB13" w14:textId="77777777" w:rsidR="007709D9" w:rsidRPr="00303227" w:rsidRDefault="007709D9" w:rsidP="005B5817">
            <w:pPr>
              <w:tabs>
                <w:tab w:val="left" w:pos="851"/>
                <w:tab w:val="right" w:pos="9356"/>
              </w:tabs>
              <w:spacing w:before="60" w:after="60" w:line="360" w:lineRule="auto"/>
              <w:rPr>
                <w:rFonts w:ascii="Arial" w:eastAsia="Calibri" w:hAnsi="Arial" w:cs="Arial"/>
                <w:bCs/>
                <w:sz w:val="18"/>
                <w:szCs w:val="18"/>
              </w:rPr>
            </w:pPr>
            <w:r w:rsidRPr="00303227">
              <w:rPr>
                <w:rFonts w:ascii="Arial" w:eastAsia="Calibri" w:hAnsi="Arial" w:cs="Times New Roman"/>
                <w:bCs/>
                <w:sz w:val="18"/>
                <w:szCs w:val="18"/>
              </w:rPr>
              <w:t>EC0030, EC0140</w:t>
            </w:r>
          </w:p>
        </w:tc>
        <w:tc>
          <w:tcPr>
            <w:tcW w:w="2268" w:type="dxa"/>
          </w:tcPr>
          <w:p w14:paraId="4B39551E" w14:textId="77777777"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IFM (S.121 +122 +123)</w:t>
            </w:r>
          </w:p>
          <w:p w14:paraId="71834919" w14:textId="77777777"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p>
          <w:p w14:paraId="54982A49" w14:textId="77777777" w:rsidR="007709D9" w:rsidRPr="00303227" w:rsidRDefault="007709D9" w:rsidP="005B5817">
            <w:pPr>
              <w:tabs>
                <w:tab w:val="left" w:pos="851"/>
                <w:tab w:val="right" w:pos="9356"/>
              </w:tabs>
              <w:spacing w:before="60" w:after="60" w:line="360" w:lineRule="auto"/>
              <w:rPr>
                <w:rFonts w:ascii="Arial" w:eastAsia="Calibri" w:hAnsi="Arial" w:cs="Times New Roman"/>
                <w:sz w:val="18"/>
                <w:szCs w:val="18"/>
              </w:rPr>
            </w:pPr>
          </w:p>
        </w:tc>
        <w:tc>
          <w:tcPr>
            <w:tcW w:w="5386" w:type="dxa"/>
          </w:tcPr>
          <w:p w14:paraId="6C9B0311" w14:textId="77777777" w:rsidR="007709D9" w:rsidRPr="00303227" w:rsidRDefault="007709D9" w:rsidP="005B5817">
            <w:pPr>
              <w:autoSpaceDE w:val="0"/>
              <w:autoSpaceDN w:val="0"/>
              <w:adjustRightInd w:val="0"/>
              <w:spacing w:before="240" w:after="0" w:line="360" w:lineRule="auto"/>
              <w:rPr>
                <w:rFonts w:ascii="Arial" w:eastAsia="Times New Roman" w:hAnsi="Arial" w:cs="Arial"/>
                <w:sz w:val="18"/>
                <w:szCs w:val="18"/>
                <w:lang w:eastAsia="fr-FR"/>
              </w:rPr>
            </w:pPr>
            <w:r w:rsidRPr="00303227">
              <w:rPr>
                <w:rFonts w:ascii="Arial" w:eastAsia="Times New Roman" w:hAnsi="Arial" w:cs="Arial"/>
                <w:sz w:val="18"/>
                <w:szCs w:val="18"/>
                <w:lang w:eastAsia="fr-FR"/>
              </w:rPr>
              <w:t>Les IFM telles que définies à l’article 1</w:t>
            </w:r>
            <w:r w:rsidRPr="00303227">
              <w:rPr>
                <w:rFonts w:ascii="Arial" w:eastAsia="Times New Roman" w:hAnsi="Arial" w:cs="Arial"/>
                <w:sz w:val="18"/>
                <w:szCs w:val="18"/>
                <w:vertAlign w:val="superscript"/>
                <w:lang w:eastAsia="fr-FR"/>
              </w:rPr>
              <w:t>er</w:t>
            </w:r>
            <w:r w:rsidRPr="00303227">
              <w:rPr>
                <w:rFonts w:ascii="Arial" w:eastAsia="Times New Roman" w:hAnsi="Arial" w:cs="Arial"/>
                <w:sz w:val="18"/>
                <w:szCs w:val="18"/>
                <w:lang w:eastAsia="fr-FR"/>
              </w:rPr>
              <w:t xml:space="preserve"> du règlement (UE) n° 1071/2013 (BCE/2013/33). Ce secteur comprend les BCN (S.121), les établissements de crédit tels que définis par le droit de l’Union, les OPC monétaires (S.123), les autres institutions financières dont l’activité consiste à recevoir des dépôts et/ou de proches substituts des dépôts de la part d’entités autres que les IFM, et à octroyer des crédits et/ou effectuer des placements en valeurs mobilières pour leur propre compte, du moins en termes économiques, ainsi que les établissements de monnaie électronique dont la fonction principale consiste à fournir des services d’intermédiation financière en émettant de la monnaie électronique (S.122). </w:t>
            </w:r>
          </w:p>
        </w:tc>
      </w:tr>
      <w:tr w:rsidR="007709D9" w:rsidRPr="00303227" w14:paraId="6C0578AF" w14:textId="77777777" w:rsidTr="005B5817">
        <w:trPr>
          <w:trHeight w:val="481"/>
        </w:trPr>
        <w:tc>
          <w:tcPr>
            <w:tcW w:w="2093" w:type="dxa"/>
          </w:tcPr>
          <w:p w14:paraId="2E39E2D1" w14:textId="77777777" w:rsidR="007709D9" w:rsidRPr="00303227" w:rsidRDefault="007709D9" w:rsidP="005B5817">
            <w:pPr>
              <w:tabs>
                <w:tab w:val="left" w:pos="851"/>
                <w:tab w:val="right" w:pos="9356"/>
              </w:tabs>
              <w:spacing w:before="60" w:after="60" w:line="360" w:lineRule="auto"/>
              <w:rPr>
                <w:rFonts w:ascii="Arial" w:eastAsia="Calibri" w:hAnsi="Arial" w:cs="Arial"/>
                <w:bCs/>
                <w:sz w:val="18"/>
                <w:szCs w:val="18"/>
              </w:rPr>
            </w:pPr>
            <w:r w:rsidRPr="00303227">
              <w:rPr>
                <w:rFonts w:ascii="Arial" w:eastAsia="Calibri" w:hAnsi="Arial" w:cs="Times New Roman"/>
                <w:bCs/>
                <w:sz w:val="18"/>
                <w:szCs w:val="18"/>
              </w:rPr>
              <w:lastRenderedPageBreak/>
              <w:t>EC0050, EC0160</w:t>
            </w:r>
          </w:p>
        </w:tc>
        <w:tc>
          <w:tcPr>
            <w:tcW w:w="2268" w:type="dxa"/>
          </w:tcPr>
          <w:p w14:paraId="2D06EBD6" w14:textId="09A432B9" w:rsidR="007709D9" w:rsidRPr="00303227" w:rsidRDefault="007709D9" w:rsidP="009F70FE">
            <w:pPr>
              <w:spacing w:line="360" w:lineRule="auto"/>
              <w:rPr>
                <w:rFonts w:ascii="Arial" w:eastAsia="Calibri" w:hAnsi="Arial" w:cs="Times New Roman"/>
                <w:sz w:val="18"/>
                <w:szCs w:val="18"/>
              </w:rPr>
            </w:pPr>
            <w:r w:rsidRPr="00303227">
              <w:rPr>
                <w:rFonts w:ascii="Arial" w:eastAsia="Calibri" w:hAnsi="Arial" w:cs="Times New Roman"/>
                <w:sz w:val="18"/>
                <w:szCs w:val="18"/>
              </w:rPr>
              <w:t>Administrations publiques (S.13)</w:t>
            </w:r>
          </w:p>
        </w:tc>
        <w:tc>
          <w:tcPr>
            <w:tcW w:w="5386" w:type="dxa"/>
          </w:tcPr>
          <w:p w14:paraId="7D922E41" w14:textId="77777777" w:rsidR="007709D9" w:rsidRPr="00303227" w:rsidRDefault="007709D9" w:rsidP="005B5817">
            <w:pPr>
              <w:autoSpaceDE w:val="0"/>
              <w:autoSpaceDN w:val="0"/>
              <w:adjustRightInd w:val="0"/>
              <w:spacing w:before="240" w:after="0" w:line="360" w:lineRule="auto"/>
              <w:rPr>
                <w:rFonts w:ascii="Arial" w:eastAsia="Times New Roman" w:hAnsi="Arial" w:cs="Arial"/>
                <w:sz w:val="18"/>
                <w:szCs w:val="18"/>
                <w:highlight w:val="magenta"/>
                <w:lang w:eastAsia="fr-FR"/>
              </w:rPr>
            </w:pPr>
            <w:r w:rsidRPr="00303227">
              <w:rPr>
                <w:rFonts w:ascii="Arial" w:eastAsia="Times New Roman" w:hAnsi="Arial" w:cs="Arial"/>
                <w:sz w:val="18"/>
                <w:szCs w:val="18"/>
                <w:lang w:eastAsia="fr-FR"/>
              </w:rPr>
              <w:t>Le secteur des administrations publiques (S.13) comprend toutes les unités institutionnelles qui sont des producteurs non marchands dont la production est destinée à la consommation individuelle et collective et dont les ressources proviennent de contributions obligatoires versées par des unités appartenant aux autres secteurs, ainsi que les unités institutionnelles dont l’activité principale consiste à effectuer des opérations de redistribution du revenu et de la richesse nationaux (SEC 2010, paragraphes 2.111 à 2.113).</w:t>
            </w:r>
          </w:p>
        </w:tc>
      </w:tr>
      <w:tr w:rsidR="007709D9" w:rsidRPr="00303227" w14:paraId="1A1E0C34" w14:textId="77777777" w:rsidTr="005B5817">
        <w:trPr>
          <w:trHeight w:val="481"/>
        </w:trPr>
        <w:tc>
          <w:tcPr>
            <w:tcW w:w="2093" w:type="dxa"/>
          </w:tcPr>
          <w:p w14:paraId="28F3C231" w14:textId="77777777" w:rsidR="007709D9" w:rsidRPr="00303227" w:rsidRDefault="007709D9" w:rsidP="005B5817">
            <w:pPr>
              <w:tabs>
                <w:tab w:val="left" w:pos="851"/>
                <w:tab w:val="right" w:pos="9356"/>
              </w:tabs>
              <w:spacing w:before="60" w:after="60" w:line="360" w:lineRule="auto"/>
              <w:rPr>
                <w:rFonts w:ascii="Arial" w:eastAsia="Calibri" w:hAnsi="Arial" w:cs="Arial"/>
                <w:bCs/>
                <w:sz w:val="18"/>
                <w:szCs w:val="18"/>
              </w:rPr>
            </w:pPr>
            <w:r w:rsidRPr="00303227">
              <w:rPr>
                <w:rFonts w:ascii="Arial" w:eastAsia="Calibri" w:hAnsi="Arial" w:cs="Times New Roman"/>
                <w:bCs/>
                <w:sz w:val="18"/>
                <w:szCs w:val="18"/>
              </w:rPr>
              <w:t>EC0070, EC0180</w:t>
            </w:r>
          </w:p>
        </w:tc>
        <w:tc>
          <w:tcPr>
            <w:tcW w:w="2268" w:type="dxa"/>
          </w:tcPr>
          <w:p w14:paraId="2A6DABF1" w14:textId="77777777" w:rsidR="007709D9" w:rsidRPr="00303227" w:rsidRDefault="007709D9" w:rsidP="005B5817">
            <w:pPr>
              <w:tabs>
                <w:tab w:val="left" w:pos="851"/>
                <w:tab w:val="right" w:pos="9356"/>
              </w:tabs>
              <w:spacing w:before="60" w:after="60" w:line="360" w:lineRule="auto"/>
              <w:rPr>
                <w:rFonts w:ascii="Arial" w:eastAsia="Calibri" w:hAnsi="Arial" w:cs="Times New Roman"/>
                <w:sz w:val="18"/>
                <w:szCs w:val="18"/>
              </w:rPr>
            </w:pPr>
            <w:r w:rsidRPr="00303227">
              <w:rPr>
                <w:rFonts w:ascii="Arial" w:eastAsia="Calibri" w:hAnsi="Arial" w:cs="Times New Roman"/>
                <w:sz w:val="18"/>
                <w:szCs w:val="18"/>
              </w:rPr>
              <w:t xml:space="preserve">Fonds d’investissement non monétaires (S.124) </w:t>
            </w:r>
          </w:p>
        </w:tc>
        <w:tc>
          <w:tcPr>
            <w:tcW w:w="5386" w:type="dxa"/>
          </w:tcPr>
          <w:p w14:paraId="4C6A03BB" w14:textId="77777777" w:rsidR="007709D9" w:rsidRPr="00303227" w:rsidRDefault="007709D9" w:rsidP="005B5817">
            <w:pPr>
              <w:autoSpaceDE w:val="0"/>
              <w:autoSpaceDN w:val="0"/>
              <w:adjustRightInd w:val="0"/>
              <w:spacing w:before="240" w:after="0" w:line="360" w:lineRule="auto"/>
              <w:rPr>
                <w:rFonts w:ascii="Arial" w:eastAsia="Times New Roman" w:hAnsi="Arial" w:cs="Arial"/>
                <w:sz w:val="18"/>
                <w:szCs w:val="18"/>
                <w:highlight w:val="magenta"/>
                <w:lang w:eastAsia="fr-FR"/>
              </w:rPr>
            </w:pPr>
            <w:r w:rsidRPr="00303227">
              <w:rPr>
                <w:rFonts w:ascii="Arial" w:eastAsia="Times New Roman" w:hAnsi="Arial" w:cs="Arial"/>
                <w:sz w:val="18"/>
                <w:szCs w:val="18"/>
                <w:lang w:eastAsia="fr-FR"/>
              </w:rPr>
              <w:t>Les fonds d’investissement répondant à la définition de l’article 1</w:t>
            </w:r>
            <w:r w:rsidRPr="00303227">
              <w:rPr>
                <w:rFonts w:ascii="Arial" w:eastAsia="Times New Roman" w:hAnsi="Arial" w:cs="Arial"/>
                <w:sz w:val="18"/>
                <w:szCs w:val="18"/>
                <w:vertAlign w:val="superscript"/>
                <w:lang w:eastAsia="fr-FR"/>
              </w:rPr>
              <w:t>er</w:t>
            </w:r>
            <w:r w:rsidRPr="00303227">
              <w:rPr>
                <w:rFonts w:ascii="Arial" w:eastAsia="Times New Roman" w:hAnsi="Arial" w:cs="Arial"/>
                <w:sz w:val="18"/>
                <w:szCs w:val="18"/>
                <w:lang w:eastAsia="fr-FR"/>
              </w:rPr>
              <w:t xml:space="preserve"> du règlement (UE) n° 1073/2013 (BCE/2013/38). Ce sous-secteur rassemble tous les organismes de placement collectif, à l’exclusion des OPC monétaires, qui investissent dans des actifs financiers et/ou non financiers, dans la mesure où leur objet est le placement de capitaux recueillis auprès du public (S.124).</w:t>
            </w:r>
          </w:p>
        </w:tc>
      </w:tr>
      <w:tr w:rsidR="007709D9" w:rsidRPr="00303227" w14:paraId="34850BE1" w14:textId="77777777" w:rsidTr="005B5817">
        <w:trPr>
          <w:trHeight w:val="481"/>
        </w:trPr>
        <w:tc>
          <w:tcPr>
            <w:tcW w:w="2093" w:type="dxa"/>
          </w:tcPr>
          <w:p w14:paraId="0DC6F69E" w14:textId="77777777" w:rsidR="007709D9" w:rsidRPr="00303227" w:rsidRDefault="007709D9" w:rsidP="005B5817">
            <w:pPr>
              <w:tabs>
                <w:tab w:val="left" w:pos="851"/>
                <w:tab w:val="right" w:pos="9356"/>
              </w:tabs>
              <w:spacing w:before="60" w:after="60" w:line="360" w:lineRule="auto"/>
              <w:rPr>
                <w:rFonts w:ascii="Arial" w:eastAsia="Calibri" w:hAnsi="Arial" w:cs="Arial"/>
                <w:bCs/>
                <w:sz w:val="18"/>
                <w:szCs w:val="18"/>
              </w:rPr>
            </w:pPr>
            <w:r w:rsidRPr="00303227">
              <w:rPr>
                <w:rFonts w:ascii="Arial" w:eastAsia="Calibri" w:hAnsi="Arial" w:cs="Times New Roman"/>
                <w:bCs/>
                <w:sz w:val="18"/>
                <w:szCs w:val="18"/>
              </w:rPr>
              <w:t>EC0080, EC0190</w:t>
            </w:r>
          </w:p>
        </w:tc>
        <w:tc>
          <w:tcPr>
            <w:tcW w:w="2268" w:type="dxa"/>
          </w:tcPr>
          <w:p w14:paraId="24EFC911" w14:textId="77777777" w:rsidR="007709D9" w:rsidRPr="00303227" w:rsidRDefault="007709D9" w:rsidP="005B5817">
            <w:pPr>
              <w:tabs>
                <w:tab w:val="left" w:pos="851"/>
                <w:tab w:val="right" w:pos="9356"/>
              </w:tabs>
              <w:spacing w:before="60" w:after="60" w:line="360" w:lineRule="auto"/>
              <w:rPr>
                <w:rFonts w:ascii="Arial" w:eastAsia="Calibri" w:hAnsi="Arial" w:cs="Times New Roman"/>
                <w:sz w:val="18"/>
                <w:szCs w:val="18"/>
              </w:rPr>
            </w:pPr>
            <w:r w:rsidRPr="00303227">
              <w:rPr>
                <w:rFonts w:ascii="Arial" w:eastAsia="Calibri" w:hAnsi="Arial" w:cs="Times New Roman"/>
                <w:sz w:val="18"/>
                <w:szCs w:val="18"/>
              </w:rPr>
              <w:t>Autres intermédiaires financiers (S.125), auxiliaires financiers (S.126), institutions financières captives et prêteurs non institutionnels (S.127)</w:t>
            </w:r>
          </w:p>
        </w:tc>
        <w:tc>
          <w:tcPr>
            <w:tcW w:w="5386" w:type="dxa"/>
          </w:tcPr>
          <w:p w14:paraId="1E015776" w14:textId="77777777" w:rsidR="007709D9" w:rsidRPr="00303227" w:rsidRDefault="007709D9" w:rsidP="005B5817">
            <w:pPr>
              <w:autoSpaceDE w:val="0"/>
              <w:autoSpaceDN w:val="0"/>
              <w:adjustRightInd w:val="0"/>
              <w:spacing w:before="240" w:after="0" w:line="360" w:lineRule="auto"/>
              <w:rPr>
                <w:rFonts w:ascii="Arial" w:eastAsia="Times New Roman" w:hAnsi="Arial" w:cs="Arial"/>
                <w:sz w:val="18"/>
                <w:szCs w:val="18"/>
                <w:highlight w:val="magenta"/>
                <w:lang w:eastAsia="fr-FR"/>
              </w:rPr>
            </w:pPr>
            <w:r w:rsidRPr="00303227">
              <w:rPr>
                <w:rFonts w:ascii="Arial" w:eastAsia="Times New Roman" w:hAnsi="Arial" w:cs="Arial"/>
                <w:sz w:val="18"/>
                <w:szCs w:val="18"/>
                <w:lang w:eastAsia="fr-FR"/>
              </w:rPr>
              <w:t xml:space="preserve">Les autres intermédiaires financiers, à l’exclusion des sociétés d’assurance et des fonds de pension (S.125), regroupent toutes les sociétés et quasi-sociétés financières dont la fonction principale consiste à fournir des services d’intermédiation financière en souscrivant des engagements provenant d’unités institutionnelles sous des formes autres que du numéraire, des dépôts (ou de proches substituts des dépôts), des parts de fonds d’investissement ou des engagements liés à des régimes d’assurance, de pensions et de garanties standard. Les véhicules de titrisation tels que définis dans le règlement (UE) n° 1075/2013 (BCE/2013/40) sont inclus dans ce sous-secteur (SEC 2010, paragraphes 2.86 à 2.94). Le sous-secteur des auxiliaires financiers (S.126) comprend toutes les sociétés et quasi-sociétés financières dont la fonction principale consiste à exercer des activités étroitement liées à l’intermédiation financière mais qui ne sont pas elles-mêmes des intermédiaires financiers. Ce sous-secteur comprend aussi les sièges sociaux dont les filiales sont en totalité ou en majorité des sociétés financières (SEC 2010, paragraphes 2.95 à 2.97). Le sous-secteur des institutions financières captives et des prêteurs non institutionnels (S.127) comprend toutes les sociétés et quasi-sociétés financières qui n’exercent aucune activité d’intermédiation financière ni ne fournissent de services financiers auxiliaires et dont la plus grande partie des actifs ou des passifs ne fait pas l’objet d’opérations sur les marchés financiers ouverts. Ce sous-secteur comprend les sociétés </w:t>
            </w:r>
            <w:r w:rsidRPr="00303227">
              <w:rPr>
                <w:rFonts w:ascii="Arial" w:eastAsia="Times New Roman" w:hAnsi="Arial" w:cs="Arial"/>
                <w:sz w:val="18"/>
                <w:szCs w:val="18"/>
                <w:lang w:eastAsia="fr-FR"/>
              </w:rPr>
              <w:lastRenderedPageBreak/>
              <w:t>holding qui détiennent un niveau de capital leur permettant d’assurer le contrôle d’un groupe de sociétés filiales et dont la fonction principale est de posséder ce groupe sans fournir aucun autre service aux entreprises dans lesquelles elles détiennent des fonds propres, en d’autres termes, elles n’administrent pas ou ne gèrent pas d’autres unités (SEC 2010, paragraphes 2.98 et 2.99).</w:t>
            </w:r>
          </w:p>
        </w:tc>
      </w:tr>
      <w:tr w:rsidR="007709D9" w:rsidRPr="00303227" w14:paraId="1FBBA100" w14:textId="77777777" w:rsidTr="005B5817">
        <w:trPr>
          <w:trHeight w:val="481"/>
        </w:trPr>
        <w:tc>
          <w:tcPr>
            <w:tcW w:w="2093" w:type="dxa"/>
          </w:tcPr>
          <w:p w14:paraId="6F25918C" w14:textId="77777777" w:rsidR="007709D9" w:rsidRPr="00303227" w:rsidRDefault="007709D9" w:rsidP="005B5817">
            <w:pPr>
              <w:tabs>
                <w:tab w:val="left" w:pos="851"/>
                <w:tab w:val="right" w:pos="9356"/>
              </w:tabs>
              <w:spacing w:before="60" w:after="60" w:line="360" w:lineRule="auto"/>
              <w:rPr>
                <w:rFonts w:ascii="Arial" w:eastAsia="Calibri" w:hAnsi="Arial" w:cs="Arial"/>
                <w:bCs/>
                <w:sz w:val="18"/>
                <w:szCs w:val="18"/>
              </w:rPr>
            </w:pPr>
            <w:r w:rsidRPr="00303227">
              <w:rPr>
                <w:rFonts w:ascii="Arial" w:eastAsia="Calibri" w:hAnsi="Arial" w:cs="Times New Roman"/>
                <w:bCs/>
                <w:sz w:val="18"/>
                <w:szCs w:val="18"/>
              </w:rPr>
              <w:lastRenderedPageBreak/>
              <w:t>EC0090, EC0200</w:t>
            </w:r>
          </w:p>
        </w:tc>
        <w:tc>
          <w:tcPr>
            <w:tcW w:w="2268" w:type="dxa"/>
          </w:tcPr>
          <w:p w14:paraId="0F4DADC2" w14:textId="77777777" w:rsidR="007709D9" w:rsidRPr="00303227" w:rsidRDefault="007709D9" w:rsidP="005B5817">
            <w:pPr>
              <w:tabs>
                <w:tab w:val="left" w:pos="851"/>
                <w:tab w:val="right" w:pos="9356"/>
              </w:tabs>
              <w:spacing w:before="60" w:after="60" w:line="360" w:lineRule="auto"/>
              <w:rPr>
                <w:rFonts w:ascii="Arial" w:eastAsia="Calibri" w:hAnsi="Arial" w:cs="Times New Roman"/>
                <w:sz w:val="18"/>
                <w:szCs w:val="18"/>
              </w:rPr>
            </w:pPr>
            <w:r w:rsidRPr="00303227">
              <w:rPr>
                <w:rFonts w:ascii="Arial" w:eastAsia="Calibri" w:hAnsi="Arial" w:cs="Times New Roman"/>
                <w:sz w:val="18"/>
                <w:szCs w:val="18"/>
              </w:rPr>
              <w:t>Sociétés d’assurance (S.128)</w:t>
            </w:r>
          </w:p>
        </w:tc>
        <w:tc>
          <w:tcPr>
            <w:tcW w:w="5386" w:type="dxa"/>
          </w:tcPr>
          <w:p w14:paraId="320FB5BB" w14:textId="77777777" w:rsidR="007709D9" w:rsidRPr="00303227" w:rsidRDefault="007709D9" w:rsidP="005B5817">
            <w:pPr>
              <w:autoSpaceDE w:val="0"/>
              <w:autoSpaceDN w:val="0"/>
              <w:adjustRightInd w:val="0"/>
              <w:spacing w:before="240" w:after="0" w:line="360" w:lineRule="auto"/>
              <w:rPr>
                <w:rFonts w:ascii="Arial" w:eastAsia="Times New Roman" w:hAnsi="Arial" w:cs="Arial"/>
                <w:sz w:val="18"/>
                <w:szCs w:val="18"/>
                <w:highlight w:val="magenta"/>
                <w:lang w:eastAsia="fr-FR"/>
              </w:rPr>
            </w:pPr>
            <w:r w:rsidRPr="00303227">
              <w:rPr>
                <w:rFonts w:ascii="Arial" w:eastAsia="Times New Roman" w:hAnsi="Arial" w:cs="Arial"/>
                <w:sz w:val="18"/>
                <w:szCs w:val="18"/>
                <w:lang w:eastAsia="fr-FR"/>
              </w:rPr>
              <w:t>Les sociétés d’assurance (S.128) répondant à la définition de l’article 1</w:t>
            </w:r>
            <w:r w:rsidRPr="00303227">
              <w:rPr>
                <w:rFonts w:ascii="Arial" w:eastAsia="Times New Roman" w:hAnsi="Arial" w:cs="Arial"/>
                <w:sz w:val="18"/>
                <w:szCs w:val="18"/>
                <w:vertAlign w:val="superscript"/>
                <w:lang w:eastAsia="fr-FR"/>
              </w:rPr>
              <w:t>er</w:t>
            </w:r>
            <w:r w:rsidRPr="00303227">
              <w:rPr>
                <w:rFonts w:ascii="Arial" w:eastAsia="Times New Roman" w:hAnsi="Arial" w:cs="Arial"/>
                <w:sz w:val="18"/>
                <w:szCs w:val="18"/>
                <w:lang w:eastAsia="fr-FR"/>
              </w:rPr>
              <w:t xml:space="preserve"> du règlement (UE) n° 1374/2014 (BCE/2014/50).</w:t>
            </w:r>
          </w:p>
        </w:tc>
      </w:tr>
      <w:tr w:rsidR="007709D9" w:rsidRPr="00303227" w14:paraId="25D4C075" w14:textId="77777777" w:rsidTr="005B5817">
        <w:trPr>
          <w:trHeight w:val="481"/>
        </w:trPr>
        <w:tc>
          <w:tcPr>
            <w:tcW w:w="2093" w:type="dxa"/>
          </w:tcPr>
          <w:p w14:paraId="7C1C3D36" w14:textId="77777777" w:rsidR="007709D9" w:rsidRPr="00303227" w:rsidRDefault="007709D9" w:rsidP="005B5817">
            <w:pPr>
              <w:tabs>
                <w:tab w:val="left" w:pos="851"/>
                <w:tab w:val="right" w:pos="9356"/>
              </w:tabs>
              <w:spacing w:before="60" w:after="60" w:line="360" w:lineRule="auto"/>
              <w:rPr>
                <w:rFonts w:ascii="Arial" w:eastAsia="Calibri" w:hAnsi="Arial" w:cs="Arial"/>
                <w:bCs/>
                <w:sz w:val="18"/>
                <w:szCs w:val="18"/>
              </w:rPr>
            </w:pPr>
            <w:r w:rsidRPr="00303227">
              <w:rPr>
                <w:rFonts w:ascii="Arial" w:eastAsia="Calibri" w:hAnsi="Arial" w:cs="Times New Roman"/>
                <w:bCs/>
                <w:sz w:val="18"/>
                <w:szCs w:val="18"/>
              </w:rPr>
              <w:t>EC0100, EC0210</w:t>
            </w:r>
          </w:p>
        </w:tc>
        <w:tc>
          <w:tcPr>
            <w:tcW w:w="2268" w:type="dxa"/>
          </w:tcPr>
          <w:p w14:paraId="62653401" w14:textId="77777777" w:rsidR="007709D9" w:rsidRPr="00303227" w:rsidRDefault="007709D9" w:rsidP="005B5817">
            <w:pPr>
              <w:tabs>
                <w:tab w:val="left" w:pos="851"/>
                <w:tab w:val="right" w:pos="9356"/>
              </w:tabs>
              <w:spacing w:before="60" w:after="60" w:line="360" w:lineRule="auto"/>
              <w:rPr>
                <w:rFonts w:ascii="Arial" w:eastAsia="Calibri" w:hAnsi="Arial" w:cs="Times New Roman"/>
                <w:sz w:val="18"/>
                <w:szCs w:val="18"/>
              </w:rPr>
            </w:pPr>
            <w:r w:rsidRPr="00303227">
              <w:rPr>
                <w:rFonts w:ascii="Arial" w:eastAsia="Calibri" w:hAnsi="Arial" w:cs="Times New Roman"/>
                <w:sz w:val="18"/>
                <w:szCs w:val="18"/>
              </w:rPr>
              <w:t>Fonds de pension (S.129)</w:t>
            </w:r>
          </w:p>
        </w:tc>
        <w:tc>
          <w:tcPr>
            <w:tcW w:w="5386" w:type="dxa"/>
          </w:tcPr>
          <w:p w14:paraId="5F890013" w14:textId="77777777" w:rsidR="007709D9" w:rsidRPr="00303227" w:rsidRDefault="007709D9" w:rsidP="005B5817">
            <w:pPr>
              <w:autoSpaceDE w:val="0"/>
              <w:autoSpaceDN w:val="0"/>
              <w:adjustRightInd w:val="0"/>
              <w:spacing w:before="240" w:after="0" w:line="360" w:lineRule="auto"/>
              <w:rPr>
                <w:rFonts w:ascii="Arial" w:eastAsia="Times New Roman" w:hAnsi="Arial" w:cs="Arial"/>
                <w:sz w:val="18"/>
                <w:szCs w:val="18"/>
                <w:highlight w:val="magenta"/>
                <w:lang w:eastAsia="fr-FR"/>
              </w:rPr>
            </w:pPr>
            <w:r w:rsidRPr="00303227">
              <w:rPr>
                <w:rFonts w:ascii="Arial" w:eastAsia="Times New Roman" w:hAnsi="Arial" w:cs="Arial"/>
                <w:sz w:val="18"/>
                <w:szCs w:val="18"/>
                <w:lang w:eastAsia="fr-FR"/>
              </w:rPr>
              <w:t>Les fonds de pension répondant à la définition de l’article 1</w:t>
            </w:r>
            <w:r w:rsidRPr="00303227">
              <w:rPr>
                <w:rFonts w:ascii="Arial" w:eastAsia="Times New Roman" w:hAnsi="Arial" w:cs="Arial"/>
                <w:sz w:val="18"/>
                <w:szCs w:val="18"/>
                <w:vertAlign w:val="superscript"/>
                <w:lang w:eastAsia="fr-FR"/>
              </w:rPr>
              <w:t>er</w:t>
            </w:r>
            <w:r w:rsidRPr="00303227">
              <w:rPr>
                <w:rFonts w:ascii="Arial" w:eastAsia="Times New Roman" w:hAnsi="Arial" w:cs="Arial"/>
                <w:sz w:val="18"/>
                <w:szCs w:val="18"/>
                <w:lang w:eastAsia="fr-FR"/>
              </w:rPr>
              <w:t xml:space="preserve"> du règlement (UE) n° 2018/231 (S.129).</w:t>
            </w:r>
          </w:p>
        </w:tc>
      </w:tr>
      <w:tr w:rsidR="007709D9" w:rsidRPr="00303227" w14:paraId="12C9AAA8" w14:textId="77777777" w:rsidTr="005B5817">
        <w:trPr>
          <w:trHeight w:val="481"/>
        </w:trPr>
        <w:tc>
          <w:tcPr>
            <w:tcW w:w="2093" w:type="dxa"/>
          </w:tcPr>
          <w:p w14:paraId="6DE7FD07" w14:textId="77777777" w:rsidR="007709D9" w:rsidRPr="00303227" w:rsidRDefault="007709D9" w:rsidP="005B5817">
            <w:pPr>
              <w:tabs>
                <w:tab w:val="left" w:pos="851"/>
                <w:tab w:val="right" w:pos="9356"/>
              </w:tabs>
              <w:spacing w:before="60" w:after="60" w:line="360" w:lineRule="auto"/>
              <w:rPr>
                <w:rFonts w:ascii="Arial" w:eastAsia="Calibri" w:hAnsi="Arial" w:cs="Arial"/>
                <w:bCs/>
                <w:sz w:val="18"/>
                <w:szCs w:val="18"/>
              </w:rPr>
            </w:pPr>
            <w:r w:rsidRPr="00303227">
              <w:rPr>
                <w:rFonts w:ascii="Arial" w:eastAsia="Calibri" w:hAnsi="Arial" w:cs="Times New Roman"/>
                <w:bCs/>
                <w:sz w:val="18"/>
                <w:szCs w:val="18"/>
              </w:rPr>
              <w:t>EC0110, EC0220</w:t>
            </w:r>
          </w:p>
        </w:tc>
        <w:tc>
          <w:tcPr>
            <w:tcW w:w="2268" w:type="dxa"/>
          </w:tcPr>
          <w:p w14:paraId="77E2DC0B" w14:textId="77777777"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Sociétés non financières (S.11)</w:t>
            </w:r>
          </w:p>
        </w:tc>
        <w:tc>
          <w:tcPr>
            <w:tcW w:w="5386" w:type="dxa"/>
          </w:tcPr>
          <w:p w14:paraId="55207E6B" w14:textId="77777777"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Le secteur des sociétés non financières (S.11) est constitué des unités institutionnelles dotées de la personnalité morale qui sont des producteurs marchands et dont l’activité principale consiste à produire des biens et des services non financiers. Ce secteur couvre également les quasi-sociétés non financières (SEC 2010, paragraphes 2.45 à 2.50).</w:t>
            </w:r>
          </w:p>
          <w:p w14:paraId="5A9EA26A" w14:textId="77777777"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p>
        </w:tc>
      </w:tr>
      <w:tr w:rsidR="007709D9" w:rsidRPr="00303227" w14:paraId="3A24550C" w14:textId="77777777" w:rsidTr="005B5817">
        <w:trPr>
          <w:trHeight w:val="481"/>
        </w:trPr>
        <w:tc>
          <w:tcPr>
            <w:tcW w:w="2093" w:type="dxa"/>
          </w:tcPr>
          <w:p w14:paraId="5DA4A2F4" w14:textId="77777777" w:rsidR="007709D9" w:rsidRPr="00303227" w:rsidRDefault="007709D9" w:rsidP="005B5817">
            <w:pPr>
              <w:tabs>
                <w:tab w:val="left" w:pos="851"/>
                <w:tab w:val="right" w:pos="9356"/>
              </w:tabs>
              <w:spacing w:before="60" w:after="60" w:line="360" w:lineRule="auto"/>
              <w:rPr>
                <w:rFonts w:ascii="Arial" w:eastAsia="Calibri" w:hAnsi="Arial" w:cs="Arial"/>
                <w:bCs/>
                <w:sz w:val="18"/>
                <w:szCs w:val="18"/>
              </w:rPr>
            </w:pPr>
            <w:r w:rsidRPr="00303227">
              <w:rPr>
                <w:rFonts w:ascii="Arial" w:eastAsia="Calibri" w:hAnsi="Arial" w:cs="Times New Roman"/>
                <w:bCs/>
                <w:sz w:val="18"/>
                <w:szCs w:val="18"/>
              </w:rPr>
              <w:t>EC0120, EC0230</w:t>
            </w:r>
          </w:p>
        </w:tc>
        <w:tc>
          <w:tcPr>
            <w:tcW w:w="2268" w:type="dxa"/>
          </w:tcPr>
          <w:p w14:paraId="100C6620" w14:textId="77777777"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Ménages + Institutions sans but lucratif au service des ménages (S.14 + S.15)</w:t>
            </w:r>
          </w:p>
        </w:tc>
        <w:tc>
          <w:tcPr>
            <w:tcW w:w="5386" w:type="dxa"/>
          </w:tcPr>
          <w:p w14:paraId="46B69A4A" w14:textId="7B3A9555" w:rsidR="007709D9" w:rsidRPr="00303227" w:rsidRDefault="007709D9" w:rsidP="005B581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 xml:space="preserve">Le secteur des ménages (S.14) comprend les individus ou groupes d’individus, considérés tant dans leur fonction de consommateurs que dans celle d’entrepreneurs, produisant des biens marchands ou des services financiers et non financiers marchands (producteurs marchands), pour autant que la production de biens et de services ne soit pas le fait d’unités distinctes traitées comme des quasi-sociétés. Il inclut également les individus ou groupes d’individus qui produisent des biens et des services non financiers exclusivement pour leur usage final propre. Le secteur des ménages inclut les entreprises individuelles et les sociétés de personne sans personnalité morale, autres que les entités considérées comme des quasi-sociétés, et qui sont des producteurs marchands (SEC 2010, paragraphes 2.118 à 2.128). Le secteur des institutions sans but lucratif au service des ménages (ISBLSM) (S.15) regroupe les </w:t>
            </w:r>
            <w:r w:rsidR="00B06188">
              <w:rPr>
                <w:rFonts w:ascii="Arial" w:eastAsia="Calibri" w:hAnsi="Arial" w:cs="Times New Roman"/>
                <w:sz w:val="18"/>
                <w:szCs w:val="18"/>
              </w:rPr>
              <w:t>institu</w:t>
            </w:r>
            <w:r w:rsidR="00CF7D62">
              <w:rPr>
                <w:rFonts w:ascii="Arial" w:eastAsia="Calibri" w:hAnsi="Arial" w:cs="Times New Roman"/>
                <w:sz w:val="18"/>
                <w:szCs w:val="18"/>
              </w:rPr>
              <w:t>t</w:t>
            </w:r>
            <w:r w:rsidR="00B06188">
              <w:rPr>
                <w:rFonts w:ascii="Arial" w:eastAsia="Calibri" w:hAnsi="Arial" w:cs="Times New Roman"/>
                <w:sz w:val="18"/>
                <w:szCs w:val="18"/>
              </w:rPr>
              <w:t>ions sans but lucratif</w:t>
            </w:r>
            <w:r w:rsidR="00B06188" w:rsidRPr="00303227">
              <w:rPr>
                <w:rFonts w:ascii="Arial" w:eastAsia="Calibri" w:hAnsi="Arial" w:cs="Times New Roman"/>
                <w:sz w:val="18"/>
                <w:szCs w:val="18"/>
              </w:rPr>
              <w:t xml:space="preserve"> </w:t>
            </w:r>
            <w:r w:rsidRPr="00303227">
              <w:rPr>
                <w:rFonts w:ascii="Arial" w:eastAsia="Calibri" w:hAnsi="Arial" w:cs="Times New Roman"/>
                <w:sz w:val="18"/>
                <w:szCs w:val="18"/>
              </w:rPr>
              <w:t>dotées de la personnalité morale qui servent les ménages et sont des producteurs non marchands privés. Leurs ressources principales proviennent de contributions volontaires en espèces ou en nature effectuées par les ménages en leur qualité de consommateurs, de versements provenant des administrations publiques, ainsi que de revenus de la propriété (SEC 2010, paragraphes 2.129 et 2.130).</w:t>
            </w:r>
          </w:p>
          <w:p w14:paraId="6649D95B" w14:textId="77777777" w:rsidR="007709D9" w:rsidRPr="00303227" w:rsidRDefault="007709D9" w:rsidP="005B5817">
            <w:pPr>
              <w:autoSpaceDE w:val="0"/>
              <w:autoSpaceDN w:val="0"/>
              <w:adjustRightInd w:val="0"/>
              <w:spacing w:before="240" w:after="0" w:line="360" w:lineRule="auto"/>
              <w:rPr>
                <w:rFonts w:ascii="Arial" w:eastAsia="Times New Roman" w:hAnsi="Arial" w:cs="Arial"/>
                <w:sz w:val="18"/>
                <w:szCs w:val="18"/>
                <w:highlight w:val="magenta"/>
                <w:lang w:eastAsia="fr-FR"/>
              </w:rPr>
            </w:pPr>
            <w:r w:rsidRPr="00303227">
              <w:rPr>
                <w:rFonts w:ascii="Arial" w:eastAsia="Times New Roman" w:hAnsi="Arial" w:cs="Arial"/>
                <w:color w:val="000000"/>
                <w:sz w:val="18"/>
                <w:szCs w:val="18"/>
                <w:lang w:eastAsia="fr-FR"/>
              </w:rPr>
              <w:lastRenderedPageBreak/>
              <w:t xml:space="preserve">Au titre des droits à pension, seuls les ménages (S.14) doivent être déclarés dans cette catégorie. </w:t>
            </w:r>
          </w:p>
        </w:tc>
      </w:tr>
      <w:tr w:rsidR="007709D9" w:rsidRPr="00303227" w14:paraId="0B120B1F" w14:textId="77777777" w:rsidTr="005B5817">
        <w:trPr>
          <w:trHeight w:val="481"/>
        </w:trPr>
        <w:tc>
          <w:tcPr>
            <w:tcW w:w="2093" w:type="dxa"/>
          </w:tcPr>
          <w:p w14:paraId="1EDF70CC" w14:textId="77777777" w:rsidR="007709D9" w:rsidRPr="00303227" w:rsidRDefault="007709D9" w:rsidP="005B5817">
            <w:pPr>
              <w:spacing w:line="360" w:lineRule="auto"/>
              <w:rPr>
                <w:rFonts w:ascii="Arial" w:eastAsia="Calibri" w:hAnsi="Arial" w:cs="Arial"/>
                <w:sz w:val="18"/>
                <w:szCs w:val="18"/>
                <w:highlight w:val="magenta"/>
              </w:rPr>
            </w:pPr>
            <w:r w:rsidRPr="00303227">
              <w:rPr>
                <w:rFonts w:ascii="Arial" w:eastAsia="Calibri" w:hAnsi="Arial" w:cs="Times New Roman"/>
                <w:sz w:val="18"/>
                <w:szCs w:val="18"/>
              </w:rPr>
              <w:lastRenderedPageBreak/>
              <w:t>EC0240</w:t>
            </w:r>
          </w:p>
        </w:tc>
        <w:tc>
          <w:tcPr>
            <w:tcW w:w="2268" w:type="dxa"/>
          </w:tcPr>
          <w:p w14:paraId="7CF707DD" w14:textId="77777777" w:rsidR="007709D9" w:rsidRPr="00303227" w:rsidRDefault="007709D9" w:rsidP="005B5817">
            <w:pPr>
              <w:spacing w:before="120" w:after="0" w:line="360" w:lineRule="auto"/>
              <w:rPr>
                <w:rFonts w:ascii="Arial" w:eastAsia="Calibri" w:hAnsi="Arial" w:cs="Arial"/>
                <w:sz w:val="18"/>
                <w:szCs w:val="18"/>
                <w:highlight w:val="magenta"/>
                <w:lang w:eastAsia="de-DE"/>
              </w:rPr>
            </w:pPr>
            <w:r w:rsidRPr="00303227">
              <w:rPr>
                <w:rFonts w:ascii="Arial" w:eastAsia="Calibri" w:hAnsi="Arial" w:cs="Times New Roman"/>
                <w:sz w:val="18"/>
                <w:szCs w:val="18"/>
                <w:lang w:eastAsia="de-DE"/>
              </w:rPr>
              <w:t>Reste du monde (total)</w:t>
            </w:r>
          </w:p>
        </w:tc>
        <w:tc>
          <w:tcPr>
            <w:tcW w:w="5386" w:type="dxa"/>
          </w:tcPr>
          <w:p w14:paraId="2BF5AD9C" w14:textId="77777777" w:rsidR="007709D9" w:rsidRPr="00303227" w:rsidRDefault="007709D9" w:rsidP="005B5817">
            <w:pPr>
              <w:spacing w:before="120" w:after="0" w:line="360" w:lineRule="auto"/>
              <w:rPr>
                <w:rFonts w:ascii="Arial" w:eastAsia="Calibri" w:hAnsi="Arial" w:cs="Arial"/>
                <w:sz w:val="18"/>
                <w:szCs w:val="18"/>
                <w:highlight w:val="magenta"/>
                <w:lang w:eastAsia="de-DE"/>
              </w:rPr>
            </w:pPr>
            <w:r w:rsidRPr="00303227">
              <w:rPr>
                <w:rFonts w:ascii="Arial" w:eastAsia="Calibri" w:hAnsi="Arial" w:cs="Times New Roman"/>
                <w:sz w:val="18"/>
                <w:szCs w:val="18"/>
                <w:lang w:eastAsia="de-DE"/>
              </w:rPr>
              <w:t>La valeur totale des réserves des fonds de pension vis-à-vis des pays des contreparties hors zone euro doit être déclarée ici.</w:t>
            </w:r>
          </w:p>
        </w:tc>
      </w:tr>
    </w:tbl>
    <w:p w14:paraId="3E5C41FA" w14:textId="50C564C2" w:rsidR="0069148C" w:rsidRDefault="0069148C"/>
    <w:p w14:paraId="3FB754D9" w14:textId="77777777" w:rsidR="00A21ED4" w:rsidRDefault="00A21ED4"/>
    <w:sectPr w:rsidR="00A21ED4" w:rsidSect="008377E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64C2E"/>
    <w:multiLevelType w:val="hybridMultilevel"/>
    <w:tmpl w:val="A3C40906"/>
    <w:lvl w:ilvl="0" w:tplc="1CEA8A9A">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498751C"/>
    <w:multiLevelType w:val="hybridMultilevel"/>
    <w:tmpl w:val="E474C4F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5395965"/>
    <w:multiLevelType w:val="hybridMultilevel"/>
    <w:tmpl w:val="9544C854"/>
    <w:lvl w:ilvl="0" w:tplc="943C3D4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9D9"/>
    <w:rsid w:val="000224D0"/>
    <w:rsid w:val="000A0256"/>
    <w:rsid w:val="000C0533"/>
    <w:rsid w:val="000F6990"/>
    <w:rsid w:val="000F73AF"/>
    <w:rsid w:val="00113A60"/>
    <w:rsid w:val="00114A82"/>
    <w:rsid w:val="00136B96"/>
    <w:rsid w:val="00154A0B"/>
    <w:rsid w:val="00167964"/>
    <w:rsid w:val="0019431B"/>
    <w:rsid w:val="001B4A16"/>
    <w:rsid w:val="001E32E8"/>
    <w:rsid w:val="001F2637"/>
    <w:rsid w:val="00221B13"/>
    <w:rsid w:val="00277832"/>
    <w:rsid w:val="00290CB5"/>
    <w:rsid w:val="002A49CA"/>
    <w:rsid w:val="002A61E7"/>
    <w:rsid w:val="002C718C"/>
    <w:rsid w:val="002E3DFD"/>
    <w:rsid w:val="00322C8F"/>
    <w:rsid w:val="00323261"/>
    <w:rsid w:val="003434AF"/>
    <w:rsid w:val="003475AE"/>
    <w:rsid w:val="00361E67"/>
    <w:rsid w:val="003B2C12"/>
    <w:rsid w:val="003D7930"/>
    <w:rsid w:val="0044548D"/>
    <w:rsid w:val="00455D49"/>
    <w:rsid w:val="004815DD"/>
    <w:rsid w:val="0049789B"/>
    <w:rsid w:val="004B7C06"/>
    <w:rsid w:val="004C7412"/>
    <w:rsid w:val="004F3F06"/>
    <w:rsid w:val="0052132C"/>
    <w:rsid w:val="00523738"/>
    <w:rsid w:val="005523CC"/>
    <w:rsid w:val="00570DD4"/>
    <w:rsid w:val="005E0B58"/>
    <w:rsid w:val="005E4327"/>
    <w:rsid w:val="005F7426"/>
    <w:rsid w:val="00602DF8"/>
    <w:rsid w:val="006172D4"/>
    <w:rsid w:val="00662F78"/>
    <w:rsid w:val="00667EC8"/>
    <w:rsid w:val="0069148C"/>
    <w:rsid w:val="006A42C6"/>
    <w:rsid w:val="006B4543"/>
    <w:rsid w:val="006E51C0"/>
    <w:rsid w:val="00701384"/>
    <w:rsid w:val="00717249"/>
    <w:rsid w:val="00736B17"/>
    <w:rsid w:val="00741720"/>
    <w:rsid w:val="007469AF"/>
    <w:rsid w:val="00751DFC"/>
    <w:rsid w:val="007709D9"/>
    <w:rsid w:val="007754E2"/>
    <w:rsid w:val="007C0DD9"/>
    <w:rsid w:val="007D32A1"/>
    <w:rsid w:val="007F7C6E"/>
    <w:rsid w:val="00830CFE"/>
    <w:rsid w:val="00832254"/>
    <w:rsid w:val="008377E9"/>
    <w:rsid w:val="008448EC"/>
    <w:rsid w:val="00891341"/>
    <w:rsid w:val="008956B3"/>
    <w:rsid w:val="008A65E7"/>
    <w:rsid w:val="008B0573"/>
    <w:rsid w:val="008B605A"/>
    <w:rsid w:val="008C0B5C"/>
    <w:rsid w:val="008F73FD"/>
    <w:rsid w:val="00905CBB"/>
    <w:rsid w:val="00933C2D"/>
    <w:rsid w:val="00940340"/>
    <w:rsid w:val="00952DDF"/>
    <w:rsid w:val="00971C74"/>
    <w:rsid w:val="009C2174"/>
    <w:rsid w:val="009D6BFE"/>
    <w:rsid w:val="009D7FEA"/>
    <w:rsid w:val="009F70FE"/>
    <w:rsid w:val="00A21ED4"/>
    <w:rsid w:val="00A43904"/>
    <w:rsid w:val="00A46B45"/>
    <w:rsid w:val="00A82840"/>
    <w:rsid w:val="00B06188"/>
    <w:rsid w:val="00B25CB4"/>
    <w:rsid w:val="00BB0A35"/>
    <w:rsid w:val="00BC426E"/>
    <w:rsid w:val="00C55DD4"/>
    <w:rsid w:val="00C65F05"/>
    <w:rsid w:val="00C711F5"/>
    <w:rsid w:val="00C85A54"/>
    <w:rsid w:val="00CC509F"/>
    <w:rsid w:val="00CD621A"/>
    <w:rsid w:val="00CF629C"/>
    <w:rsid w:val="00CF7D62"/>
    <w:rsid w:val="00D035B2"/>
    <w:rsid w:val="00D07457"/>
    <w:rsid w:val="00D12F87"/>
    <w:rsid w:val="00D30A47"/>
    <w:rsid w:val="00D86C0C"/>
    <w:rsid w:val="00D96760"/>
    <w:rsid w:val="00DC7B5D"/>
    <w:rsid w:val="00DD6BCF"/>
    <w:rsid w:val="00E5403B"/>
    <w:rsid w:val="00E546EE"/>
    <w:rsid w:val="00E61442"/>
    <w:rsid w:val="00EC48AE"/>
    <w:rsid w:val="00EE0FC8"/>
    <w:rsid w:val="00F0514E"/>
    <w:rsid w:val="00F136F9"/>
    <w:rsid w:val="00F26E18"/>
    <w:rsid w:val="00F47C23"/>
    <w:rsid w:val="00F56FFD"/>
    <w:rsid w:val="00F84A7C"/>
    <w:rsid w:val="00F94898"/>
    <w:rsid w:val="00FB195D"/>
    <w:rsid w:val="00FE3A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005C3"/>
  <w15:docId w15:val="{AFA1DF55-8AD1-4D5B-8500-BFF1547E2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09D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7709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8377E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377E9"/>
    <w:rPr>
      <w:rFonts w:ascii="Tahoma" w:hAnsi="Tahoma" w:cs="Tahoma"/>
      <w:sz w:val="16"/>
      <w:szCs w:val="16"/>
    </w:rPr>
  </w:style>
  <w:style w:type="paragraph" w:styleId="Paragraphedeliste">
    <w:name w:val="List Paragraph"/>
    <w:basedOn w:val="Normal"/>
    <w:uiPriority w:val="34"/>
    <w:qFormat/>
    <w:rsid w:val="0052132C"/>
    <w:pPr>
      <w:ind w:left="720"/>
      <w:contextualSpacing/>
    </w:pPr>
  </w:style>
  <w:style w:type="character" w:styleId="Marquedecommentaire">
    <w:name w:val="annotation reference"/>
    <w:basedOn w:val="Policepardfaut"/>
    <w:uiPriority w:val="99"/>
    <w:semiHidden/>
    <w:unhideWhenUsed/>
    <w:rsid w:val="007C0DD9"/>
    <w:rPr>
      <w:sz w:val="16"/>
      <w:szCs w:val="16"/>
    </w:rPr>
  </w:style>
  <w:style w:type="paragraph" w:styleId="Commentaire">
    <w:name w:val="annotation text"/>
    <w:basedOn w:val="Normal"/>
    <w:link w:val="CommentaireCar"/>
    <w:uiPriority w:val="99"/>
    <w:semiHidden/>
    <w:unhideWhenUsed/>
    <w:rsid w:val="007C0DD9"/>
    <w:pPr>
      <w:spacing w:line="240" w:lineRule="auto"/>
    </w:pPr>
    <w:rPr>
      <w:sz w:val="20"/>
      <w:szCs w:val="20"/>
    </w:rPr>
  </w:style>
  <w:style w:type="character" w:customStyle="1" w:styleId="CommentaireCar">
    <w:name w:val="Commentaire Car"/>
    <w:basedOn w:val="Policepardfaut"/>
    <w:link w:val="Commentaire"/>
    <w:uiPriority w:val="99"/>
    <w:semiHidden/>
    <w:rsid w:val="007C0DD9"/>
    <w:rPr>
      <w:sz w:val="20"/>
      <w:szCs w:val="20"/>
    </w:rPr>
  </w:style>
  <w:style w:type="paragraph" w:styleId="Objetducommentaire">
    <w:name w:val="annotation subject"/>
    <w:basedOn w:val="Commentaire"/>
    <w:next w:val="Commentaire"/>
    <w:link w:val="ObjetducommentaireCar"/>
    <w:uiPriority w:val="99"/>
    <w:semiHidden/>
    <w:unhideWhenUsed/>
    <w:rsid w:val="007C0DD9"/>
    <w:rPr>
      <w:b/>
      <w:bCs/>
    </w:rPr>
  </w:style>
  <w:style w:type="character" w:customStyle="1" w:styleId="ObjetducommentaireCar">
    <w:name w:val="Objet du commentaire Car"/>
    <w:basedOn w:val="CommentaireCar"/>
    <w:link w:val="Objetducommentaire"/>
    <w:uiPriority w:val="99"/>
    <w:semiHidden/>
    <w:rsid w:val="007C0DD9"/>
    <w:rPr>
      <w:b/>
      <w:bCs/>
      <w:sz w:val="20"/>
      <w:szCs w:val="20"/>
    </w:rPr>
  </w:style>
  <w:style w:type="paragraph" w:styleId="Rvision">
    <w:name w:val="Revision"/>
    <w:hidden/>
    <w:uiPriority w:val="99"/>
    <w:semiHidden/>
    <w:rsid w:val="009F70F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8914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B929F3-8FE7-4E72-A4A8-36220468A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11</Pages>
  <Words>3653</Words>
  <Characters>20094</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23700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Remy DURON</dc:creator>
  <cp:lastModifiedBy>WILKINSON Baptiste (UA 2775)</cp:lastModifiedBy>
  <cp:revision>9</cp:revision>
  <dcterms:created xsi:type="dcterms:W3CDTF">2020-12-17T16:05:00Z</dcterms:created>
  <dcterms:modified xsi:type="dcterms:W3CDTF">2022-12-29T16:56:00Z</dcterms:modified>
</cp:coreProperties>
</file>