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3ABB9" w14:textId="3D897B3F" w:rsidR="00EF2CE1" w:rsidRDefault="00E16D42" w:rsidP="00EF2CE1">
      <w:pPr>
        <w:rPr>
          <w:rFonts w:ascii="Garamond" w:hAnsi="Garamond"/>
          <w:lang w:val="en-US"/>
        </w:rPr>
      </w:pPr>
      <w:r w:rsidRPr="00186C94">
        <w:rPr>
          <w:noProof/>
          <w:color w:val="FFFFFF"/>
          <w:lang w:eastAsia="fr-FR"/>
        </w:rPr>
        <w:drawing>
          <wp:inline distT="0" distB="0" distL="0" distR="0" wp14:anchorId="153EA1A3" wp14:editId="1ECB985F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4FC30F" w14:textId="77777777" w:rsidR="00EF2CE1" w:rsidRDefault="00EF2CE1" w:rsidP="00EF2CE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Guide méthodologique </w:t>
      </w:r>
    </w:p>
    <w:p w14:paraId="69FACAAC" w14:textId="77777777" w:rsidR="00EF2CE1" w:rsidRDefault="00EF2CE1" w:rsidP="00EF2CE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Documents prudentiels européens quantitatifs à communiquer annuellement et trimestriellement par les organismes de retraite professionnelle supplémentaire</w:t>
      </w:r>
    </w:p>
    <w:p w14:paraId="553E197A" w14:textId="77777777" w:rsidR="00EF2CE1" w:rsidRDefault="00EF2CE1" w:rsidP="00EF2CE1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ab/>
      </w:r>
    </w:p>
    <w:p w14:paraId="4A6433DD" w14:textId="77777777" w:rsidR="00EF2CE1" w:rsidRDefault="00EF2CE1" w:rsidP="00EF2CE1">
      <w:pPr>
        <w:spacing w:after="0" w:line="240" w:lineRule="auto"/>
        <w:jc w:val="center"/>
        <w:rPr>
          <w:rFonts w:ascii="Garamond" w:hAnsi="Garamond"/>
        </w:rPr>
      </w:pPr>
    </w:p>
    <w:p w14:paraId="01267743" w14:textId="14B8C4D6" w:rsidR="00EF2CE1" w:rsidRDefault="00EF2CE1" w:rsidP="00EF2CE1">
      <w:pPr>
        <w:pStyle w:val="Paragraphedeliste1"/>
        <w:ind w:left="0" w:firstLine="708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Ce guide méthodologique traite des états quantitatifs présentés dans </w:t>
      </w:r>
      <w:r w:rsidR="00C15E06">
        <w:rPr>
          <w:rFonts w:ascii="Garamond" w:hAnsi="Garamond"/>
          <w:szCs w:val="22"/>
        </w:rPr>
        <w:t>l’instruction 2020-I-05.</w:t>
      </w:r>
    </w:p>
    <w:p w14:paraId="3BB9EDE0" w14:textId="77777777" w:rsidR="00F3043D" w:rsidRDefault="00F3043D"/>
    <w:p w14:paraId="66E78E7A" w14:textId="53DEF49B" w:rsidR="00EF2CE1" w:rsidRPr="00EF2CE1" w:rsidRDefault="00EF2CE1" w:rsidP="00EF2CE1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>PF.04.03.24</w:t>
      </w: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ab/>
      </w:r>
    </w:p>
    <w:p w14:paraId="5C51DD66" w14:textId="77777777" w:rsidR="00EF2CE1" w:rsidRPr="00EF2CE1" w:rsidRDefault="00EF2CE1" w:rsidP="00EF2CE1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>Activités transfrontalières</w:t>
      </w: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ab/>
      </w:r>
    </w:p>
    <w:p w14:paraId="4BA76E4B" w14:textId="77777777" w:rsidR="00EF2CE1" w:rsidRPr="00EF2CE1" w:rsidRDefault="00EF2CE1" w:rsidP="00EF2CE1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 w:rsidRPr="00EF2CE1">
        <w:rPr>
          <w:rFonts w:ascii="Garamond" w:eastAsia="Times New Roman" w:hAnsi="Garamond" w:cs="Times New Roman"/>
          <w:b/>
          <w:color w:val="003B8E"/>
          <w:lang w:eastAsia="fr-FR"/>
        </w:rPr>
        <w:t>(Remise annuelle)</w:t>
      </w:r>
    </w:p>
    <w:p w14:paraId="713EFDB9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14:paraId="1898912E" w14:textId="77777777" w:rsidR="00EF2CE1" w:rsidRPr="00EF2CE1" w:rsidRDefault="00EF2CE1" w:rsidP="00EF2CE1">
      <w:pPr>
        <w:numPr>
          <w:ilvl w:val="0"/>
          <w:numId w:val="5"/>
        </w:numPr>
        <w:spacing w:before="120" w:after="0" w:line="240" w:lineRule="auto"/>
        <w:contextualSpacing/>
        <w:rPr>
          <w:rFonts w:ascii="Garamond" w:hAnsi="Garamond"/>
          <w:b/>
        </w:rPr>
      </w:pPr>
      <w:r w:rsidRPr="00EF2CE1">
        <w:rPr>
          <w:rFonts w:ascii="Garamond" w:eastAsia="Times New Roman" w:hAnsi="Garamond" w:cs="Times New Roman"/>
          <w:b/>
          <w:lang w:eastAsia="fr-FR"/>
        </w:rPr>
        <w:t>Colonnes</w:t>
      </w:r>
    </w:p>
    <w:p w14:paraId="300645A3" w14:textId="77777777" w:rsidR="00EF2CE1" w:rsidRPr="00EF2CE1" w:rsidRDefault="00EF2CE1" w:rsidP="00EF2CE1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</w:p>
    <w:p w14:paraId="7BAA5354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EF2CE1">
        <w:rPr>
          <w:rFonts w:ascii="Garamond" w:eastAsia="Calibri" w:hAnsi="Garamond" w:cs="Times New Roman"/>
          <w:lang w:eastAsia="ar-SA"/>
        </w:rPr>
        <w:t>Le tableau de l’état comporte :</w:t>
      </w:r>
    </w:p>
    <w:p w14:paraId="504BCAE8" w14:textId="0CA40542" w:rsidR="00EF2CE1" w:rsidRPr="00EF2CE1" w:rsidRDefault="00EF2CE1" w:rsidP="00EF2CE1">
      <w:pPr>
        <w:numPr>
          <w:ilvl w:val="0"/>
          <w:numId w:val="1"/>
        </w:numPr>
        <w:spacing w:before="20"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  <w:r w:rsidRPr="00EF2CE1">
        <w:rPr>
          <w:rFonts w:ascii="Garamond" w:eastAsia="Calibri" w:hAnsi="Garamond" w:cs="Times New Roman"/>
          <w:lang w:eastAsia="ar-SA"/>
        </w:rPr>
        <w:t>Une colonne </w:t>
      </w:r>
      <w:r w:rsidRPr="00EF2CE1">
        <w:rPr>
          <w:rFonts w:ascii="Garamond" w:eastAsia="Times New Roman" w:hAnsi="Garamond" w:cs="Times New Roman"/>
          <w:lang w:eastAsia="fr-FR"/>
        </w:rPr>
        <w:t>C0010 Contrats à prestations définies (</w:t>
      </w:r>
      <w:r w:rsidR="00725FE4">
        <w:rPr>
          <w:rFonts w:ascii="Garamond" w:eastAsia="Times New Roman" w:hAnsi="Garamond" w:cs="Times New Roman"/>
          <w:lang w:eastAsia="fr-FR"/>
        </w:rPr>
        <w:t>les indemnités de fin de carrière et les anciens contrats article 39</w:t>
      </w:r>
      <w:r w:rsidRPr="00EF2CE1">
        <w:rPr>
          <w:rFonts w:ascii="Garamond" w:eastAsia="Times New Roman" w:hAnsi="Garamond" w:cs="Times New Roman"/>
          <w:lang w:eastAsia="fr-FR"/>
        </w:rPr>
        <w:t>)</w:t>
      </w:r>
    </w:p>
    <w:p w14:paraId="06B3F6D5" w14:textId="092CB165" w:rsidR="00EF2CE1" w:rsidRPr="00EF2CE1" w:rsidRDefault="00EF2CE1" w:rsidP="00EF2CE1">
      <w:pPr>
        <w:numPr>
          <w:ilvl w:val="0"/>
          <w:numId w:val="1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EF2CE1">
        <w:rPr>
          <w:rFonts w:ascii="Garamond" w:eastAsia="Times New Roman" w:hAnsi="Garamond" w:cs="Times New Roman"/>
          <w:lang w:eastAsia="fr-FR"/>
        </w:rPr>
        <w:t>Une colonne C0020 C</w:t>
      </w:r>
      <w:r w:rsidR="00004F8F">
        <w:rPr>
          <w:rFonts w:ascii="Garamond" w:eastAsia="Times New Roman" w:hAnsi="Garamond" w:cs="Times New Roman"/>
          <w:lang w:eastAsia="fr-FR"/>
        </w:rPr>
        <w:t xml:space="preserve">ontrats à cotisations définies </w:t>
      </w:r>
      <w:r w:rsidRPr="00EF2CE1">
        <w:rPr>
          <w:rFonts w:ascii="Garamond" w:eastAsia="Times New Roman" w:hAnsi="Garamond" w:cs="Times New Roman"/>
          <w:lang w:eastAsia="fr-FR"/>
        </w:rPr>
        <w:t>(</w:t>
      </w:r>
      <w:r w:rsidR="00C15E06">
        <w:rPr>
          <w:rFonts w:ascii="Garamond" w:eastAsia="Times New Roman" w:hAnsi="Garamond" w:cs="Times New Roman"/>
          <w:lang w:eastAsia="fr-FR"/>
        </w:rPr>
        <w:t xml:space="preserve">hors </w:t>
      </w:r>
      <w:r w:rsidR="00725FE4">
        <w:rPr>
          <w:rFonts w:ascii="Garamond" w:eastAsia="Times New Roman" w:hAnsi="Garamond" w:cs="Times New Roman"/>
          <w:lang w:eastAsia="fr-FR"/>
        </w:rPr>
        <w:t>indemnités de fin de carrièr</w:t>
      </w:r>
      <w:r w:rsidR="00C15E06">
        <w:rPr>
          <w:rFonts w:ascii="Garamond" w:eastAsia="Times New Roman" w:hAnsi="Garamond" w:cs="Times New Roman"/>
          <w:lang w:eastAsia="fr-FR"/>
        </w:rPr>
        <w:t>e, hors</w:t>
      </w:r>
      <w:r w:rsidR="00725FE4">
        <w:rPr>
          <w:rFonts w:ascii="Garamond" w:eastAsia="Times New Roman" w:hAnsi="Garamond" w:cs="Times New Roman"/>
          <w:lang w:eastAsia="fr-FR"/>
        </w:rPr>
        <w:t xml:space="preserve"> anciens</w:t>
      </w:r>
      <w:r w:rsidRPr="00EF2CE1">
        <w:rPr>
          <w:rFonts w:ascii="Garamond" w:eastAsia="Times New Roman" w:hAnsi="Garamond" w:cs="Times New Roman"/>
          <w:lang w:eastAsia="fr-FR"/>
        </w:rPr>
        <w:t xml:space="preserve"> </w:t>
      </w:r>
      <w:r w:rsidR="00424308">
        <w:rPr>
          <w:rFonts w:ascii="Garamond" w:eastAsia="Times New Roman" w:hAnsi="Garamond" w:cs="Times New Roman"/>
          <w:lang w:eastAsia="fr-FR"/>
        </w:rPr>
        <w:t xml:space="preserve">contrats </w:t>
      </w:r>
      <w:r w:rsidRPr="00EF2CE1">
        <w:rPr>
          <w:rFonts w:ascii="Garamond" w:eastAsia="Times New Roman" w:hAnsi="Garamond" w:cs="Times New Roman"/>
          <w:lang w:eastAsia="fr-FR"/>
        </w:rPr>
        <w:t>article 39)</w:t>
      </w:r>
    </w:p>
    <w:p w14:paraId="411106F8" w14:textId="77777777" w:rsidR="00EF2CE1" w:rsidRPr="00EF2CE1" w:rsidRDefault="00EF2CE1" w:rsidP="00EF2CE1">
      <w:pPr>
        <w:numPr>
          <w:ilvl w:val="0"/>
          <w:numId w:val="1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EF2CE1">
        <w:rPr>
          <w:rFonts w:ascii="Garamond" w:eastAsia="Times New Roman" w:hAnsi="Garamond" w:cs="Times New Roman"/>
          <w:lang w:eastAsia="fr-FR"/>
        </w:rPr>
        <w:t>Une colonne C0040 Total</w:t>
      </w:r>
    </w:p>
    <w:p w14:paraId="45453DC5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14:paraId="0C5F9B11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EF2CE1">
        <w:rPr>
          <w:rFonts w:ascii="Garamond" w:eastAsia="Times New Roman" w:hAnsi="Garamond" w:cs="Times New Roman"/>
          <w:b/>
          <w:lang w:eastAsia="fr-FR"/>
        </w:rPr>
        <w:t>Validation qui s’applique à toutes les lignes</w:t>
      </w:r>
      <w:r w:rsidRPr="00EF2CE1">
        <w:rPr>
          <w:rFonts w:ascii="Garamond" w:eastAsia="Times New Roman" w:hAnsi="Garamond" w:cs="Times New Roman"/>
          <w:lang w:eastAsia="fr-FR"/>
        </w:rPr>
        <w:t> : {c0040} = {c0010} + {c0020}</w:t>
      </w:r>
      <w:r w:rsidRPr="00EF2CE1">
        <w:rPr>
          <w:rFonts w:ascii="Garamond" w:eastAsia="Times New Roman" w:hAnsi="Garamond" w:cs="Times New Roman"/>
          <w:lang w:eastAsia="fr-FR"/>
        </w:rPr>
        <w:tab/>
      </w:r>
    </w:p>
    <w:p w14:paraId="4ACC8F40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EF2CE1">
        <w:rPr>
          <w:rFonts w:ascii="Garamond" w:eastAsia="Times New Roman" w:hAnsi="Garamond" w:cs="Times New Roman"/>
          <w:lang w:eastAsia="fr-FR"/>
        </w:rPr>
        <w:t>La somme des C0010 Contrats à prestations définies et C0020 Contrats à cotisations définies doit être égale au montant de la colonne "Total" (c0040).</w:t>
      </w:r>
    </w:p>
    <w:p w14:paraId="24A06D4F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14:paraId="398E281F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b/>
          <w:u w:val="single"/>
          <w:lang w:eastAsia="fr-FR"/>
        </w:rPr>
      </w:pPr>
      <w:r w:rsidRPr="00EF2CE1">
        <w:rPr>
          <w:rFonts w:ascii="Garamond" w:eastAsia="Times New Roman" w:hAnsi="Garamond" w:cs="Times New Roman"/>
          <w:b/>
          <w:u w:val="single"/>
          <w:lang w:eastAsia="fr-FR"/>
        </w:rPr>
        <w:t>Les clés de répartition sont à la discrétion de l’organisme.</w:t>
      </w:r>
    </w:p>
    <w:p w14:paraId="1DA5FE7D" w14:textId="77777777" w:rsidR="00EF2CE1" w:rsidRPr="00EF2CE1" w:rsidRDefault="00EF2CE1" w:rsidP="00EF2CE1">
      <w:pPr>
        <w:spacing w:before="20" w:after="0" w:line="240" w:lineRule="auto"/>
        <w:jc w:val="both"/>
        <w:rPr>
          <w:rFonts w:ascii="Garamond" w:eastAsia="Times New Roman" w:hAnsi="Garamond" w:cs="Times New Roman"/>
          <w:u w:val="single"/>
          <w:lang w:eastAsia="fr-FR"/>
        </w:rPr>
      </w:pPr>
    </w:p>
    <w:p w14:paraId="0420B0FE" w14:textId="77777777" w:rsidR="00EF2CE1" w:rsidRPr="00EF2CE1" w:rsidRDefault="00EF2CE1" w:rsidP="00EF2CE1">
      <w:pPr>
        <w:numPr>
          <w:ilvl w:val="0"/>
          <w:numId w:val="5"/>
        </w:numPr>
        <w:spacing w:after="0" w:line="240" w:lineRule="auto"/>
        <w:contextualSpacing/>
        <w:rPr>
          <w:rFonts w:ascii="Garamond" w:hAnsi="Garamond" w:cs="Times New Roman"/>
          <w:b/>
        </w:rPr>
      </w:pPr>
      <w:r w:rsidRPr="00EF2CE1">
        <w:rPr>
          <w:rFonts w:ascii="Garamond" w:eastAsia="Times New Roman" w:hAnsi="Garamond" w:cs="Times New Roman"/>
          <w:b/>
          <w:lang w:eastAsia="fr-FR"/>
        </w:rPr>
        <w:t>L</w:t>
      </w:r>
      <w:r w:rsidRPr="00EF2CE1">
        <w:rPr>
          <w:rFonts w:ascii="Garamond" w:hAnsi="Garamond" w:cs="Times New Roman"/>
          <w:b/>
        </w:rPr>
        <w:t>ignes</w:t>
      </w:r>
    </w:p>
    <w:p w14:paraId="7532C0DC" w14:textId="77777777" w:rsidR="00EF2CE1" w:rsidRPr="00EF2CE1" w:rsidRDefault="00EF2CE1" w:rsidP="00EF2CE1">
      <w:pPr>
        <w:rPr>
          <w:rFonts w:ascii="Garamond" w:hAnsi="Garamond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709"/>
        <w:gridCol w:w="5244"/>
      </w:tblGrid>
      <w:tr w:rsidR="00EF2CE1" w:rsidRPr="00EF2CE1" w14:paraId="0344F1EB" w14:textId="77777777" w:rsidTr="003E7E94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A7CA" w14:textId="77777777" w:rsidR="00EF2CE1" w:rsidRPr="00EF2CE1" w:rsidRDefault="00EF2CE1" w:rsidP="00EF2CE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EF2CE1">
              <w:rPr>
                <w:rFonts w:ascii="Garamond" w:eastAsia="Times New Roman" w:hAnsi="Garamond" w:cs="Times New Roman"/>
                <w:b/>
                <w:bCs/>
                <w:lang w:eastAsia="fr-FR"/>
              </w:rPr>
              <w:t>Intitulé</w:t>
            </w:r>
            <w:r w:rsidRPr="00EF2CE1">
              <w:rPr>
                <w:rFonts w:ascii="Garamond" w:eastAsia="Times New Roman" w:hAnsi="Garamond" w:cs="Times New Roman"/>
                <w:b/>
                <w:bCs/>
                <w:lang w:eastAsia="fr-FR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D192" w14:textId="77777777" w:rsidR="00EF2CE1" w:rsidRPr="00EF2CE1" w:rsidRDefault="00EF2CE1" w:rsidP="00EF2CE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EF2CE1">
              <w:rPr>
                <w:rFonts w:ascii="Garamond" w:eastAsia="Times New Roman" w:hAnsi="Garamond" w:cs="Times New Roman"/>
                <w:b/>
                <w:bCs/>
                <w:lang w:eastAsia="fr-FR"/>
              </w:rPr>
              <w:t>Ligne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71B5" w14:textId="77777777" w:rsidR="00EF2CE1" w:rsidRPr="00EF2CE1" w:rsidRDefault="00EF2CE1" w:rsidP="00EF2CE1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EF2CE1">
              <w:rPr>
                <w:rFonts w:ascii="Garamond" w:eastAsia="Times New Roman" w:hAnsi="Garamond" w:cs="Times New Roman"/>
                <w:b/>
                <w:bCs/>
                <w:lang w:eastAsia="fr-FR"/>
              </w:rPr>
              <w:t>Définition et formule</w:t>
            </w:r>
          </w:p>
        </w:tc>
      </w:tr>
      <w:tr w:rsidR="00EF2CE1" w:rsidRPr="00EF2CE1" w14:paraId="245BF335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6A97" w14:textId="77777777" w:rsidR="00EF2CE1" w:rsidRPr="00EF2CE1" w:rsidRDefault="00EF2CE1" w:rsidP="00004F8F">
            <w:pPr>
              <w:jc w:val="center"/>
              <w:rPr>
                <w:rFonts w:ascii="Garamond" w:hAnsi="Garamond"/>
                <w:b/>
                <w:bCs/>
              </w:rPr>
            </w:pPr>
            <w:bookmarkStart w:id="0" w:name="RANGE!B9:B18"/>
            <w:r w:rsidRPr="008F3C06">
              <w:rPr>
                <w:rFonts w:ascii="Garamond" w:hAnsi="Garamond"/>
              </w:rPr>
              <w:t>Liste des pays d'accueil dans lesquels l'organisme a une présence active</w:t>
            </w:r>
            <w:bookmarkEnd w:id="0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C865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bookmarkStart w:id="1" w:name="RANGE!C9:C18"/>
            <w:r w:rsidRPr="00EF2CE1">
              <w:rPr>
                <w:rFonts w:ascii="Garamond" w:hAnsi="Garamond"/>
              </w:rPr>
              <w:t>R0010</w:t>
            </w:r>
            <w:bookmarkEnd w:id="1"/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BB99" w14:textId="17C7EAC8" w:rsidR="00EF2CE1" w:rsidRPr="00EF2CE1" w:rsidRDefault="00E16D42" w:rsidP="00EF2CE1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À</w:t>
            </w:r>
            <w:r w:rsidR="00EF2CE1" w:rsidRPr="00EF2CE1">
              <w:rPr>
                <w:rFonts w:ascii="Garamond" w:hAnsi="Garamond"/>
              </w:rPr>
              <w:t xml:space="preserve"> remplir par les Codes ISO </w:t>
            </w:r>
            <w:r w:rsidR="004E7B41">
              <w:rPr>
                <w:rFonts w:ascii="Garamond" w:hAnsi="Garamond"/>
              </w:rPr>
              <w:t>3166 des pays d’accueil où l’ORPS est actif</w:t>
            </w:r>
            <w:r w:rsidR="009C176A">
              <w:rPr>
                <w:rFonts w:ascii="Garamond" w:hAnsi="Garamond"/>
              </w:rPr>
              <w:t xml:space="preserve"> en dehors du pays d’accréditation</w:t>
            </w:r>
            <w:r w:rsidR="004E7B41">
              <w:rPr>
                <w:rFonts w:ascii="Garamond" w:hAnsi="Garamond"/>
              </w:rPr>
              <w:t>. Une présence active signifie que l’ORPS</w:t>
            </w:r>
            <w:r w:rsidR="00EF2CE1" w:rsidRPr="00EF2CE1">
              <w:rPr>
                <w:rFonts w:ascii="Garamond" w:hAnsi="Garamond"/>
              </w:rPr>
              <w:t xml:space="preserve"> est autorisé, il a finalisé la procédure de notification avec le pays d’accueil et il détient des actifs et des engagements</w:t>
            </w:r>
            <w:r w:rsidR="004E7B41">
              <w:rPr>
                <w:rFonts w:ascii="Garamond" w:hAnsi="Garamond"/>
              </w:rPr>
              <w:t xml:space="preserve"> au titre de son activité transfrontalière</w:t>
            </w:r>
            <w:r w:rsidR="00EF2CE1" w:rsidRPr="00EF2CE1">
              <w:rPr>
                <w:rFonts w:ascii="Garamond" w:hAnsi="Garamond"/>
              </w:rPr>
              <w:t xml:space="preserve"> dans ce pays d’ac</w:t>
            </w:r>
            <w:r w:rsidR="004E7B41">
              <w:rPr>
                <w:rFonts w:ascii="Garamond" w:hAnsi="Garamond"/>
              </w:rPr>
              <w:t>cueil</w:t>
            </w:r>
            <w:r w:rsidR="00EF2CE1" w:rsidRPr="00EF2CE1">
              <w:rPr>
                <w:rFonts w:ascii="Garamond" w:hAnsi="Garamond"/>
              </w:rPr>
              <w:t>; si plusieurs pays on met les codes ISO séparés d’une virgule</w:t>
            </w:r>
            <w:r w:rsidR="009C176A">
              <w:rPr>
                <w:rFonts w:ascii="Garamond" w:hAnsi="Garamond"/>
              </w:rPr>
              <w:t xml:space="preserve">. Il s’agit </w:t>
            </w:r>
            <w:r w:rsidR="009C176A" w:rsidRPr="009C176A">
              <w:rPr>
                <w:rFonts w:ascii="Garamond" w:hAnsi="Garamond"/>
              </w:rPr>
              <w:t>du code normé en deux lettres. Par exemple : ‘</w:t>
            </w:r>
            <w:proofErr w:type="gramStart"/>
            <w:r w:rsidR="009C176A" w:rsidRPr="009C176A">
              <w:rPr>
                <w:rFonts w:ascii="Garamond" w:hAnsi="Garamond"/>
              </w:rPr>
              <w:t>LU,SK</w:t>
            </w:r>
            <w:proofErr w:type="gramEnd"/>
            <w:r w:rsidR="009C176A" w:rsidRPr="009C176A">
              <w:rPr>
                <w:rFonts w:ascii="Garamond" w:hAnsi="Garamond"/>
              </w:rPr>
              <w:t xml:space="preserve">’ pour Luxembourg et Slovaquie.  </w:t>
            </w:r>
          </w:p>
          <w:p w14:paraId="4E5FC33C" w14:textId="53517039" w:rsidR="00EF2CE1" w:rsidRPr="00EF2CE1" w:rsidRDefault="00E16D42" w:rsidP="00EF2CE1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lastRenderedPageBreak/>
              <w:t>À</w:t>
            </w:r>
            <w:r w:rsidR="00EF2CE1" w:rsidRPr="00EF2CE1">
              <w:rPr>
                <w:rFonts w:ascii="Garamond" w:hAnsi="Garamond"/>
              </w:rPr>
              <w:t xml:space="preserve"> spécifier par type de contrat :</w:t>
            </w:r>
          </w:p>
          <w:p w14:paraId="4AD1A8CB" w14:textId="3E8E4B88" w:rsidR="00EF2CE1" w:rsidRPr="00EF2CE1" w:rsidRDefault="00EF2CE1" w:rsidP="00725FE4">
            <w:pPr>
              <w:numPr>
                <w:ilvl w:val="0"/>
                <w:numId w:val="4"/>
              </w:numPr>
              <w:contextualSpacing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 xml:space="preserve">C0010 : </w:t>
            </w:r>
            <w:r w:rsidR="004E7B41">
              <w:rPr>
                <w:rFonts w:ascii="Garamond" w:hAnsi="Garamond"/>
              </w:rPr>
              <w:t>liste des pays d'accueil où l</w:t>
            </w:r>
            <w:r w:rsidR="00C15E06">
              <w:rPr>
                <w:rFonts w:ascii="Garamond" w:hAnsi="Garamond"/>
              </w:rPr>
              <w:t>’</w:t>
            </w:r>
            <w:r w:rsidR="004E7B41">
              <w:rPr>
                <w:rFonts w:ascii="Garamond" w:hAnsi="Garamond"/>
              </w:rPr>
              <w:t>O</w:t>
            </w:r>
            <w:r w:rsidRPr="00EF2CE1">
              <w:rPr>
                <w:rFonts w:ascii="Garamond" w:hAnsi="Garamond"/>
              </w:rPr>
              <w:t>RPS vend en LPS des Contrats à prestations définies (</w:t>
            </w:r>
            <w:r w:rsidR="00725FE4" w:rsidRPr="00725FE4">
              <w:rPr>
                <w:rFonts w:ascii="Garamond" w:hAnsi="Garamond"/>
              </w:rPr>
              <w:t>les indemnités de fin de carrière et les anciens contrats article 39</w:t>
            </w:r>
            <w:r w:rsidRPr="00EF2CE1">
              <w:rPr>
                <w:rFonts w:ascii="Garamond" w:hAnsi="Garamond"/>
              </w:rPr>
              <w:t>)</w:t>
            </w:r>
          </w:p>
          <w:p w14:paraId="438DBE62" w14:textId="77777777" w:rsidR="00EF2CE1" w:rsidRPr="00EF2CE1" w:rsidRDefault="00EF2CE1" w:rsidP="00EF2CE1">
            <w:pPr>
              <w:ind w:left="720"/>
              <w:contextualSpacing/>
              <w:rPr>
                <w:rFonts w:ascii="Garamond" w:hAnsi="Garamond"/>
              </w:rPr>
            </w:pPr>
          </w:p>
          <w:p w14:paraId="2FCD8CF8" w14:textId="3A2C4D23" w:rsidR="00EF2CE1" w:rsidRPr="00EF2CE1" w:rsidRDefault="00EF2CE1" w:rsidP="00725FE4">
            <w:pPr>
              <w:numPr>
                <w:ilvl w:val="0"/>
                <w:numId w:val="3"/>
              </w:numPr>
              <w:contextualSpacing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C0020 Contrats à cotisations définies (</w:t>
            </w:r>
            <w:r w:rsidR="00C15E06">
              <w:rPr>
                <w:rFonts w:ascii="Garamond" w:hAnsi="Garamond"/>
              </w:rPr>
              <w:t>hors</w:t>
            </w:r>
            <w:r w:rsidR="00725FE4" w:rsidRPr="00725FE4">
              <w:rPr>
                <w:rFonts w:ascii="Garamond" w:hAnsi="Garamond"/>
              </w:rPr>
              <w:t xml:space="preserve"> indemnités de fin de carrière</w:t>
            </w:r>
            <w:r w:rsidR="00C15E06">
              <w:rPr>
                <w:rFonts w:ascii="Garamond" w:hAnsi="Garamond"/>
              </w:rPr>
              <w:t>, hors</w:t>
            </w:r>
            <w:r w:rsidR="00725FE4" w:rsidRPr="00725FE4">
              <w:rPr>
                <w:rFonts w:ascii="Garamond" w:hAnsi="Garamond"/>
              </w:rPr>
              <w:t xml:space="preserve"> anciens </w:t>
            </w:r>
            <w:r w:rsidR="00424308">
              <w:rPr>
                <w:rFonts w:ascii="Garamond" w:hAnsi="Garamond"/>
              </w:rPr>
              <w:t xml:space="preserve">contrats </w:t>
            </w:r>
            <w:r w:rsidR="00725FE4" w:rsidRPr="00725FE4">
              <w:rPr>
                <w:rFonts w:ascii="Garamond" w:hAnsi="Garamond"/>
              </w:rPr>
              <w:t>article 39</w:t>
            </w:r>
            <w:r w:rsidRPr="00EF2CE1">
              <w:rPr>
                <w:rFonts w:ascii="Garamond" w:hAnsi="Garamond"/>
              </w:rPr>
              <w:t>)</w:t>
            </w:r>
          </w:p>
          <w:p w14:paraId="7BA5D7FD" w14:textId="6264DFDE" w:rsidR="00EF2CE1" w:rsidRPr="00EF2CE1" w:rsidRDefault="00EF2CE1" w:rsidP="004E7B41">
            <w:pPr>
              <w:ind w:left="720"/>
              <w:contextualSpacing/>
              <w:rPr>
                <w:rFonts w:ascii="Garamond" w:hAnsi="Garamond"/>
              </w:rPr>
            </w:pPr>
          </w:p>
        </w:tc>
      </w:tr>
      <w:tr w:rsidR="00EF2CE1" w:rsidRPr="00EF2CE1" w14:paraId="0F7FD4EE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DFA1D" w14:textId="77777777" w:rsidR="00EF2CE1" w:rsidRPr="00EF2CE1" w:rsidRDefault="00EF2CE1" w:rsidP="00004F8F">
            <w:pPr>
              <w:jc w:val="center"/>
              <w:rPr>
                <w:rFonts w:ascii="Garamond" w:hAnsi="Garamond"/>
                <w:b/>
                <w:bCs/>
              </w:rPr>
            </w:pPr>
            <w:r w:rsidRPr="008F3C06">
              <w:rPr>
                <w:rFonts w:ascii="Garamond" w:hAnsi="Garamond"/>
              </w:rPr>
              <w:lastRenderedPageBreak/>
              <w:t>Nombre d'entreprises souscriptrices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1DC6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R0020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1CDA" w14:textId="77777777" w:rsidR="00EF2CE1" w:rsidRPr="00EF2CE1" w:rsidRDefault="00EF2CE1" w:rsidP="00B33F1E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Nombre des entreprises. Entreprises souscriptrices “contribuant” au plan de</w:t>
            </w:r>
            <w:r w:rsidR="00B33F1E">
              <w:rPr>
                <w:rFonts w:ascii="Garamond" w:hAnsi="Garamond"/>
              </w:rPr>
              <w:t xml:space="preserve"> retraite vendus au titre de l’activité transfrontalière de l’ORPS.</w:t>
            </w:r>
          </w:p>
        </w:tc>
      </w:tr>
      <w:tr w:rsidR="00EF2CE1" w:rsidRPr="00EF2CE1" w14:paraId="12FA1034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5A25" w14:textId="77777777" w:rsidR="00EF2CE1" w:rsidRPr="00EF2CE1" w:rsidRDefault="00EF2CE1" w:rsidP="00004F8F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Montant total d'actifs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134F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R0040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9DAF" w14:textId="77777777" w:rsidR="00EF2CE1" w:rsidRPr="00EF2CE1" w:rsidRDefault="00EF2CE1" w:rsidP="00EF2CE1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Montant total des actifs correspondant aux activités transfrontalières.</w:t>
            </w:r>
          </w:p>
        </w:tc>
      </w:tr>
      <w:tr w:rsidR="00EF2CE1" w:rsidRPr="00EF2CE1" w14:paraId="39CB062B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5543" w14:textId="77777777" w:rsidR="00EF2CE1" w:rsidRPr="00EF2CE1" w:rsidRDefault="00EF2CE1" w:rsidP="00004F8F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Provisions techniques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B1EB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R0050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889E" w14:textId="77777777" w:rsidR="00EF2CE1" w:rsidRPr="00EF2CE1" w:rsidRDefault="00EF2CE1" w:rsidP="00EF2CE1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Montant total des provisions techniques correspondant aux activités transfrontalières.</w:t>
            </w:r>
          </w:p>
        </w:tc>
      </w:tr>
      <w:tr w:rsidR="00EF2CE1" w:rsidRPr="00EF2CE1" w14:paraId="11FB9E4F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35ED" w14:textId="77777777" w:rsidR="00EF2CE1" w:rsidRPr="00EF2CE1" w:rsidRDefault="00EF2CE1" w:rsidP="00004F8F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Membres actifs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8457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R0060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BCC5" w14:textId="6DE520E5" w:rsidR="00EF2CE1" w:rsidRPr="00EF2CE1" w:rsidRDefault="00EF2CE1" w:rsidP="00EF2CE1">
            <w:pPr>
              <w:rPr>
                <w:rFonts w:ascii="Garamond" w:hAnsi="Garamond"/>
              </w:rPr>
            </w:pPr>
            <w:proofErr w:type="gramStart"/>
            <w:r w:rsidRPr="00EF2CE1">
              <w:rPr>
                <w:rFonts w:ascii="Garamond" w:hAnsi="Garamond"/>
              </w:rPr>
              <w:t>Nombre de personnes</w:t>
            </w:r>
            <w:proofErr w:type="gramEnd"/>
            <w:r w:rsidRPr="00EF2CE1">
              <w:rPr>
                <w:rFonts w:ascii="Garamond" w:hAnsi="Garamond"/>
              </w:rPr>
              <w:t xml:space="preserve"> assurées détenant des contrats vendus </w:t>
            </w:r>
            <w:r w:rsidR="003C2295">
              <w:rPr>
                <w:rFonts w:ascii="Garamond" w:hAnsi="Garamond"/>
              </w:rPr>
              <w:t>dans le cadre de l’activité transfrontalière de</w:t>
            </w:r>
            <w:r w:rsidR="003C2295" w:rsidRPr="00EF2CE1">
              <w:rPr>
                <w:rFonts w:ascii="Garamond" w:hAnsi="Garamond"/>
              </w:rPr>
              <w:t xml:space="preserve"> </w:t>
            </w:r>
            <w:r w:rsidRPr="00EF2CE1">
              <w:rPr>
                <w:rFonts w:ascii="Garamond" w:hAnsi="Garamond"/>
              </w:rPr>
              <w:t>l</w:t>
            </w:r>
            <w:r w:rsidR="003C2295">
              <w:rPr>
                <w:rFonts w:ascii="Garamond" w:hAnsi="Garamond"/>
              </w:rPr>
              <w:t>’O</w:t>
            </w:r>
            <w:r w:rsidRPr="00EF2CE1">
              <w:rPr>
                <w:rFonts w:ascii="Garamond" w:hAnsi="Garamond"/>
              </w:rPr>
              <w:t>RPS concerné.</w:t>
            </w:r>
          </w:p>
          <w:p w14:paraId="3212B021" w14:textId="1B5A3620" w:rsidR="00EF2CE1" w:rsidRPr="00EF2CE1" w:rsidRDefault="00EF2CE1" w:rsidP="00EF2CE1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Définition d’un membre “actif” (code 48 70 4) dans l’Annex</w:t>
            </w:r>
            <w:r w:rsidR="00E16D42">
              <w:rPr>
                <w:rFonts w:ascii="Garamond" w:hAnsi="Garamond"/>
              </w:rPr>
              <w:t>e</w:t>
            </w:r>
            <w:r w:rsidRPr="00EF2CE1">
              <w:rPr>
                <w:rFonts w:ascii="Garamond" w:hAnsi="Garamond"/>
              </w:rPr>
              <w:t xml:space="preserve"> I du Règlement 250/2009).</w:t>
            </w:r>
          </w:p>
        </w:tc>
      </w:tr>
      <w:tr w:rsidR="00EF2CE1" w:rsidRPr="00EF2CE1" w14:paraId="6053F906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F8A3" w14:textId="77777777" w:rsidR="00EF2CE1" w:rsidRPr="00EF2CE1" w:rsidRDefault="00EF2CE1" w:rsidP="00004F8F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Participants bénéficiant de droits acquis différés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9167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R0070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5B44" w14:textId="535F9B6F" w:rsidR="00EF2CE1" w:rsidRPr="00EF2CE1" w:rsidRDefault="00EF2CE1" w:rsidP="003C2295">
            <w:pPr>
              <w:rPr>
                <w:rFonts w:ascii="Garamond" w:hAnsi="Garamond"/>
              </w:rPr>
            </w:pPr>
            <w:proofErr w:type="gramStart"/>
            <w:r w:rsidRPr="00EF2CE1">
              <w:rPr>
                <w:rFonts w:ascii="Garamond" w:hAnsi="Garamond"/>
              </w:rPr>
              <w:t>Nombre de perso</w:t>
            </w:r>
            <w:bookmarkStart w:id="2" w:name="_GoBack"/>
            <w:bookmarkEnd w:id="2"/>
            <w:r w:rsidRPr="00EF2CE1">
              <w:rPr>
                <w:rFonts w:ascii="Garamond" w:hAnsi="Garamond"/>
              </w:rPr>
              <w:t>nnes</w:t>
            </w:r>
            <w:proofErr w:type="gramEnd"/>
            <w:r w:rsidRPr="00EF2CE1">
              <w:rPr>
                <w:rFonts w:ascii="Garamond" w:hAnsi="Garamond"/>
              </w:rPr>
              <w:t xml:space="preserve"> couvertes par des contrats vendus </w:t>
            </w:r>
            <w:r w:rsidR="003C2295">
              <w:rPr>
                <w:rFonts w:ascii="Garamond" w:hAnsi="Garamond"/>
              </w:rPr>
              <w:t>dans le cadre de l’activité transfrontalière de l’O</w:t>
            </w:r>
            <w:r w:rsidRPr="00EF2CE1">
              <w:rPr>
                <w:rFonts w:ascii="Garamond" w:hAnsi="Garamond"/>
              </w:rPr>
              <w:t>RPS concerné. Définition des Participants bénéficiant de droits acquis différés (code 48 70 5) dans l’Annex</w:t>
            </w:r>
            <w:r w:rsidR="00E16D42">
              <w:rPr>
                <w:rFonts w:ascii="Garamond" w:hAnsi="Garamond"/>
              </w:rPr>
              <w:t>e</w:t>
            </w:r>
            <w:r w:rsidRPr="00EF2CE1">
              <w:rPr>
                <w:rFonts w:ascii="Garamond" w:hAnsi="Garamond"/>
              </w:rPr>
              <w:t xml:space="preserve"> I du Règlement 250/2009).</w:t>
            </w:r>
          </w:p>
        </w:tc>
      </w:tr>
      <w:tr w:rsidR="00EF2CE1" w:rsidRPr="00EF2CE1" w14:paraId="5D76F808" w14:textId="77777777" w:rsidTr="003E7E94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334C" w14:textId="77777777" w:rsidR="00EF2CE1" w:rsidRPr="00EF2CE1" w:rsidRDefault="00EF2CE1" w:rsidP="00004F8F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Bénéficiaires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B576" w14:textId="77777777" w:rsidR="00EF2CE1" w:rsidRPr="00EF2CE1" w:rsidRDefault="00EF2CE1" w:rsidP="00EF2CE1">
            <w:pPr>
              <w:jc w:val="center"/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R0080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5B50" w14:textId="15DAD6C8" w:rsidR="00EF2CE1" w:rsidRPr="00EF2CE1" w:rsidRDefault="00EF2CE1" w:rsidP="00EF2CE1">
            <w:pPr>
              <w:rPr>
                <w:rFonts w:ascii="Garamond" w:hAnsi="Garamond"/>
              </w:rPr>
            </w:pPr>
            <w:r w:rsidRPr="00EF2CE1">
              <w:rPr>
                <w:rFonts w:ascii="Garamond" w:hAnsi="Garamond"/>
              </w:rPr>
              <w:t>Nombre de bénéficiaires servis au moins une fois au cours de l’année</w:t>
            </w:r>
            <w:r w:rsidR="003C2295">
              <w:rPr>
                <w:rFonts w:ascii="Garamond" w:hAnsi="Garamond"/>
              </w:rPr>
              <w:t xml:space="preserve"> au titre de l’activité transfrontalière de l’ORPS.</w:t>
            </w:r>
          </w:p>
        </w:tc>
      </w:tr>
    </w:tbl>
    <w:p w14:paraId="3816414B" w14:textId="77777777" w:rsidR="00EF2CE1" w:rsidRPr="00EF2CE1" w:rsidRDefault="00EF2CE1" w:rsidP="00EF2CE1">
      <w:pPr>
        <w:rPr>
          <w:rFonts w:ascii="Garamond" w:hAnsi="Garamond"/>
        </w:rPr>
      </w:pPr>
    </w:p>
    <w:p w14:paraId="48D3B3C9" w14:textId="77777777" w:rsidR="00EF2CE1" w:rsidRDefault="00EF2CE1"/>
    <w:p w14:paraId="7CA5022E" w14:textId="77777777" w:rsidR="00EF2CE1" w:rsidRDefault="00EF2CE1">
      <w:r w:rsidRPr="00EF2CE1">
        <w:rPr>
          <w:noProof/>
          <w:lang w:eastAsia="fr-FR"/>
        </w:rPr>
        <w:lastRenderedPageBreak/>
        <w:drawing>
          <wp:inline distT="0" distB="0" distL="0" distR="0" wp14:anchorId="45DEB10E" wp14:editId="0B3B33A4">
            <wp:extent cx="5760720" cy="290504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0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2C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D62E9" w14:textId="77777777" w:rsidR="00EF2CE1" w:rsidRDefault="00EF2CE1" w:rsidP="00EF2CE1">
      <w:pPr>
        <w:spacing w:after="0" w:line="240" w:lineRule="auto"/>
      </w:pPr>
      <w:r>
        <w:separator/>
      </w:r>
    </w:p>
  </w:endnote>
  <w:endnote w:type="continuationSeparator" w:id="0">
    <w:p w14:paraId="1E1C0D2F" w14:textId="77777777" w:rsidR="00EF2CE1" w:rsidRDefault="00EF2CE1" w:rsidP="00EF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58161"/>
      <w:docPartObj>
        <w:docPartGallery w:val="Page Numbers (Bottom of Page)"/>
        <w:docPartUnique/>
      </w:docPartObj>
    </w:sdtPr>
    <w:sdtEndPr/>
    <w:sdtContent>
      <w:p w14:paraId="6BDC30FF" w14:textId="5176D36D" w:rsidR="00EF2CE1" w:rsidRDefault="00EF2C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2EE">
          <w:rPr>
            <w:noProof/>
          </w:rPr>
          <w:t>3</w:t>
        </w:r>
        <w:r>
          <w:fldChar w:fldCharType="end"/>
        </w:r>
      </w:p>
    </w:sdtContent>
  </w:sdt>
  <w:p w14:paraId="79509634" w14:textId="77777777" w:rsidR="00EF2CE1" w:rsidRDefault="00EF2C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895EF" w14:textId="77777777" w:rsidR="00EF2CE1" w:rsidRDefault="00EF2CE1" w:rsidP="00EF2CE1">
      <w:pPr>
        <w:spacing w:after="0" w:line="240" w:lineRule="auto"/>
      </w:pPr>
      <w:r>
        <w:separator/>
      </w:r>
    </w:p>
  </w:footnote>
  <w:footnote w:type="continuationSeparator" w:id="0">
    <w:p w14:paraId="4D4269EA" w14:textId="77777777" w:rsidR="00EF2CE1" w:rsidRDefault="00EF2CE1" w:rsidP="00EF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24E0C"/>
    <w:multiLevelType w:val="hybridMultilevel"/>
    <w:tmpl w:val="C130F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04CE7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95916B8"/>
    <w:multiLevelType w:val="hybridMultilevel"/>
    <w:tmpl w:val="1D8AA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9E"/>
    <w:rsid w:val="00004F8F"/>
    <w:rsid w:val="001665AA"/>
    <w:rsid w:val="001902EE"/>
    <w:rsid w:val="003C2295"/>
    <w:rsid w:val="00424308"/>
    <w:rsid w:val="004D7051"/>
    <w:rsid w:val="004E7B41"/>
    <w:rsid w:val="00725FE4"/>
    <w:rsid w:val="008F3C06"/>
    <w:rsid w:val="009C176A"/>
    <w:rsid w:val="00B33F1E"/>
    <w:rsid w:val="00C15E06"/>
    <w:rsid w:val="00E16D42"/>
    <w:rsid w:val="00ED1555"/>
    <w:rsid w:val="00EF2CE1"/>
    <w:rsid w:val="00F3043D"/>
    <w:rsid w:val="00F9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4FB67"/>
  <w15:docId w15:val="{24D225E8-BFA8-4A10-A3DC-3DB32DAC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C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rsid w:val="00EF2CE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CE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2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2CE1"/>
  </w:style>
  <w:style w:type="paragraph" w:styleId="Pieddepage">
    <w:name w:val="footer"/>
    <w:basedOn w:val="Normal"/>
    <w:link w:val="PieddepageCar"/>
    <w:uiPriority w:val="99"/>
    <w:unhideWhenUsed/>
    <w:rsid w:val="00EF2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2CE1"/>
  </w:style>
  <w:style w:type="character" w:styleId="Marquedecommentaire">
    <w:name w:val="annotation reference"/>
    <w:basedOn w:val="Policepardfaut"/>
    <w:uiPriority w:val="99"/>
    <w:semiHidden/>
    <w:unhideWhenUsed/>
    <w:rsid w:val="003C22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22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229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22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22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ADNOT</dc:creator>
  <cp:keywords/>
  <dc:description/>
  <cp:lastModifiedBy>WILKINSON Baptiste (UA 2775)</cp:lastModifiedBy>
  <cp:revision>8</cp:revision>
  <dcterms:created xsi:type="dcterms:W3CDTF">2020-12-01T09:06:00Z</dcterms:created>
  <dcterms:modified xsi:type="dcterms:W3CDTF">2022-12-29T17:00:00Z</dcterms:modified>
</cp:coreProperties>
</file>