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BC3" w:rsidRPr="003C57EF" w:rsidRDefault="00703BC3" w:rsidP="00F06BA8">
      <w:pPr>
        <w:pStyle w:val="Paragraphedeliste1"/>
        <w:spacing w:before="120" w:after="120"/>
        <w:ind w:left="0"/>
      </w:pPr>
    </w:p>
    <w:p w:rsidR="00703BC3" w:rsidRPr="006B2925" w:rsidRDefault="00DE150B" w:rsidP="00F06BA8">
      <w:pPr>
        <w:jc w:val="both"/>
        <w:rPr>
          <w:rFonts w:ascii="Times New Roman" w:hAnsi="Times New Roman" w:cs="Times New Roman"/>
          <w:b/>
          <w:color w:val="003B8E"/>
          <w:sz w:val="32"/>
          <w:szCs w:val="32"/>
        </w:rPr>
      </w:pPr>
      <w:r>
        <w:rPr>
          <w:noProof/>
          <w:lang w:eastAsia="fr-FR"/>
        </w:rPr>
        <w:drawing>
          <wp:inline distT="0" distB="0" distL="0" distR="0" wp14:anchorId="1C1FFBA7" wp14:editId="1205EEFE">
            <wp:extent cx="1109980" cy="989965"/>
            <wp:effectExtent l="0" t="0" r="0" b="635"/>
            <wp:docPr id="10" name="Image 5"/>
            <wp:cNvGraphicFramePr/>
            <a:graphic xmlns:a="http://schemas.openxmlformats.org/drawingml/2006/main">
              <a:graphicData uri="http://schemas.openxmlformats.org/drawingml/2006/picture">
                <pic:pic xmlns:pic="http://schemas.openxmlformats.org/drawingml/2006/picture">
                  <pic:nvPicPr>
                    <pic:cNvPr id="10" name="Image 5"/>
                    <pic:cNvPicPr/>
                  </pic:nvPicPr>
                  <pic:blipFill>
                    <a:blip r:embed="rId8">
                      <a:extLst>
                        <a:ext uri="{28A0092B-C50C-407E-A947-70E740481C1C}">
                          <a14:useLocalDpi xmlns:a14="http://schemas.microsoft.com/office/drawing/2010/main" val="0"/>
                        </a:ext>
                      </a:extLst>
                    </a:blip>
                    <a:stretch>
                      <a:fillRect/>
                    </a:stretch>
                  </pic:blipFill>
                  <pic:spPr bwMode="auto">
                    <a:xfrm>
                      <a:off x="0" y="0"/>
                      <a:ext cx="1109980" cy="989965"/>
                    </a:xfrm>
                    <a:prstGeom prst="rect">
                      <a:avLst/>
                    </a:prstGeom>
                    <a:noFill/>
                    <a:ln w="9525">
                      <a:noFill/>
                      <a:miter lim="800000"/>
                      <a:headEnd/>
                      <a:tailEnd/>
                    </a:ln>
                  </pic:spPr>
                </pic:pic>
              </a:graphicData>
            </a:graphic>
          </wp:inline>
        </w:drawing>
      </w:r>
    </w:p>
    <w:p w:rsidR="00703BC3" w:rsidRPr="00240557" w:rsidDel="00AF75AE" w:rsidRDefault="00703BC3" w:rsidP="00F06BA8">
      <w:pPr>
        <w:jc w:val="center"/>
        <w:rPr>
          <w:rFonts w:ascii="Times New Roman" w:hAnsi="Times New Roman" w:cs="Times New Roman"/>
          <w:b/>
          <w:color w:val="003B8E"/>
          <w:sz w:val="32"/>
          <w:szCs w:val="32"/>
        </w:rPr>
      </w:pPr>
      <w:r w:rsidRPr="00240557" w:rsidDel="00AF75AE">
        <w:rPr>
          <w:rFonts w:ascii="Times New Roman" w:hAnsi="Times New Roman" w:cs="Times New Roman"/>
          <w:b/>
          <w:color w:val="003B8E"/>
          <w:sz w:val="32"/>
          <w:szCs w:val="32"/>
        </w:rPr>
        <w:t>Guide méthodologique</w:t>
      </w:r>
    </w:p>
    <w:p w:rsidR="00703BC3" w:rsidRPr="003C57EF" w:rsidRDefault="00F06BA8" w:rsidP="00F06BA8">
      <w:pPr>
        <w:jc w:val="center"/>
        <w:rPr>
          <w:rFonts w:ascii="Times New Roman" w:hAnsi="Times New Roman" w:cs="Times New Roman"/>
          <w:b/>
          <w:color w:val="003B8E"/>
          <w:sz w:val="32"/>
          <w:szCs w:val="32"/>
        </w:rPr>
      </w:pPr>
      <w:r w:rsidRPr="003C57EF">
        <w:rPr>
          <w:rFonts w:ascii="Times New Roman" w:hAnsi="Times New Roman" w:cs="Times New Roman"/>
          <w:b/>
          <w:color w:val="003B8E"/>
          <w:sz w:val="32"/>
          <w:szCs w:val="32"/>
        </w:rPr>
        <w:t xml:space="preserve">Modèle </w:t>
      </w:r>
      <w:r w:rsidR="00703BC3" w:rsidRPr="003C57EF" w:rsidDel="00AF75AE">
        <w:rPr>
          <w:rFonts w:ascii="Times New Roman" w:hAnsi="Times New Roman" w:cs="Times New Roman"/>
          <w:b/>
          <w:color w:val="003B8E"/>
          <w:sz w:val="32"/>
          <w:szCs w:val="32"/>
        </w:rPr>
        <w:t>de l</w:t>
      </w:r>
      <w:r w:rsidR="00703BC3" w:rsidRPr="003C57EF">
        <w:rPr>
          <w:rFonts w:ascii="Times New Roman" w:hAnsi="Times New Roman" w:cs="Times New Roman"/>
          <w:b/>
          <w:color w:val="003B8E"/>
          <w:sz w:val="32"/>
          <w:szCs w:val="32"/>
        </w:rPr>
        <w:t>’état « Détail des comptes de régularisation » (RC.07.01)</w:t>
      </w:r>
    </w:p>
    <w:p w:rsidR="0052590E" w:rsidRPr="00DD1D72" w:rsidRDefault="0052590E" w:rsidP="00F06BA8">
      <w:pPr>
        <w:pStyle w:val="Paragraphedeliste1"/>
        <w:spacing w:before="120" w:after="120"/>
        <w:ind w:left="0"/>
      </w:pPr>
    </w:p>
    <w:p w:rsidR="00703BC3" w:rsidRPr="00686C80" w:rsidRDefault="00703BC3" w:rsidP="00F06BA8">
      <w:pPr>
        <w:pStyle w:val="Paragraphedeliste1"/>
        <w:spacing w:before="120" w:after="120"/>
        <w:ind w:left="0"/>
      </w:pPr>
      <w:r w:rsidRPr="00F17E36">
        <w:t>L'objectif de ce modèle d’état es</w:t>
      </w:r>
      <w:r w:rsidRPr="00686C80">
        <w:t xml:space="preserve">t de présenter la décomposition des comptes de régularisation figurant à l’actif et au passif du bilan. </w:t>
      </w:r>
    </w:p>
    <w:p w:rsidR="00703BC3" w:rsidRPr="003A0EDC" w:rsidRDefault="00703BC3" w:rsidP="00F06BA8">
      <w:pPr>
        <w:pStyle w:val="Paragraphedeliste1"/>
        <w:spacing w:before="120" w:after="120"/>
        <w:ind w:left="0"/>
      </w:pPr>
    </w:p>
    <w:p w:rsidR="00703BC3" w:rsidRPr="00240557" w:rsidDel="00AF75AE" w:rsidRDefault="00703BC3" w:rsidP="00F06BA8">
      <w:pPr>
        <w:pStyle w:val="Paragraphedeliste1"/>
        <w:spacing w:before="120" w:after="120"/>
        <w:ind w:left="0"/>
      </w:pPr>
    </w:p>
    <w:p w:rsidR="00703BC3" w:rsidRPr="00240557" w:rsidDel="00AF75AE" w:rsidRDefault="00703BC3" w:rsidP="00F06BA8">
      <w:pPr>
        <w:pStyle w:val="Paragraphedeliste1"/>
        <w:spacing w:before="120" w:after="120"/>
        <w:ind w:left="0"/>
      </w:pPr>
      <w:r w:rsidRPr="00240557" w:rsidDel="00AF75AE">
        <w:t>Le modèle d’état étant commun à tous les organismes :</w:t>
      </w:r>
    </w:p>
    <w:p w:rsidR="00703BC3" w:rsidRPr="00240557" w:rsidDel="00AF75AE" w:rsidRDefault="00703BC3" w:rsidP="00F06BA8">
      <w:pPr>
        <w:pStyle w:val="Paragraphedeliste1"/>
        <w:spacing w:before="120" w:after="120"/>
        <w:ind w:left="0"/>
      </w:pPr>
      <w:r w:rsidRPr="00240557" w:rsidDel="00AF75AE">
        <w:t xml:space="preserve"> </w:t>
      </w:r>
    </w:p>
    <w:p w:rsidR="00703BC3" w:rsidRPr="00240557" w:rsidDel="00AF75AE" w:rsidRDefault="00703BC3" w:rsidP="0052590E">
      <w:pPr>
        <w:pStyle w:val="Paragraphedeliste1"/>
        <w:numPr>
          <w:ilvl w:val="0"/>
          <w:numId w:val="2"/>
        </w:numPr>
        <w:spacing w:before="120" w:after="120"/>
      </w:pPr>
      <w:proofErr w:type="gramStart"/>
      <w:r w:rsidRPr="00240557" w:rsidDel="00AF75AE">
        <w:t>des</w:t>
      </w:r>
      <w:proofErr w:type="gramEnd"/>
      <w:r w:rsidRPr="00240557" w:rsidDel="00AF75AE">
        <w:t xml:space="preserve"> différences de libellés de postes peuvent se présenter par rapport aux modèles d’états propres à certains organismes ;</w:t>
      </w:r>
    </w:p>
    <w:p w:rsidR="00703BC3" w:rsidRPr="00240557" w:rsidDel="00AF75AE" w:rsidRDefault="00703BC3" w:rsidP="00F06BA8">
      <w:pPr>
        <w:pStyle w:val="Paragraphedeliste1"/>
        <w:spacing w:before="120" w:after="120"/>
      </w:pPr>
    </w:p>
    <w:p w:rsidR="00703BC3" w:rsidRPr="00240557" w:rsidDel="00AF75AE" w:rsidRDefault="00703BC3" w:rsidP="0052590E">
      <w:pPr>
        <w:pStyle w:val="Paragraphedeliste1"/>
        <w:numPr>
          <w:ilvl w:val="0"/>
          <w:numId w:val="2"/>
        </w:numPr>
        <w:spacing w:before="120" w:after="120"/>
      </w:pPr>
      <w:proofErr w:type="gramStart"/>
      <w:r w:rsidRPr="00240557" w:rsidDel="00AF75AE">
        <w:t>certains</w:t>
      </w:r>
      <w:proofErr w:type="gramEnd"/>
      <w:r w:rsidRPr="00240557" w:rsidDel="00AF75AE">
        <w:t xml:space="preserve"> postes sont spécifiques aux mutuelles et aux institutions de prévoyance.</w:t>
      </w:r>
    </w:p>
    <w:p w:rsidR="00703BC3" w:rsidRPr="00240557" w:rsidDel="00AF75AE" w:rsidRDefault="00703BC3" w:rsidP="00F06BA8">
      <w:pPr>
        <w:pStyle w:val="Paragraphedeliste1"/>
        <w:spacing w:before="120" w:after="120"/>
      </w:pPr>
    </w:p>
    <w:p w:rsidR="00703BC3" w:rsidRPr="00240557" w:rsidDel="00AF75AE" w:rsidRDefault="00703BC3" w:rsidP="00F06BA8">
      <w:pPr>
        <w:pStyle w:val="Paragraphedeliste1"/>
        <w:spacing w:after="120"/>
        <w:ind w:left="0"/>
        <w:contextualSpacing w:val="0"/>
      </w:pPr>
      <w:r w:rsidRPr="00240557" w:rsidDel="00AF75AE">
        <w:t xml:space="preserve">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703BC3" w:rsidRPr="00240557" w:rsidDel="00AF75AE" w:rsidRDefault="00703BC3" w:rsidP="00F06BA8">
      <w:pPr>
        <w:pStyle w:val="Paragraphedeliste1"/>
        <w:spacing w:before="120" w:after="120"/>
        <w:ind w:left="0"/>
      </w:pPr>
      <w:r w:rsidRPr="00240557" w:rsidDel="00AF75AE">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00DE1A25">
        <w:t xml:space="preserve"> </w:t>
      </w:r>
    </w:p>
    <w:p w:rsidR="00703BC3" w:rsidRPr="00240557" w:rsidRDefault="00703BC3" w:rsidP="00F06BA8">
      <w:pPr>
        <w:pStyle w:val="Paragraphedeliste1"/>
        <w:spacing w:before="120" w:after="120"/>
        <w:ind w:left="0"/>
      </w:pPr>
    </w:p>
    <w:p w:rsidR="00703BC3" w:rsidRPr="00240557" w:rsidRDefault="00703BC3">
      <w:pPr>
        <w:suppressAutoHyphens w:val="0"/>
        <w:rPr>
          <w:rFonts w:ascii="Times New Roman" w:eastAsia="Times New Roman" w:hAnsi="Times New Roman" w:cs="Times New Roman"/>
          <w:szCs w:val="20"/>
          <w:lang w:eastAsia="fr-FR"/>
        </w:rPr>
      </w:pPr>
      <w:r w:rsidRPr="006B2925">
        <w:rPr>
          <w:rFonts w:ascii="Times New Roman" w:hAnsi="Times New Roman" w:cs="Times New Roman"/>
        </w:rPr>
        <w:br w:type="page"/>
      </w:r>
    </w:p>
    <w:p w:rsidR="00703BC3" w:rsidRPr="003C57EF" w:rsidRDefault="00703BC3" w:rsidP="0052590E">
      <w:pPr>
        <w:pStyle w:val="Paragraphedeliste1"/>
        <w:numPr>
          <w:ilvl w:val="0"/>
          <w:numId w:val="3"/>
        </w:numPr>
        <w:rPr>
          <w:b/>
        </w:rPr>
      </w:pPr>
      <w:r w:rsidRPr="00240557">
        <w:rPr>
          <w:b/>
        </w:rPr>
        <w:lastRenderedPageBreak/>
        <w:t>C</w:t>
      </w:r>
      <w:r w:rsidRPr="003C57EF">
        <w:rPr>
          <w:b/>
        </w:rPr>
        <w:t>olonnes</w:t>
      </w:r>
    </w:p>
    <w:p w:rsidR="00703BC3" w:rsidRPr="00DD1D72" w:rsidRDefault="00703BC3" w:rsidP="00F06BA8">
      <w:pPr>
        <w:pStyle w:val="Paragraphedeliste1"/>
        <w:ind w:left="0"/>
        <w:rPr>
          <w:b/>
        </w:rPr>
      </w:pPr>
    </w:p>
    <w:p w:rsidR="00703BC3" w:rsidRPr="003A0EDC" w:rsidRDefault="00703BC3" w:rsidP="00F06BA8">
      <w:pPr>
        <w:pStyle w:val="Paragraphedeliste1"/>
        <w:ind w:left="0"/>
        <w:rPr>
          <w:rFonts w:eastAsia="Calibri"/>
          <w:szCs w:val="22"/>
          <w:lang w:eastAsia="ar-SA"/>
        </w:rPr>
      </w:pPr>
      <w:r w:rsidRPr="00C3289B">
        <w:rPr>
          <w:rFonts w:eastAsia="Calibri"/>
          <w:szCs w:val="22"/>
          <w:lang w:eastAsia="ar-SA"/>
        </w:rPr>
        <w:t>Le modèle d</w:t>
      </w:r>
      <w:r w:rsidR="00780F43" w:rsidRPr="00C3289B">
        <w:rPr>
          <w:rFonts w:eastAsia="Calibri"/>
          <w:szCs w:val="22"/>
          <w:lang w:eastAsia="ar-SA"/>
        </w:rPr>
        <w:t>’</w:t>
      </w:r>
      <w:r w:rsidRPr="00F17E36">
        <w:rPr>
          <w:rFonts w:eastAsia="Calibri"/>
          <w:szCs w:val="22"/>
          <w:lang w:eastAsia="ar-SA"/>
        </w:rPr>
        <w:t xml:space="preserve">état comporte deux colonnes </w:t>
      </w:r>
      <w:r w:rsidRPr="00BD64F3">
        <w:rPr>
          <w:rFonts w:eastAsia="Calibri"/>
          <w:szCs w:val="22"/>
          <w:lang w:eastAsia="ar-SA"/>
        </w:rPr>
        <w:t>présentant le détail des comptes</w:t>
      </w:r>
      <w:r w:rsidR="00780F43" w:rsidRPr="00686C80">
        <w:rPr>
          <w:rFonts w:eastAsia="Calibri"/>
          <w:szCs w:val="22"/>
          <w:lang w:eastAsia="ar-SA"/>
        </w:rPr>
        <w:t xml:space="preserve"> de</w:t>
      </w:r>
      <w:r w:rsidRPr="003A0EDC">
        <w:rPr>
          <w:rFonts w:eastAsia="Calibri"/>
          <w:szCs w:val="22"/>
          <w:lang w:eastAsia="ar-SA"/>
        </w:rPr>
        <w:t xml:space="preserve"> régularisation :</w:t>
      </w:r>
    </w:p>
    <w:p w:rsidR="00703BC3" w:rsidRPr="00240557" w:rsidRDefault="00703BC3" w:rsidP="0052590E">
      <w:pPr>
        <w:pStyle w:val="Paragraphedeliste1"/>
        <w:numPr>
          <w:ilvl w:val="0"/>
          <w:numId w:val="2"/>
        </w:numPr>
        <w:spacing w:before="120" w:after="120"/>
        <w:rPr>
          <w:rFonts w:eastAsia="Calibri"/>
          <w:szCs w:val="22"/>
          <w:lang w:eastAsia="ar-SA"/>
        </w:rPr>
      </w:pPr>
      <w:r w:rsidRPr="00240557">
        <w:t>Colonne C0010 : pour</w:t>
      </w:r>
      <w:r w:rsidRPr="00240557">
        <w:rPr>
          <w:rFonts w:eastAsia="Calibri"/>
          <w:szCs w:val="22"/>
          <w:lang w:eastAsia="ar-SA"/>
        </w:rPr>
        <w:t xml:space="preserve"> l’exercice sur lequel porte la remise prudentielle (exercice N) ;</w:t>
      </w:r>
    </w:p>
    <w:p w:rsidR="00703BC3" w:rsidRPr="00240557" w:rsidRDefault="00703BC3" w:rsidP="0052590E">
      <w:pPr>
        <w:pStyle w:val="Paragraphedeliste1"/>
        <w:numPr>
          <w:ilvl w:val="0"/>
          <w:numId w:val="2"/>
        </w:numPr>
        <w:spacing w:before="120" w:after="120"/>
        <w:rPr>
          <w:rFonts w:eastAsia="Calibri"/>
          <w:szCs w:val="22"/>
          <w:lang w:eastAsia="ar-SA"/>
        </w:rPr>
      </w:pPr>
      <w:r w:rsidRPr="00240557">
        <w:rPr>
          <w:rFonts w:eastAsia="Calibri"/>
          <w:szCs w:val="22"/>
          <w:lang w:eastAsia="ar-SA"/>
        </w:rPr>
        <w:t>Colonne C0020 : pour l’exercice précédent (N-1), à titre de comparaison.</w:t>
      </w:r>
    </w:p>
    <w:p w:rsidR="00703BC3" w:rsidRPr="00240557" w:rsidRDefault="00703BC3" w:rsidP="00F06BA8">
      <w:pPr>
        <w:pStyle w:val="Paragraphedeliste1"/>
        <w:ind w:left="0"/>
        <w:rPr>
          <w:b/>
        </w:rPr>
      </w:pPr>
    </w:p>
    <w:p w:rsidR="00703BC3" w:rsidRPr="00240557" w:rsidRDefault="00703BC3" w:rsidP="0052590E">
      <w:pPr>
        <w:pStyle w:val="Paragraphedeliste1"/>
        <w:numPr>
          <w:ilvl w:val="0"/>
          <w:numId w:val="3"/>
        </w:numPr>
        <w:spacing w:before="240" w:after="360"/>
        <w:ind w:left="714" w:hanging="357"/>
        <w:contextualSpacing w:val="0"/>
        <w:rPr>
          <w:b/>
        </w:rPr>
      </w:pPr>
      <w:r w:rsidRPr="00240557">
        <w:rPr>
          <w:b/>
        </w:rPr>
        <w:t>Lignes</w:t>
      </w:r>
    </w:p>
    <w:tbl>
      <w:tblPr>
        <w:tblStyle w:val="Grilledutableau"/>
        <w:tblW w:w="0" w:type="auto"/>
        <w:tblLook w:val="04A0" w:firstRow="1" w:lastRow="0" w:firstColumn="1" w:lastColumn="0" w:noHBand="0" w:noVBand="1"/>
      </w:tblPr>
      <w:tblGrid>
        <w:gridCol w:w="3064"/>
        <w:gridCol w:w="1121"/>
        <w:gridCol w:w="4877"/>
      </w:tblGrid>
      <w:tr w:rsidR="00703BC3" w:rsidRPr="00240557" w:rsidTr="007D2043">
        <w:trPr>
          <w:cantSplit/>
          <w:tblHeader/>
        </w:trPr>
        <w:tc>
          <w:tcPr>
            <w:tcW w:w="3064" w:type="dxa"/>
          </w:tcPr>
          <w:p w:rsidR="00703BC3" w:rsidRPr="00240557" w:rsidRDefault="00703BC3" w:rsidP="00F06BA8">
            <w:pPr>
              <w:jc w:val="center"/>
              <w:rPr>
                <w:rFonts w:ascii="Times New Roman" w:hAnsi="Times New Roman" w:cs="Times New Roman"/>
                <w:sz w:val="20"/>
                <w:szCs w:val="20"/>
              </w:rPr>
            </w:pPr>
            <w:r w:rsidRPr="00240557">
              <w:rPr>
                <w:rFonts w:ascii="Times New Roman" w:hAnsi="Times New Roman" w:cs="Times New Roman"/>
                <w:b/>
                <w:sz w:val="20"/>
                <w:szCs w:val="20"/>
              </w:rPr>
              <w:t>Intitulé</w:t>
            </w:r>
          </w:p>
        </w:tc>
        <w:tc>
          <w:tcPr>
            <w:tcW w:w="1121"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b/>
                <w:sz w:val="20"/>
                <w:szCs w:val="20"/>
              </w:rPr>
              <w:t>Ligne</w:t>
            </w:r>
          </w:p>
        </w:tc>
        <w:tc>
          <w:tcPr>
            <w:tcW w:w="4877" w:type="dxa"/>
          </w:tcPr>
          <w:p w:rsidR="00703BC3" w:rsidRPr="00240557" w:rsidRDefault="00703BC3" w:rsidP="00F06BA8">
            <w:pPr>
              <w:jc w:val="center"/>
              <w:rPr>
                <w:rFonts w:ascii="Times New Roman" w:hAnsi="Times New Roman" w:cs="Times New Roman"/>
                <w:sz w:val="20"/>
                <w:szCs w:val="20"/>
              </w:rPr>
            </w:pPr>
            <w:r w:rsidRPr="00240557">
              <w:rPr>
                <w:rFonts w:ascii="Times New Roman" w:hAnsi="Times New Roman" w:cs="Times New Roman"/>
                <w:b/>
                <w:sz w:val="20"/>
                <w:szCs w:val="20"/>
              </w:rPr>
              <w:t>Définition et formule</w:t>
            </w:r>
          </w:p>
        </w:tc>
      </w:tr>
      <w:tr w:rsidR="00703BC3" w:rsidRPr="00240557" w:rsidTr="007D2043">
        <w:trPr>
          <w:cantSplit/>
        </w:trPr>
        <w:tc>
          <w:tcPr>
            <w:tcW w:w="3064"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Intérêts et loyers acquis non échu</w:t>
            </w:r>
            <w:r w:rsidRPr="003C57EF">
              <w:rPr>
                <w:rFonts w:ascii="Times New Roman" w:hAnsi="Times New Roman" w:cs="Times New Roman"/>
                <w:sz w:val="20"/>
                <w:szCs w:val="20"/>
              </w:rPr>
              <w:t>s</w:t>
            </w:r>
          </w:p>
        </w:tc>
        <w:tc>
          <w:tcPr>
            <w:tcW w:w="1121" w:type="dxa"/>
          </w:tcPr>
          <w:p w:rsidR="00703BC3" w:rsidRPr="00240557" w:rsidRDefault="00703BC3" w:rsidP="0030239F">
            <w:pPr>
              <w:rPr>
                <w:rFonts w:ascii="Times New Roman" w:hAnsi="Times New Roman" w:cs="Times New Roman"/>
                <w:sz w:val="20"/>
                <w:szCs w:val="20"/>
              </w:rPr>
            </w:pPr>
            <w:r w:rsidRPr="00DD1D72">
              <w:rPr>
                <w:rFonts w:ascii="Times New Roman" w:hAnsi="Times New Roman" w:cs="Times New Roman"/>
                <w:sz w:val="20"/>
                <w:szCs w:val="20"/>
              </w:rPr>
              <w:t>R0010</w:t>
            </w:r>
          </w:p>
        </w:tc>
        <w:tc>
          <w:tcPr>
            <w:tcW w:w="4877" w:type="dxa"/>
          </w:tcPr>
          <w:p w:rsidR="00703BC3" w:rsidRPr="00DD1D72" w:rsidRDefault="00703BC3" w:rsidP="00F06BA8">
            <w:pPr>
              <w:jc w:val="both"/>
              <w:rPr>
                <w:rFonts w:ascii="Times New Roman" w:hAnsi="Times New Roman" w:cs="Times New Roman"/>
                <w:sz w:val="20"/>
                <w:szCs w:val="20"/>
              </w:rPr>
            </w:pPr>
            <w:r w:rsidRPr="003C57EF">
              <w:rPr>
                <w:rFonts w:ascii="Times New Roman" w:hAnsi="Times New Roman" w:cs="Times New Roman"/>
                <w:sz w:val="20"/>
                <w:szCs w:val="20"/>
              </w:rPr>
              <w:t>Montant des intérêts et loyers acquis et non échus enregistrés dans les co</w:t>
            </w:r>
            <w:r w:rsidRPr="00DD1D72">
              <w:rPr>
                <w:rFonts w:ascii="Times New Roman" w:hAnsi="Times New Roman" w:cs="Times New Roman"/>
                <w:sz w:val="20"/>
                <w:szCs w:val="20"/>
              </w:rPr>
              <w:t>mptes 480.</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Frais d’acquisition reportés vie</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R0020</w:t>
            </w:r>
          </w:p>
        </w:tc>
        <w:tc>
          <w:tcPr>
            <w:tcW w:w="4877"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frais d’acquisition reportés sur les opérations d’assurance vie enregistrés dans les comptes 4810.</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Frais d’acquisition reportés non-vie</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R0030</w:t>
            </w:r>
          </w:p>
        </w:tc>
        <w:tc>
          <w:tcPr>
            <w:tcW w:w="4877" w:type="dxa"/>
          </w:tcPr>
          <w:p w:rsidR="00703BC3" w:rsidRPr="00C3289B"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 xml:space="preserve">Montant des frais d’acquisition reportés sur </w:t>
            </w:r>
            <w:r w:rsidRPr="00C3289B">
              <w:rPr>
                <w:rFonts w:ascii="Times New Roman" w:hAnsi="Times New Roman" w:cs="Times New Roman"/>
                <w:sz w:val="20"/>
                <w:szCs w:val="20"/>
              </w:rPr>
              <w:t>les opérations d’assurance non vie enregistrés dans les comptes 4811 et 4812.</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Charges à répartir sur plusieurs exercices</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R0040</w:t>
            </w:r>
          </w:p>
        </w:tc>
        <w:tc>
          <w:tcPr>
            <w:tcW w:w="4877"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charges à répartir sur plusieurs exercices enregistrées dans les comptes 482.</w:t>
            </w:r>
          </w:p>
        </w:tc>
      </w:tr>
      <w:tr w:rsidR="00703BC3" w:rsidRPr="00240557" w:rsidTr="007D2043">
        <w:trPr>
          <w:cantSplit/>
        </w:trPr>
        <w:tc>
          <w:tcPr>
            <w:tcW w:w="3064"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Différences sur les prix de remboursement à</w:t>
            </w:r>
            <w:r w:rsidRPr="003C57EF">
              <w:rPr>
                <w:rFonts w:ascii="Times New Roman" w:hAnsi="Times New Roman" w:cs="Times New Roman"/>
                <w:sz w:val="20"/>
                <w:szCs w:val="20"/>
              </w:rPr>
              <w:t xml:space="preserve"> percevoir</w:t>
            </w:r>
          </w:p>
        </w:tc>
        <w:tc>
          <w:tcPr>
            <w:tcW w:w="1121" w:type="dxa"/>
          </w:tcPr>
          <w:p w:rsidR="00703BC3" w:rsidRPr="00DD1D72" w:rsidRDefault="00703BC3" w:rsidP="00F06BA8">
            <w:pPr>
              <w:rPr>
                <w:rFonts w:ascii="Times New Roman" w:hAnsi="Times New Roman" w:cs="Times New Roman"/>
                <w:sz w:val="20"/>
                <w:szCs w:val="20"/>
              </w:rPr>
            </w:pPr>
            <w:r w:rsidRPr="00DD1D72">
              <w:rPr>
                <w:rFonts w:ascii="Times New Roman" w:hAnsi="Times New Roman" w:cs="Times New Roman"/>
                <w:sz w:val="20"/>
                <w:szCs w:val="20"/>
              </w:rPr>
              <w:t>R0050</w:t>
            </w:r>
          </w:p>
        </w:tc>
        <w:tc>
          <w:tcPr>
            <w:tcW w:w="4877" w:type="dxa"/>
          </w:tcPr>
          <w:p w:rsidR="00703BC3" w:rsidRPr="00F17E36"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Montant des différences sur les prix de remboursement à percevoir enregistrées dans les comptes 4830.</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Comptes de régularisation liés aux instruments financiers à terme</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R0060</w:t>
            </w:r>
          </w:p>
        </w:tc>
        <w:tc>
          <w:tcPr>
            <w:tcW w:w="4877" w:type="dxa"/>
          </w:tcPr>
          <w:p w:rsidR="00703BC3" w:rsidRPr="00C3289B"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comptes de régularisation actifs liés aux inst</w:t>
            </w:r>
            <w:r w:rsidRPr="00C3289B">
              <w:rPr>
                <w:rFonts w:ascii="Times New Roman" w:hAnsi="Times New Roman" w:cs="Times New Roman"/>
                <w:sz w:val="20"/>
                <w:szCs w:val="20"/>
              </w:rPr>
              <w:t>ruments financiers à terme enregistrés en comptes 486.</w:t>
            </w:r>
          </w:p>
          <w:p w:rsidR="00703BC3" w:rsidRPr="00F17E36"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Correspond à la somme des montants enregistrés en lignes R0070 à R0090.</w:t>
            </w:r>
          </w:p>
        </w:tc>
      </w:tr>
      <w:tr w:rsidR="00703BC3" w:rsidRPr="00240557" w:rsidTr="007D2043">
        <w:trPr>
          <w:cantSplit/>
        </w:trPr>
        <w:tc>
          <w:tcPr>
            <w:tcW w:w="3064"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Comptes de régularisation</w:t>
            </w:r>
            <w:r w:rsidRPr="003C57EF">
              <w:rPr>
                <w:rFonts w:ascii="Times New Roman" w:hAnsi="Times New Roman" w:cs="Times New Roman"/>
                <w:sz w:val="20"/>
                <w:szCs w:val="20"/>
              </w:rPr>
              <w:t> :</w:t>
            </w:r>
          </w:p>
          <w:p w:rsidR="00703BC3" w:rsidRPr="00DD1D72"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DD1D72">
              <w:rPr>
                <w:rFonts w:ascii="Times New Roman" w:hAnsi="Times New Roman" w:cs="Times New Roman"/>
                <w:sz w:val="20"/>
                <w:szCs w:val="20"/>
              </w:rPr>
              <w:t>liés</w:t>
            </w:r>
            <w:proofErr w:type="gramEnd"/>
            <w:r w:rsidRPr="00DD1D72">
              <w:rPr>
                <w:rFonts w:ascii="Times New Roman" w:hAnsi="Times New Roman" w:cs="Times New Roman"/>
                <w:sz w:val="20"/>
                <w:szCs w:val="20"/>
              </w:rPr>
              <w:t xml:space="preserve"> à des stratégies d'investissement ou de désinvestissement,</w:t>
            </w:r>
          </w:p>
          <w:p w:rsidR="00703BC3" w:rsidRPr="00F17E36"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F17E36">
              <w:rPr>
                <w:rFonts w:ascii="Times New Roman" w:hAnsi="Times New Roman" w:cs="Times New Roman"/>
                <w:sz w:val="20"/>
                <w:szCs w:val="20"/>
              </w:rPr>
              <w:t>liés</w:t>
            </w:r>
            <w:proofErr w:type="gramEnd"/>
            <w:r w:rsidRPr="00F17E36">
              <w:rPr>
                <w:rFonts w:ascii="Times New Roman" w:hAnsi="Times New Roman" w:cs="Times New Roman"/>
                <w:sz w:val="20"/>
                <w:szCs w:val="20"/>
              </w:rPr>
              <w:t xml:space="preserve"> à des stratégies de rendement,</w:t>
            </w:r>
          </w:p>
          <w:p w:rsidR="00703BC3" w:rsidRPr="00686C80" w:rsidRDefault="00703BC3" w:rsidP="0052590E">
            <w:pPr>
              <w:pStyle w:val="Paragraphedeliste"/>
              <w:numPr>
                <w:ilvl w:val="0"/>
                <w:numId w:val="2"/>
              </w:numPr>
              <w:spacing w:after="0" w:line="240" w:lineRule="auto"/>
              <w:rPr>
                <w:rFonts w:ascii="Times New Roman" w:hAnsi="Times New Roman" w:cs="Times New Roman"/>
                <w:sz w:val="20"/>
                <w:szCs w:val="20"/>
              </w:rPr>
            </w:pPr>
            <w:r w:rsidRPr="00686C80">
              <w:rPr>
                <w:rFonts w:ascii="Times New Roman" w:hAnsi="Times New Roman" w:cs="Times New Roman"/>
                <w:sz w:val="20"/>
                <w:szCs w:val="20"/>
              </w:rPr>
              <w:t>sur autres opérations</w:t>
            </w:r>
          </w:p>
        </w:tc>
        <w:tc>
          <w:tcPr>
            <w:tcW w:w="1121" w:type="dxa"/>
          </w:tcPr>
          <w:p w:rsidR="00703BC3" w:rsidRPr="003A0EDC" w:rsidRDefault="00703BC3" w:rsidP="00F06BA8">
            <w:pPr>
              <w:rPr>
                <w:rFonts w:ascii="Times New Roman" w:hAnsi="Times New Roman" w:cs="Times New Roman"/>
                <w:sz w:val="20"/>
                <w:szCs w:val="20"/>
              </w:rPr>
            </w:pPr>
            <w:r w:rsidRPr="003A0EDC">
              <w:rPr>
                <w:rFonts w:ascii="Times New Roman" w:hAnsi="Times New Roman" w:cs="Times New Roman"/>
                <w:sz w:val="20"/>
                <w:szCs w:val="20"/>
              </w:rPr>
              <w:t>R0070</w:t>
            </w:r>
          </w:p>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R0080</w:t>
            </w:r>
          </w:p>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R0090</w:t>
            </w:r>
          </w:p>
        </w:tc>
        <w:tc>
          <w:tcPr>
            <w:tcW w:w="4877" w:type="dxa"/>
          </w:tcPr>
          <w:p w:rsidR="00703BC3" w:rsidRPr="00240557" w:rsidRDefault="00703BC3" w:rsidP="00F06BA8">
            <w:pPr>
              <w:jc w:val="both"/>
              <w:rPr>
                <w:rFonts w:ascii="Times New Roman" w:hAnsi="Times New Roman" w:cs="Times New Roman"/>
                <w:sz w:val="20"/>
                <w:szCs w:val="20"/>
              </w:rPr>
            </w:pPr>
            <w:r w:rsidRPr="00240557">
              <w:rPr>
                <w:rFonts w:ascii="Times New Roman" w:hAnsi="Times New Roman" w:cs="Times New Roman"/>
                <w:sz w:val="20"/>
                <w:szCs w:val="20"/>
              </w:rPr>
              <w:t>Décomposition des comptes de régularisation actifs liés aux IFT en fonction de la stratégie de couverture utilisée ou d</w:t>
            </w:r>
            <w:r w:rsidRPr="00240557" w:rsidDel="00944861">
              <w:rPr>
                <w:rFonts w:ascii="Times New Roman" w:hAnsi="Times New Roman" w:cs="Times New Roman"/>
                <w:sz w:val="20"/>
                <w:szCs w:val="20"/>
              </w:rPr>
              <w:t>’</w:t>
            </w:r>
            <w:r w:rsidRPr="00240557">
              <w:rPr>
                <w:rFonts w:ascii="Times New Roman" w:hAnsi="Times New Roman" w:cs="Times New Roman"/>
                <w:sz w:val="20"/>
                <w:szCs w:val="20"/>
              </w:rPr>
              <w:t>es opérations, enregistrés dans les comptes 4861, 4862 et 4863 respectivement.</w:t>
            </w:r>
          </w:p>
          <w:p w:rsidR="00703BC3" w:rsidRPr="00240557" w:rsidRDefault="00703BC3" w:rsidP="00F06BA8">
            <w:pPr>
              <w:jc w:val="both"/>
              <w:rPr>
                <w:rFonts w:ascii="Times New Roman" w:hAnsi="Times New Roman" w:cs="Times New Roman"/>
                <w:sz w:val="20"/>
                <w:szCs w:val="20"/>
              </w:rPr>
            </w:pPr>
            <w:r w:rsidRPr="00240557">
              <w:rPr>
                <w:rFonts w:ascii="Times New Roman" w:hAnsi="Times New Roman" w:cs="Times New Roman"/>
                <w:sz w:val="20"/>
                <w:szCs w:val="20"/>
              </w:rPr>
              <w:t>Le total de ces éléments est présenté dans la ligne R0060.</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Évaluations techniques de la réassurance</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R0100</w:t>
            </w:r>
          </w:p>
        </w:tc>
        <w:tc>
          <w:tcPr>
            <w:tcW w:w="4877"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Solde débiteur des évaluations techniques de réassurance enregistré dans les comptes 487.</w:t>
            </w:r>
          </w:p>
        </w:tc>
      </w:tr>
      <w:tr w:rsidR="00703BC3" w:rsidRPr="00240557" w:rsidTr="007D2043">
        <w:trPr>
          <w:cantSplit/>
        </w:trPr>
        <w:tc>
          <w:tcPr>
            <w:tcW w:w="3064" w:type="dxa"/>
          </w:tcPr>
          <w:p w:rsidR="00703BC3" w:rsidRPr="003C57EF" w:rsidRDefault="00703BC3" w:rsidP="00F06BA8">
            <w:pPr>
              <w:rPr>
                <w:rFonts w:ascii="Times New Roman" w:hAnsi="Times New Roman" w:cs="Times New Roman"/>
                <w:color w:val="FF0000"/>
                <w:sz w:val="20"/>
                <w:szCs w:val="20"/>
              </w:rPr>
            </w:pPr>
            <w:r w:rsidRPr="00240557">
              <w:rPr>
                <w:rFonts w:ascii="Times New Roman" w:hAnsi="Times New Roman" w:cs="Times New Roman"/>
                <w:sz w:val="20"/>
                <w:szCs w:val="20"/>
              </w:rPr>
              <w:t xml:space="preserve">Différences de conversion </w:t>
            </w:r>
            <w:r w:rsidRPr="003C57EF">
              <w:rPr>
                <w:rFonts w:ascii="Times New Roman" w:hAnsi="Times New Roman" w:cs="Times New Roman"/>
                <w:sz w:val="20"/>
                <w:szCs w:val="20"/>
              </w:rPr>
              <w:t>Actif</w:t>
            </w:r>
          </w:p>
        </w:tc>
        <w:tc>
          <w:tcPr>
            <w:tcW w:w="1121" w:type="dxa"/>
          </w:tcPr>
          <w:p w:rsidR="00703BC3" w:rsidRPr="00DD1D72" w:rsidRDefault="00703BC3" w:rsidP="00F06BA8">
            <w:pPr>
              <w:rPr>
                <w:rFonts w:ascii="Times New Roman" w:hAnsi="Times New Roman" w:cs="Times New Roman"/>
                <w:sz w:val="20"/>
                <w:szCs w:val="20"/>
              </w:rPr>
            </w:pPr>
            <w:r w:rsidRPr="00DD1D72">
              <w:rPr>
                <w:rFonts w:ascii="Times New Roman" w:hAnsi="Times New Roman" w:cs="Times New Roman"/>
                <w:sz w:val="20"/>
                <w:szCs w:val="20"/>
              </w:rPr>
              <w:t>R0110</w:t>
            </w:r>
          </w:p>
        </w:tc>
        <w:tc>
          <w:tcPr>
            <w:tcW w:w="4877" w:type="dxa"/>
          </w:tcPr>
          <w:p w:rsidR="00703BC3" w:rsidRPr="003A0EDC"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Solde débiteur des écarts de conversion enregistré dans le compte 4</w:t>
            </w:r>
            <w:r w:rsidRPr="00686C80" w:rsidDel="009D365B">
              <w:rPr>
                <w:rFonts w:ascii="Times New Roman" w:hAnsi="Times New Roman" w:cs="Times New Roman"/>
                <w:sz w:val="20"/>
                <w:szCs w:val="20"/>
              </w:rPr>
              <w:t>9</w:t>
            </w:r>
            <w:r w:rsidRPr="003A0EDC">
              <w:rPr>
                <w:rFonts w:ascii="Times New Roman" w:hAnsi="Times New Roman" w:cs="Times New Roman"/>
                <w:sz w:val="20"/>
                <w:szCs w:val="20"/>
              </w:rPr>
              <w:t>896.</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Autres comptes de régularisation</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R0120</w:t>
            </w:r>
          </w:p>
        </w:tc>
        <w:tc>
          <w:tcPr>
            <w:tcW w:w="4877"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 xml:space="preserve">Montant des autres comptes de régularisation actifs qui n’ont pas été reportés dans les lignes précédentes. </w:t>
            </w:r>
          </w:p>
        </w:tc>
      </w:tr>
      <w:tr w:rsidR="00703BC3" w:rsidRPr="00240557" w:rsidTr="007D2043">
        <w:trPr>
          <w:cantSplit/>
        </w:trPr>
        <w:tc>
          <w:tcPr>
            <w:tcW w:w="3064" w:type="dxa"/>
          </w:tcPr>
          <w:p w:rsidR="00703BC3" w:rsidRPr="00DD1D72" w:rsidRDefault="00703BC3" w:rsidP="00F06BA8">
            <w:pPr>
              <w:rPr>
                <w:rFonts w:ascii="Times New Roman" w:hAnsi="Times New Roman" w:cs="Times New Roman"/>
                <w:color w:val="FF0000"/>
                <w:sz w:val="20"/>
                <w:szCs w:val="20"/>
              </w:rPr>
            </w:pPr>
            <w:r w:rsidRPr="00240557">
              <w:rPr>
                <w:rFonts w:ascii="Times New Roman" w:hAnsi="Times New Roman" w:cs="Times New Roman"/>
                <w:sz w:val="20"/>
                <w:szCs w:val="20"/>
              </w:rPr>
              <w:lastRenderedPageBreak/>
              <w:t>Total – Comptes de régularisation</w:t>
            </w:r>
            <w:r w:rsidR="00780F43" w:rsidRPr="003C57EF">
              <w:rPr>
                <w:rFonts w:ascii="Times New Roman" w:hAnsi="Times New Roman" w:cs="Times New Roman"/>
                <w:sz w:val="20"/>
                <w:szCs w:val="20"/>
              </w:rPr>
              <w:t xml:space="preserve"> </w:t>
            </w:r>
            <w:r w:rsidRPr="003C57EF">
              <w:rPr>
                <w:rFonts w:ascii="Times New Roman" w:hAnsi="Times New Roman" w:cs="Times New Roman"/>
                <w:sz w:val="20"/>
                <w:szCs w:val="20"/>
              </w:rPr>
              <w:t>Actif</w:t>
            </w:r>
          </w:p>
        </w:tc>
        <w:tc>
          <w:tcPr>
            <w:tcW w:w="1121" w:type="dxa"/>
          </w:tcPr>
          <w:p w:rsidR="00703BC3" w:rsidRPr="00686C80" w:rsidRDefault="00703BC3">
            <w:pPr>
              <w:rPr>
                <w:rFonts w:ascii="Times New Roman" w:hAnsi="Times New Roman" w:cs="Times New Roman"/>
                <w:color w:val="FF0000"/>
                <w:sz w:val="20"/>
                <w:szCs w:val="20"/>
              </w:rPr>
            </w:pPr>
            <w:r w:rsidRPr="00F17E36">
              <w:rPr>
                <w:rFonts w:ascii="Times New Roman" w:hAnsi="Times New Roman" w:cs="Times New Roman"/>
                <w:sz w:val="20"/>
                <w:szCs w:val="20"/>
              </w:rPr>
              <w:t>R0130</w:t>
            </w:r>
          </w:p>
        </w:tc>
        <w:tc>
          <w:tcPr>
            <w:tcW w:w="4877" w:type="dxa"/>
          </w:tcPr>
          <w:p w:rsidR="00703BC3" w:rsidRPr="00240557" w:rsidRDefault="00703BC3" w:rsidP="00F06BA8">
            <w:pPr>
              <w:jc w:val="both"/>
              <w:rPr>
                <w:rFonts w:ascii="Times New Roman" w:hAnsi="Times New Roman" w:cs="Times New Roman"/>
                <w:sz w:val="20"/>
                <w:szCs w:val="20"/>
              </w:rPr>
            </w:pPr>
            <w:r w:rsidRPr="003A0EDC">
              <w:rPr>
                <w:rFonts w:ascii="Times New Roman" w:hAnsi="Times New Roman" w:cs="Times New Roman"/>
                <w:sz w:val="20"/>
                <w:szCs w:val="20"/>
              </w:rPr>
              <w:t>Total des comptes de régularisation actifs enregistrés d</w:t>
            </w:r>
            <w:r w:rsidRPr="00240557">
              <w:rPr>
                <w:rFonts w:ascii="Times New Roman" w:hAnsi="Times New Roman" w:cs="Times New Roman"/>
                <w:sz w:val="20"/>
                <w:szCs w:val="20"/>
              </w:rPr>
              <w:t>ans les comptes 48.</w:t>
            </w:r>
          </w:p>
          <w:p w:rsidR="00703BC3" w:rsidRPr="00240557" w:rsidRDefault="00703BC3" w:rsidP="00F06BA8">
            <w:pPr>
              <w:jc w:val="both"/>
              <w:rPr>
                <w:rFonts w:ascii="Times New Roman" w:hAnsi="Times New Roman" w:cs="Times New Roman"/>
                <w:color w:val="FF0000"/>
                <w:sz w:val="20"/>
                <w:szCs w:val="20"/>
              </w:rPr>
            </w:pPr>
            <w:r w:rsidRPr="00240557">
              <w:rPr>
                <w:rFonts w:ascii="Times New Roman" w:hAnsi="Times New Roman" w:cs="Times New Roman"/>
                <w:sz w:val="20"/>
                <w:szCs w:val="20"/>
              </w:rPr>
              <w:t>Correspond à la somme des montants inscrits sur les lignes R0010 à R0060, R0100, R0110 et R0120.</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Produits à répartir sur plusieurs exercices</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R0140</w:t>
            </w:r>
          </w:p>
        </w:tc>
        <w:tc>
          <w:tcPr>
            <w:tcW w:w="4877" w:type="dxa"/>
          </w:tcPr>
          <w:p w:rsidR="00703BC3" w:rsidRPr="00C3289B"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produits à répartir sur plusieurs exer</w:t>
            </w:r>
            <w:r w:rsidRPr="00C3289B">
              <w:rPr>
                <w:rFonts w:ascii="Times New Roman" w:hAnsi="Times New Roman" w:cs="Times New Roman"/>
                <w:sz w:val="20"/>
                <w:szCs w:val="20"/>
              </w:rPr>
              <w:t>cices enregistrés dans les comptes 484.</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Amortissement des différences sur les prix de remboursement</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R0150</w:t>
            </w:r>
          </w:p>
        </w:tc>
        <w:tc>
          <w:tcPr>
            <w:tcW w:w="4877"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amortissements des différences sur les prix de remboursement enregistré dans les comptes 4850.</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Report de commissions reçues des réassureurs</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R0160</w:t>
            </w:r>
          </w:p>
        </w:tc>
        <w:tc>
          <w:tcPr>
            <w:tcW w:w="4877" w:type="dxa"/>
          </w:tcPr>
          <w:p w:rsidR="00703BC3" w:rsidRPr="00F17E36" w:rsidRDefault="00703BC3" w:rsidP="00F06BA8">
            <w:pPr>
              <w:jc w:val="both"/>
              <w:rPr>
                <w:rFonts w:ascii="Times New Roman" w:hAnsi="Times New Roman" w:cs="Times New Roman"/>
                <w:sz w:val="20"/>
                <w:szCs w:val="20"/>
              </w:rPr>
            </w:pPr>
            <w:r w:rsidRPr="00DD1D72" w:rsidDel="009D365B">
              <w:rPr>
                <w:rFonts w:ascii="Times New Roman" w:hAnsi="Times New Roman" w:cs="Times New Roman"/>
                <w:sz w:val="20"/>
                <w:szCs w:val="20"/>
              </w:rPr>
              <w:t>Montant des autres comptes de régularisation passifs qui n’ont pas été reportés dans les lignes précédentes.</w:t>
            </w:r>
          </w:p>
          <w:p w:rsidR="00703BC3" w:rsidRPr="00686C80" w:rsidRDefault="00703BC3" w:rsidP="00F06BA8">
            <w:pPr>
              <w:jc w:val="both"/>
              <w:rPr>
                <w:rFonts w:ascii="Times New Roman" w:hAnsi="Times New Roman" w:cs="Times New Roman"/>
                <w:sz w:val="20"/>
                <w:szCs w:val="20"/>
              </w:rPr>
            </w:pPr>
            <w:r w:rsidRPr="00686C80">
              <w:rPr>
                <w:rFonts w:ascii="Times New Roman" w:hAnsi="Times New Roman" w:cs="Times New Roman"/>
                <w:sz w:val="20"/>
                <w:szCs w:val="20"/>
              </w:rPr>
              <w:t>Montant du report de commissions reçues des réassureurs enregistré dans les comptes 4855 et 4856.</w:t>
            </w:r>
          </w:p>
        </w:tc>
      </w:tr>
      <w:tr w:rsidR="00703BC3" w:rsidRPr="00240557" w:rsidTr="007D2043">
        <w:trPr>
          <w:cantSplit/>
        </w:trPr>
        <w:tc>
          <w:tcPr>
            <w:tcW w:w="3064"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Comptes de régularisation liés aux instrumen</w:t>
            </w:r>
            <w:r w:rsidRPr="003C57EF">
              <w:rPr>
                <w:rFonts w:ascii="Times New Roman" w:hAnsi="Times New Roman" w:cs="Times New Roman"/>
                <w:sz w:val="20"/>
                <w:szCs w:val="20"/>
              </w:rPr>
              <w:t>ts financiers à terme</w:t>
            </w:r>
          </w:p>
        </w:tc>
        <w:tc>
          <w:tcPr>
            <w:tcW w:w="1121" w:type="dxa"/>
          </w:tcPr>
          <w:p w:rsidR="00703BC3" w:rsidRPr="00DD1D72" w:rsidRDefault="00703BC3" w:rsidP="00F06BA8">
            <w:pPr>
              <w:rPr>
                <w:rFonts w:ascii="Times New Roman" w:hAnsi="Times New Roman" w:cs="Times New Roman"/>
                <w:sz w:val="20"/>
                <w:szCs w:val="20"/>
              </w:rPr>
            </w:pPr>
            <w:r w:rsidRPr="00DD1D72">
              <w:rPr>
                <w:rFonts w:ascii="Times New Roman" w:hAnsi="Times New Roman" w:cs="Times New Roman"/>
                <w:sz w:val="20"/>
                <w:szCs w:val="20"/>
              </w:rPr>
              <w:t>R0170</w:t>
            </w:r>
          </w:p>
        </w:tc>
        <w:tc>
          <w:tcPr>
            <w:tcW w:w="4877" w:type="dxa"/>
          </w:tcPr>
          <w:p w:rsidR="00703BC3" w:rsidRPr="00686C80"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 xml:space="preserve">Montant des comptes de régularisation passifs liés aux instruments financiers à terme (IFT) enregistrés </w:t>
            </w:r>
            <w:r w:rsidRPr="00686C80">
              <w:rPr>
                <w:rFonts w:ascii="Times New Roman" w:hAnsi="Times New Roman" w:cs="Times New Roman"/>
                <w:sz w:val="20"/>
                <w:szCs w:val="20"/>
              </w:rPr>
              <w:t>en comptes 486.</w:t>
            </w:r>
          </w:p>
          <w:p w:rsidR="00703BC3" w:rsidRPr="003A0EDC" w:rsidRDefault="00703BC3" w:rsidP="00F06BA8">
            <w:pPr>
              <w:jc w:val="both"/>
              <w:rPr>
                <w:rFonts w:ascii="Times New Roman" w:hAnsi="Times New Roman" w:cs="Times New Roman"/>
                <w:sz w:val="20"/>
                <w:szCs w:val="20"/>
              </w:rPr>
            </w:pPr>
            <w:r w:rsidRPr="003A0EDC">
              <w:rPr>
                <w:rFonts w:ascii="Times New Roman" w:hAnsi="Times New Roman" w:cs="Times New Roman"/>
                <w:sz w:val="20"/>
                <w:szCs w:val="20"/>
              </w:rPr>
              <w:t>Correspond à la somme des montants enregistrés en lignes R0180 à R0200.</w:t>
            </w:r>
          </w:p>
        </w:tc>
      </w:tr>
      <w:tr w:rsidR="00703BC3" w:rsidRPr="00240557" w:rsidTr="007D2043">
        <w:trPr>
          <w:cantSplit/>
        </w:trPr>
        <w:tc>
          <w:tcPr>
            <w:tcW w:w="3064"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Comptes de régularisation</w:t>
            </w:r>
            <w:r w:rsidRPr="003C57EF">
              <w:rPr>
                <w:rFonts w:ascii="Times New Roman" w:hAnsi="Times New Roman" w:cs="Times New Roman"/>
                <w:sz w:val="20"/>
                <w:szCs w:val="20"/>
              </w:rPr>
              <w:t> :</w:t>
            </w:r>
          </w:p>
          <w:p w:rsidR="00703BC3" w:rsidRPr="00C3289B"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DD1D72">
              <w:rPr>
                <w:rFonts w:ascii="Times New Roman" w:hAnsi="Times New Roman" w:cs="Times New Roman"/>
                <w:sz w:val="20"/>
                <w:szCs w:val="20"/>
              </w:rPr>
              <w:t>l</w:t>
            </w:r>
            <w:r w:rsidRPr="00C3289B">
              <w:rPr>
                <w:rFonts w:ascii="Times New Roman" w:hAnsi="Times New Roman" w:cs="Times New Roman"/>
                <w:sz w:val="20"/>
                <w:szCs w:val="20"/>
              </w:rPr>
              <w:t>iés</w:t>
            </w:r>
            <w:proofErr w:type="gramEnd"/>
            <w:r w:rsidRPr="00C3289B">
              <w:rPr>
                <w:rFonts w:ascii="Times New Roman" w:hAnsi="Times New Roman" w:cs="Times New Roman"/>
                <w:sz w:val="20"/>
                <w:szCs w:val="20"/>
              </w:rPr>
              <w:t xml:space="preserve"> à des stratégies d'investissement ou de désinvestissement,</w:t>
            </w:r>
          </w:p>
          <w:p w:rsidR="00703BC3" w:rsidRPr="00F17E36" w:rsidRDefault="00703BC3" w:rsidP="0052590E">
            <w:pPr>
              <w:pStyle w:val="Paragraphedeliste"/>
              <w:numPr>
                <w:ilvl w:val="0"/>
                <w:numId w:val="2"/>
              </w:numPr>
              <w:spacing w:after="0" w:line="240" w:lineRule="auto"/>
              <w:rPr>
                <w:rFonts w:ascii="Times New Roman" w:hAnsi="Times New Roman" w:cs="Times New Roman"/>
                <w:sz w:val="20"/>
                <w:szCs w:val="20"/>
              </w:rPr>
            </w:pPr>
            <w:proofErr w:type="gramStart"/>
            <w:r w:rsidRPr="00F17E36">
              <w:rPr>
                <w:rFonts w:ascii="Times New Roman" w:hAnsi="Times New Roman" w:cs="Times New Roman"/>
                <w:sz w:val="20"/>
                <w:szCs w:val="20"/>
              </w:rPr>
              <w:t>liés</w:t>
            </w:r>
            <w:proofErr w:type="gramEnd"/>
            <w:r w:rsidRPr="00F17E36">
              <w:rPr>
                <w:rFonts w:ascii="Times New Roman" w:hAnsi="Times New Roman" w:cs="Times New Roman"/>
                <w:sz w:val="20"/>
                <w:szCs w:val="20"/>
              </w:rPr>
              <w:t xml:space="preserve"> à des stratégies de rendement,</w:t>
            </w:r>
          </w:p>
          <w:p w:rsidR="00703BC3" w:rsidRPr="00686C80" w:rsidRDefault="00703BC3" w:rsidP="0052590E">
            <w:pPr>
              <w:pStyle w:val="Paragraphedeliste"/>
              <w:numPr>
                <w:ilvl w:val="0"/>
                <w:numId w:val="2"/>
              </w:numPr>
              <w:spacing w:after="0" w:line="240" w:lineRule="auto"/>
              <w:rPr>
                <w:rFonts w:ascii="Times New Roman" w:hAnsi="Times New Roman" w:cs="Times New Roman"/>
                <w:sz w:val="20"/>
                <w:szCs w:val="20"/>
              </w:rPr>
            </w:pPr>
            <w:r w:rsidRPr="00686C80">
              <w:rPr>
                <w:rFonts w:ascii="Times New Roman" w:hAnsi="Times New Roman" w:cs="Times New Roman"/>
                <w:sz w:val="20"/>
                <w:szCs w:val="20"/>
              </w:rPr>
              <w:t>sur autres opérations</w:t>
            </w:r>
          </w:p>
        </w:tc>
        <w:tc>
          <w:tcPr>
            <w:tcW w:w="1121" w:type="dxa"/>
          </w:tcPr>
          <w:p w:rsidR="00703BC3" w:rsidRPr="003A0EDC" w:rsidRDefault="00703BC3" w:rsidP="00F06BA8">
            <w:pPr>
              <w:rPr>
                <w:rFonts w:ascii="Times New Roman" w:hAnsi="Times New Roman" w:cs="Times New Roman"/>
                <w:sz w:val="20"/>
                <w:szCs w:val="20"/>
              </w:rPr>
            </w:pPr>
            <w:r w:rsidRPr="003A0EDC">
              <w:rPr>
                <w:rFonts w:ascii="Times New Roman" w:hAnsi="Times New Roman" w:cs="Times New Roman"/>
                <w:sz w:val="20"/>
                <w:szCs w:val="20"/>
              </w:rPr>
              <w:t>R0180</w:t>
            </w:r>
          </w:p>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R0190</w:t>
            </w:r>
          </w:p>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R0200</w:t>
            </w:r>
          </w:p>
        </w:tc>
        <w:tc>
          <w:tcPr>
            <w:tcW w:w="4877" w:type="dxa"/>
          </w:tcPr>
          <w:p w:rsidR="00703BC3" w:rsidRPr="00240557" w:rsidRDefault="00703BC3" w:rsidP="00F06BA8">
            <w:pPr>
              <w:jc w:val="both"/>
              <w:rPr>
                <w:rFonts w:ascii="Times New Roman" w:hAnsi="Times New Roman" w:cs="Times New Roman"/>
                <w:sz w:val="20"/>
                <w:szCs w:val="20"/>
              </w:rPr>
            </w:pPr>
            <w:r w:rsidRPr="00240557">
              <w:rPr>
                <w:rFonts w:ascii="Times New Roman" w:hAnsi="Times New Roman" w:cs="Times New Roman"/>
                <w:sz w:val="20"/>
                <w:szCs w:val="20"/>
              </w:rPr>
              <w:t>Décomposition des comptes de régularisation actifs liés aux IFT en fonction de la stratégie de couverture utilisée ou des</w:t>
            </w:r>
            <w:r w:rsidR="00F06BA8" w:rsidRPr="00240557">
              <w:rPr>
                <w:rFonts w:ascii="Times New Roman" w:hAnsi="Times New Roman" w:cs="Times New Roman"/>
                <w:sz w:val="20"/>
                <w:szCs w:val="20"/>
              </w:rPr>
              <w:t xml:space="preserve"> </w:t>
            </w:r>
            <w:r w:rsidRPr="00240557">
              <w:rPr>
                <w:rFonts w:ascii="Times New Roman" w:hAnsi="Times New Roman" w:cs="Times New Roman"/>
                <w:sz w:val="20"/>
                <w:szCs w:val="20"/>
              </w:rPr>
              <w:t>opérations, enregistrés dans les comptes 4861, 4862 et 4863 respectivement.</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Évaluations techniques de réassurance</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R0210</w:t>
            </w:r>
          </w:p>
        </w:tc>
        <w:tc>
          <w:tcPr>
            <w:tcW w:w="4877" w:type="dxa"/>
          </w:tcPr>
          <w:p w:rsidR="00703BC3" w:rsidRPr="00DD1D72"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Solde débiteur des évaluations techniques de réassurance enregistré dans les comptes 487.</w:t>
            </w:r>
          </w:p>
        </w:tc>
      </w:tr>
      <w:tr w:rsidR="00703BC3" w:rsidRPr="00240557" w:rsidTr="007D2043">
        <w:trPr>
          <w:cantSplit/>
        </w:trPr>
        <w:tc>
          <w:tcPr>
            <w:tcW w:w="3064"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 xml:space="preserve">Différences de conversion </w:t>
            </w:r>
            <w:r w:rsidRPr="003C57EF">
              <w:rPr>
                <w:rFonts w:ascii="Times New Roman" w:hAnsi="Times New Roman" w:cs="Times New Roman"/>
                <w:sz w:val="20"/>
                <w:szCs w:val="20"/>
              </w:rPr>
              <w:t>Passif</w:t>
            </w:r>
          </w:p>
        </w:tc>
        <w:tc>
          <w:tcPr>
            <w:tcW w:w="1121" w:type="dxa"/>
          </w:tcPr>
          <w:p w:rsidR="00703BC3" w:rsidRPr="00C3289B" w:rsidRDefault="00703BC3" w:rsidP="00F06BA8">
            <w:pPr>
              <w:rPr>
                <w:rFonts w:ascii="Times New Roman" w:hAnsi="Times New Roman" w:cs="Times New Roman"/>
                <w:sz w:val="20"/>
                <w:szCs w:val="20"/>
              </w:rPr>
            </w:pPr>
            <w:r w:rsidRPr="00DD1D72">
              <w:rPr>
                <w:rFonts w:ascii="Times New Roman" w:hAnsi="Times New Roman" w:cs="Times New Roman"/>
                <w:sz w:val="20"/>
                <w:szCs w:val="20"/>
              </w:rPr>
              <w:t>R022</w:t>
            </w:r>
            <w:r w:rsidRPr="00C3289B">
              <w:rPr>
                <w:rFonts w:ascii="Times New Roman" w:hAnsi="Times New Roman" w:cs="Times New Roman"/>
                <w:sz w:val="20"/>
                <w:szCs w:val="20"/>
              </w:rPr>
              <w:t>0</w:t>
            </w:r>
          </w:p>
        </w:tc>
        <w:tc>
          <w:tcPr>
            <w:tcW w:w="4877" w:type="dxa"/>
          </w:tcPr>
          <w:p w:rsidR="00703BC3" w:rsidRPr="003A0EDC"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Solde débiteur des écarts de conversion enregistré dans le compte 4</w:t>
            </w:r>
            <w:r w:rsidRPr="00686C80" w:rsidDel="009D365B">
              <w:rPr>
                <w:rFonts w:ascii="Times New Roman" w:hAnsi="Times New Roman" w:cs="Times New Roman"/>
                <w:sz w:val="20"/>
                <w:szCs w:val="20"/>
              </w:rPr>
              <w:t>9</w:t>
            </w:r>
            <w:r w:rsidRPr="003A0EDC">
              <w:rPr>
                <w:rFonts w:ascii="Times New Roman" w:hAnsi="Times New Roman" w:cs="Times New Roman"/>
                <w:sz w:val="20"/>
                <w:szCs w:val="20"/>
              </w:rPr>
              <w:t>897.</w:t>
            </w:r>
          </w:p>
        </w:tc>
      </w:tr>
      <w:tr w:rsidR="00703BC3" w:rsidRPr="00240557" w:rsidTr="007D2043">
        <w:trPr>
          <w:cantSplit/>
        </w:trPr>
        <w:tc>
          <w:tcPr>
            <w:tcW w:w="3064" w:type="dxa"/>
          </w:tcPr>
          <w:p w:rsidR="00703BC3" w:rsidRPr="00240557"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Autres comptes de régularisation</w:t>
            </w:r>
          </w:p>
        </w:tc>
        <w:tc>
          <w:tcPr>
            <w:tcW w:w="1121" w:type="dxa"/>
          </w:tcPr>
          <w:p w:rsidR="00703BC3" w:rsidRPr="003C57EF" w:rsidRDefault="00703BC3" w:rsidP="00F06BA8">
            <w:pPr>
              <w:rPr>
                <w:rFonts w:ascii="Times New Roman" w:hAnsi="Times New Roman" w:cs="Times New Roman"/>
                <w:sz w:val="20"/>
                <w:szCs w:val="20"/>
              </w:rPr>
            </w:pPr>
            <w:r w:rsidRPr="003C57EF">
              <w:rPr>
                <w:rFonts w:ascii="Times New Roman" w:hAnsi="Times New Roman" w:cs="Times New Roman"/>
                <w:sz w:val="20"/>
                <w:szCs w:val="20"/>
              </w:rPr>
              <w:t>R0230</w:t>
            </w:r>
          </w:p>
        </w:tc>
        <w:tc>
          <w:tcPr>
            <w:tcW w:w="4877" w:type="dxa"/>
          </w:tcPr>
          <w:p w:rsidR="00703BC3" w:rsidRPr="00686C80" w:rsidRDefault="00703BC3" w:rsidP="00F06BA8">
            <w:pPr>
              <w:jc w:val="both"/>
              <w:rPr>
                <w:rFonts w:ascii="Times New Roman" w:hAnsi="Times New Roman" w:cs="Times New Roman"/>
                <w:sz w:val="20"/>
                <w:szCs w:val="20"/>
              </w:rPr>
            </w:pPr>
            <w:r w:rsidRPr="00DD1D72">
              <w:rPr>
                <w:rFonts w:ascii="Times New Roman" w:hAnsi="Times New Roman" w:cs="Times New Roman"/>
                <w:sz w:val="20"/>
                <w:szCs w:val="20"/>
              </w:rPr>
              <w:t>Montant des autres comptes de régularisation passifs qui n’ont pas été reportés dans les lignes précédentes.</w:t>
            </w:r>
            <w:r w:rsidRPr="00F17E36">
              <w:rPr>
                <w:rFonts w:ascii="Times New Roman" w:hAnsi="Times New Roman" w:cs="Times New Roman"/>
                <w:i/>
                <w:color w:val="FF0000"/>
                <w:sz w:val="20"/>
                <w:szCs w:val="20"/>
              </w:rPr>
              <w:t xml:space="preserve"> </w:t>
            </w:r>
          </w:p>
        </w:tc>
      </w:tr>
      <w:tr w:rsidR="00703BC3" w:rsidRPr="00240557" w:rsidTr="007D2043">
        <w:trPr>
          <w:cantSplit/>
        </w:trPr>
        <w:tc>
          <w:tcPr>
            <w:tcW w:w="3064" w:type="dxa"/>
          </w:tcPr>
          <w:p w:rsidR="00703BC3" w:rsidRPr="003C57EF" w:rsidRDefault="00703BC3" w:rsidP="00F06BA8">
            <w:pPr>
              <w:rPr>
                <w:rFonts w:ascii="Times New Roman" w:hAnsi="Times New Roman" w:cs="Times New Roman"/>
                <w:sz w:val="20"/>
                <w:szCs w:val="20"/>
              </w:rPr>
            </w:pPr>
            <w:r w:rsidRPr="00240557">
              <w:rPr>
                <w:rFonts w:ascii="Times New Roman" w:hAnsi="Times New Roman" w:cs="Times New Roman"/>
                <w:sz w:val="20"/>
                <w:szCs w:val="20"/>
              </w:rPr>
              <w:t>Total - Comptes de régularisation Pa</w:t>
            </w:r>
            <w:r w:rsidRPr="003C57EF">
              <w:rPr>
                <w:rFonts w:ascii="Times New Roman" w:hAnsi="Times New Roman" w:cs="Times New Roman"/>
                <w:sz w:val="20"/>
                <w:szCs w:val="20"/>
              </w:rPr>
              <w:t>ssif</w:t>
            </w:r>
          </w:p>
        </w:tc>
        <w:tc>
          <w:tcPr>
            <w:tcW w:w="1121" w:type="dxa"/>
          </w:tcPr>
          <w:p w:rsidR="00703BC3" w:rsidRPr="00C3289B" w:rsidRDefault="00703BC3">
            <w:pPr>
              <w:rPr>
                <w:rFonts w:ascii="Times New Roman" w:hAnsi="Times New Roman" w:cs="Times New Roman"/>
                <w:sz w:val="20"/>
                <w:szCs w:val="20"/>
              </w:rPr>
            </w:pPr>
            <w:r w:rsidRPr="00DD1D72">
              <w:rPr>
                <w:rFonts w:ascii="Times New Roman" w:hAnsi="Times New Roman" w:cs="Times New Roman"/>
                <w:sz w:val="20"/>
                <w:szCs w:val="20"/>
              </w:rPr>
              <w:t>R0240</w:t>
            </w:r>
          </w:p>
        </w:tc>
        <w:tc>
          <w:tcPr>
            <w:tcW w:w="4877" w:type="dxa"/>
          </w:tcPr>
          <w:p w:rsidR="00703BC3" w:rsidRPr="00F17E36" w:rsidRDefault="00703BC3" w:rsidP="00F06BA8">
            <w:pPr>
              <w:jc w:val="both"/>
              <w:rPr>
                <w:rFonts w:ascii="Times New Roman" w:hAnsi="Times New Roman" w:cs="Times New Roman"/>
                <w:sz w:val="20"/>
                <w:szCs w:val="20"/>
              </w:rPr>
            </w:pPr>
            <w:r w:rsidRPr="00F17E36">
              <w:rPr>
                <w:rFonts w:ascii="Times New Roman" w:hAnsi="Times New Roman" w:cs="Times New Roman"/>
                <w:sz w:val="20"/>
                <w:szCs w:val="20"/>
              </w:rPr>
              <w:t>Total des comptes de régularisation passifs enregistrés dans les comptes 48.</w:t>
            </w:r>
          </w:p>
          <w:p w:rsidR="00703BC3" w:rsidRPr="00686C80" w:rsidRDefault="00703BC3" w:rsidP="00F06BA8">
            <w:pPr>
              <w:jc w:val="both"/>
              <w:rPr>
                <w:rFonts w:ascii="Times New Roman" w:hAnsi="Times New Roman" w:cs="Times New Roman"/>
                <w:sz w:val="20"/>
                <w:szCs w:val="20"/>
              </w:rPr>
            </w:pPr>
            <w:r w:rsidRPr="00686C80">
              <w:rPr>
                <w:rFonts w:ascii="Times New Roman" w:hAnsi="Times New Roman" w:cs="Times New Roman"/>
                <w:sz w:val="20"/>
                <w:szCs w:val="20"/>
              </w:rPr>
              <w:t>Correspond à la somme des montants inscrits sur les lignes R0140 à R0170, R0210, R0220 et R0230.</w:t>
            </w:r>
          </w:p>
        </w:tc>
      </w:tr>
    </w:tbl>
    <w:p w:rsidR="00703BC3" w:rsidRPr="006B2925" w:rsidRDefault="00703BC3">
      <w:pPr>
        <w:rPr>
          <w:rFonts w:ascii="Times New Roman" w:hAnsi="Times New Roman" w:cs="Times New Roman"/>
        </w:rPr>
      </w:pPr>
    </w:p>
    <w:p w:rsidR="007D2043" w:rsidRDefault="007D2043">
      <w:pPr>
        <w:rPr>
          <w:rFonts w:ascii="Times New Roman" w:hAnsi="Times New Roman" w:cs="Times New Roman"/>
          <w:b/>
        </w:rPr>
      </w:pPr>
    </w:p>
    <w:p w:rsidR="007D2043" w:rsidRDefault="007D2043">
      <w:pPr>
        <w:rPr>
          <w:rFonts w:ascii="Times New Roman" w:hAnsi="Times New Roman" w:cs="Times New Roman"/>
          <w:b/>
        </w:rPr>
      </w:pPr>
    </w:p>
    <w:p w:rsidR="00703BC3" w:rsidRPr="00600414" w:rsidRDefault="00600414">
      <w:pPr>
        <w:rPr>
          <w:rFonts w:ascii="Times New Roman" w:hAnsi="Times New Roman" w:cs="Times New Roman"/>
          <w:b/>
        </w:rPr>
      </w:pPr>
      <w:r w:rsidRPr="00600414">
        <w:rPr>
          <w:rFonts w:ascii="Times New Roman" w:hAnsi="Times New Roman" w:cs="Times New Roman"/>
          <w:b/>
        </w:rPr>
        <w:lastRenderedPageBreak/>
        <w:t>Tableau de l’état</w:t>
      </w:r>
    </w:p>
    <w:p w:rsidR="00122BCD" w:rsidRPr="00240557" w:rsidRDefault="001E3F8C" w:rsidP="007D2043">
      <w:pPr>
        <w:suppressAutoHyphens w:val="0"/>
        <w:ind w:left="-170"/>
        <w:rPr>
          <w:rFonts w:ascii="Times New Roman" w:hAnsi="Times New Roman" w:cs="Times New Roman"/>
        </w:rPr>
      </w:pPr>
      <w:bookmarkStart w:id="0" w:name="_GoBack"/>
      <w:r w:rsidRPr="001E3F8C">
        <w:rPr>
          <w:rFonts w:ascii="Times New Roman" w:hAnsi="Times New Roman" w:cs="Times New Roman"/>
          <w:noProof/>
          <w:lang w:eastAsia="fr-FR"/>
        </w:rPr>
        <w:drawing>
          <wp:inline distT="0" distB="0" distL="0" distR="0" wp14:anchorId="330C725C" wp14:editId="33703BFE">
            <wp:extent cx="6089650" cy="4101385"/>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96585" cy="4106056"/>
                    </a:xfrm>
                    <a:prstGeom prst="rect">
                      <a:avLst/>
                    </a:prstGeom>
                  </pic:spPr>
                </pic:pic>
              </a:graphicData>
            </a:graphic>
          </wp:inline>
        </w:drawing>
      </w:r>
      <w:bookmarkEnd w:id="0"/>
    </w:p>
    <w:sectPr w:rsidR="00122BCD" w:rsidRPr="00240557" w:rsidSect="00A75F17">
      <w:footerReference w:type="default" r:id="rId10"/>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DB5" w:rsidRDefault="00423DB5">
      <w:pPr>
        <w:spacing w:after="0" w:line="240" w:lineRule="auto"/>
      </w:pPr>
      <w:r>
        <w:separator/>
      </w:r>
    </w:p>
  </w:endnote>
  <w:endnote w:type="continuationSeparator" w:id="0">
    <w:p w:rsidR="00423DB5" w:rsidRDefault="0042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EndPr/>
    <w:sdtContent>
      <w:p w:rsidR="00423DB5" w:rsidRDefault="00423DB5">
        <w:pPr>
          <w:pStyle w:val="Pieddepage"/>
          <w:jc w:val="right"/>
        </w:pPr>
        <w:r>
          <w:fldChar w:fldCharType="begin"/>
        </w:r>
        <w:r>
          <w:instrText>PAGE   \* MERGEFORMAT</w:instrText>
        </w:r>
        <w:r>
          <w:fldChar w:fldCharType="separate"/>
        </w:r>
        <w:r w:rsidR="007D2043">
          <w:rPr>
            <w:noProof/>
          </w:rPr>
          <w:t>4</w:t>
        </w:r>
        <w:r>
          <w:fldChar w:fldCharType="end"/>
        </w:r>
      </w:p>
    </w:sdtContent>
  </w:sdt>
  <w:p w:rsidR="00423DB5" w:rsidRDefault="00423D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DB5" w:rsidRDefault="00423DB5">
      <w:pPr>
        <w:spacing w:after="0" w:line="240" w:lineRule="auto"/>
      </w:pPr>
      <w:r>
        <w:separator/>
      </w:r>
    </w:p>
  </w:footnote>
  <w:footnote w:type="continuationSeparator" w:id="0">
    <w:p w:rsidR="00423DB5" w:rsidRDefault="00423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0"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36"/>
  </w:num>
  <w:num w:numId="4">
    <w:abstractNumId w:val="7"/>
  </w:num>
  <w:num w:numId="5">
    <w:abstractNumId w:val="42"/>
  </w:num>
  <w:num w:numId="6">
    <w:abstractNumId w:val="43"/>
  </w:num>
  <w:num w:numId="7">
    <w:abstractNumId w:val="6"/>
  </w:num>
  <w:num w:numId="8">
    <w:abstractNumId w:val="3"/>
  </w:num>
  <w:num w:numId="9">
    <w:abstractNumId w:val="17"/>
  </w:num>
  <w:num w:numId="10">
    <w:abstractNumId w:val="11"/>
  </w:num>
  <w:num w:numId="11">
    <w:abstractNumId w:val="49"/>
  </w:num>
  <w:num w:numId="12">
    <w:abstractNumId w:val="51"/>
  </w:num>
  <w:num w:numId="13">
    <w:abstractNumId w:val="21"/>
  </w:num>
  <w:num w:numId="14">
    <w:abstractNumId w:val="14"/>
  </w:num>
  <w:num w:numId="15">
    <w:abstractNumId w:val="50"/>
  </w:num>
  <w:num w:numId="16">
    <w:abstractNumId w:val="1"/>
  </w:num>
  <w:num w:numId="17">
    <w:abstractNumId w:val="15"/>
  </w:num>
  <w:num w:numId="18">
    <w:abstractNumId w:val="20"/>
  </w:num>
  <w:num w:numId="19">
    <w:abstractNumId w:val="8"/>
  </w:num>
  <w:num w:numId="20">
    <w:abstractNumId w:val="10"/>
  </w:num>
  <w:num w:numId="21">
    <w:abstractNumId w:val="48"/>
  </w:num>
  <w:num w:numId="22">
    <w:abstractNumId w:val="29"/>
  </w:num>
  <w:num w:numId="23">
    <w:abstractNumId w:val="24"/>
  </w:num>
  <w:num w:numId="24">
    <w:abstractNumId w:val="12"/>
  </w:num>
  <w:num w:numId="25">
    <w:abstractNumId w:val="33"/>
  </w:num>
  <w:num w:numId="26">
    <w:abstractNumId w:val="37"/>
  </w:num>
  <w:num w:numId="27">
    <w:abstractNumId w:val="13"/>
  </w:num>
  <w:num w:numId="28">
    <w:abstractNumId w:val="28"/>
  </w:num>
  <w:num w:numId="29">
    <w:abstractNumId w:val="45"/>
  </w:num>
  <w:num w:numId="30">
    <w:abstractNumId w:val="18"/>
  </w:num>
  <w:num w:numId="31">
    <w:abstractNumId w:val="32"/>
  </w:num>
  <w:num w:numId="32">
    <w:abstractNumId w:val="40"/>
  </w:num>
  <w:num w:numId="33">
    <w:abstractNumId w:val="34"/>
  </w:num>
  <w:num w:numId="34">
    <w:abstractNumId w:val="4"/>
  </w:num>
  <w:num w:numId="35">
    <w:abstractNumId w:val="25"/>
  </w:num>
  <w:num w:numId="36">
    <w:abstractNumId w:val="39"/>
  </w:num>
  <w:num w:numId="37">
    <w:abstractNumId w:val="30"/>
  </w:num>
  <w:num w:numId="38">
    <w:abstractNumId w:val="35"/>
  </w:num>
  <w:num w:numId="39">
    <w:abstractNumId w:val="38"/>
  </w:num>
  <w:num w:numId="40">
    <w:abstractNumId w:val="22"/>
  </w:num>
  <w:num w:numId="41">
    <w:abstractNumId w:val="9"/>
  </w:num>
  <w:num w:numId="42">
    <w:abstractNumId w:val="46"/>
  </w:num>
  <w:num w:numId="43">
    <w:abstractNumId w:val="44"/>
  </w:num>
  <w:num w:numId="44">
    <w:abstractNumId w:val="19"/>
  </w:num>
  <w:num w:numId="45">
    <w:abstractNumId w:val="2"/>
  </w:num>
  <w:num w:numId="46">
    <w:abstractNumId w:val="5"/>
  </w:num>
  <w:num w:numId="47">
    <w:abstractNumId w:val="23"/>
  </w:num>
  <w:num w:numId="48">
    <w:abstractNumId w:val="16"/>
  </w:num>
  <w:num w:numId="49">
    <w:abstractNumId w:val="41"/>
  </w:num>
  <w:num w:numId="50">
    <w:abstractNumId w:val="27"/>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41E7"/>
    <w:rsid w:val="001D6296"/>
    <w:rsid w:val="001E3F8C"/>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0239F"/>
    <w:rsid w:val="003147D2"/>
    <w:rsid w:val="0031644C"/>
    <w:rsid w:val="00316AF2"/>
    <w:rsid w:val="00320578"/>
    <w:rsid w:val="00321F9C"/>
    <w:rsid w:val="003225F7"/>
    <w:rsid w:val="003304BB"/>
    <w:rsid w:val="00331275"/>
    <w:rsid w:val="00334113"/>
    <w:rsid w:val="00336175"/>
    <w:rsid w:val="00344C13"/>
    <w:rsid w:val="00345DE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5C0"/>
    <w:rsid w:val="004C4BE4"/>
    <w:rsid w:val="004C4F42"/>
    <w:rsid w:val="004C5EF4"/>
    <w:rsid w:val="004D2C4E"/>
    <w:rsid w:val="004D4348"/>
    <w:rsid w:val="004D5BC0"/>
    <w:rsid w:val="004E5FC0"/>
    <w:rsid w:val="004F0DCC"/>
    <w:rsid w:val="004F0F68"/>
    <w:rsid w:val="004F5EB8"/>
    <w:rsid w:val="00505204"/>
    <w:rsid w:val="00511B83"/>
    <w:rsid w:val="00512417"/>
    <w:rsid w:val="00514353"/>
    <w:rsid w:val="0052071D"/>
    <w:rsid w:val="005211B3"/>
    <w:rsid w:val="0052211C"/>
    <w:rsid w:val="0052243C"/>
    <w:rsid w:val="005248D3"/>
    <w:rsid w:val="0052590E"/>
    <w:rsid w:val="00531994"/>
    <w:rsid w:val="00532DDD"/>
    <w:rsid w:val="005340A8"/>
    <w:rsid w:val="00540F6B"/>
    <w:rsid w:val="00545EF4"/>
    <w:rsid w:val="00550626"/>
    <w:rsid w:val="00555931"/>
    <w:rsid w:val="005614F3"/>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0414"/>
    <w:rsid w:val="006032E1"/>
    <w:rsid w:val="006073C6"/>
    <w:rsid w:val="00607637"/>
    <w:rsid w:val="00612623"/>
    <w:rsid w:val="00613FAF"/>
    <w:rsid w:val="00624268"/>
    <w:rsid w:val="00625D3C"/>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2925"/>
    <w:rsid w:val="006B5BFA"/>
    <w:rsid w:val="006B6535"/>
    <w:rsid w:val="006C2D28"/>
    <w:rsid w:val="006C6661"/>
    <w:rsid w:val="006D57BC"/>
    <w:rsid w:val="006E065E"/>
    <w:rsid w:val="006E4256"/>
    <w:rsid w:val="006E6935"/>
    <w:rsid w:val="006E78EC"/>
    <w:rsid w:val="006F00D6"/>
    <w:rsid w:val="006F42E3"/>
    <w:rsid w:val="006F66A6"/>
    <w:rsid w:val="00702491"/>
    <w:rsid w:val="00703BC3"/>
    <w:rsid w:val="0070700A"/>
    <w:rsid w:val="007106EC"/>
    <w:rsid w:val="00742077"/>
    <w:rsid w:val="00755691"/>
    <w:rsid w:val="007575D7"/>
    <w:rsid w:val="00761984"/>
    <w:rsid w:val="00765F9E"/>
    <w:rsid w:val="00766633"/>
    <w:rsid w:val="00767AC2"/>
    <w:rsid w:val="00770D2F"/>
    <w:rsid w:val="00773362"/>
    <w:rsid w:val="00774C22"/>
    <w:rsid w:val="0077535A"/>
    <w:rsid w:val="00780F43"/>
    <w:rsid w:val="007847FA"/>
    <w:rsid w:val="007901F5"/>
    <w:rsid w:val="007A22B1"/>
    <w:rsid w:val="007A5E90"/>
    <w:rsid w:val="007C1D24"/>
    <w:rsid w:val="007C2B32"/>
    <w:rsid w:val="007C6429"/>
    <w:rsid w:val="007C6610"/>
    <w:rsid w:val="007C7C7E"/>
    <w:rsid w:val="007D0EF9"/>
    <w:rsid w:val="007D2043"/>
    <w:rsid w:val="007D2ED9"/>
    <w:rsid w:val="007D42A2"/>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88D"/>
    <w:rsid w:val="00933B60"/>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52E7"/>
    <w:rsid w:val="009B149C"/>
    <w:rsid w:val="009B39E3"/>
    <w:rsid w:val="009D3388"/>
    <w:rsid w:val="009D44DB"/>
    <w:rsid w:val="009D6ACD"/>
    <w:rsid w:val="009E2EDE"/>
    <w:rsid w:val="009E51EF"/>
    <w:rsid w:val="009F263D"/>
    <w:rsid w:val="009F2A58"/>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4062"/>
    <w:rsid w:val="00A97ED0"/>
    <w:rsid w:val="00AA462F"/>
    <w:rsid w:val="00AA57C3"/>
    <w:rsid w:val="00AA6C71"/>
    <w:rsid w:val="00AB06AB"/>
    <w:rsid w:val="00AB53CF"/>
    <w:rsid w:val="00AB5A31"/>
    <w:rsid w:val="00AC2072"/>
    <w:rsid w:val="00AD202C"/>
    <w:rsid w:val="00AE086C"/>
    <w:rsid w:val="00AE0FB6"/>
    <w:rsid w:val="00AE31C2"/>
    <w:rsid w:val="00AE6EFA"/>
    <w:rsid w:val="00AE7BB6"/>
    <w:rsid w:val="00AF0613"/>
    <w:rsid w:val="00AF1283"/>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A578A"/>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E150B"/>
    <w:rsid w:val="00DE1A25"/>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41022"/>
    <w:rsid w:val="00E450BF"/>
    <w:rsid w:val="00E5015F"/>
    <w:rsid w:val="00E52545"/>
    <w:rsid w:val="00E612A6"/>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1A13"/>
    <w:rsid w:val="00F74CB5"/>
    <w:rsid w:val="00F7699D"/>
    <w:rsid w:val="00F809F8"/>
    <w:rsid w:val="00F8362B"/>
    <w:rsid w:val="00F871F4"/>
    <w:rsid w:val="00F93B12"/>
    <w:rsid w:val="00F965BA"/>
    <w:rsid w:val="00FA15F9"/>
    <w:rsid w:val="00FA5D46"/>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01B6CF"/>
  <w15:docId w15:val="{7F7FEA0B-19C8-496F-900F-7EAB00E76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D2B06-65E2-4AB8-A816-1DE2DE383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838</Words>
  <Characters>4614</Characters>
  <Application>Microsoft Office Word</Application>
  <DocSecurity>0</DocSecurity>
  <Lines>38</Lines>
  <Paragraphs>10</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KIPRE Rachel (UA 2718)</cp:lastModifiedBy>
  <cp:revision>3</cp:revision>
  <cp:lastPrinted>2016-06-29T10:24:00Z</cp:lastPrinted>
  <dcterms:created xsi:type="dcterms:W3CDTF">2024-10-16T08:45:00Z</dcterms:created>
  <dcterms:modified xsi:type="dcterms:W3CDTF">2024-10-30T16:11:00Z</dcterms:modified>
</cp:coreProperties>
</file>