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93BDA" w14:textId="77777777" w:rsidR="008442DE" w:rsidRPr="00ED5F51" w:rsidRDefault="008442DE" w:rsidP="008442DE">
      <w:pPr>
        <w:rPr>
          <w:rFonts w:ascii="Times New Roman" w:hAnsi="Times New Roman" w:cs="Times New Roman"/>
          <w:b/>
          <w:sz w:val="20"/>
        </w:rPr>
      </w:pPr>
      <w:r w:rsidRPr="00ED5F51">
        <w:rPr>
          <w:rFonts w:ascii="Times New Roman" w:hAnsi="Times New Roman" w:cs="Times New Roman"/>
          <w:noProof/>
          <w:lang w:bidi="ar-SA"/>
        </w:rPr>
        <w:drawing>
          <wp:inline distT="0" distB="0" distL="0" distR="0" wp14:anchorId="7F349510" wp14:editId="1F479661">
            <wp:extent cx="1129336" cy="1009015"/>
            <wp:effectExtent l="19050" t="0" r="0" b="0"/>
            <wp:docPr id="5"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4DE9F96E" w14:textId="77777777" w:rsidR="008442DE" w:rsidRPr="00ED5F51" w:rsidDel="00160A5F" w:rsidRDefault="008442DE" w:rsidP="008442DE">
      <w:pPr>
        <w:jc w:val="center"/>
        <w:rPr>
          <w:rFonts w:ascii="Times New Roman" w:hAnsi="Times New Roman" w:cs="Times New Roman"/>
          <w:b/>
          <w:color w:val="003B8E"/>
          <w:sz w:val="32"/>
          <w:szCs w:val="32"/>
        </w:rPr>
      </w:pPr>
      <w:r w:rsidRPr="00ED5F51" w:rsidDel="00160A5F">
        <w:rPr>
          <w:rFonts w:ascii="Times New Roman" w:hAnsi="Times New Roman" w:cs="Times New Roman"/>
          <w:b/>
          <w:color w:val="003B8E"/>
          <w:sz w:val="32"/>
          <w:szCs w:val="32"/>
        </w:rPr>
        <w:t>Guide méthodologique</w:t>
      </w:r>
    </w:p>
    <w:p w14:paraId="2412C5A2" w14:textId="5360FFC6" w:rsidR="008442DE" w:rsidRPr="00ED5F51" w:rsidRDefault="008442DE" w:rsidP="008442DE">
      <w:pPr>
        <w:jc w:val="center"/>
        <w:rPr>
          <w:rFonts w:ascii="Times New Roman" w:hAnsi="Times New Roman" w:cs="Times New Roman"/>
          <w:b/>
          <w:color w:val="003B8E"/>
          <w:sz w:val="28"/>
          <w:szCs w:val="32"/>
        </w:rPr>
      </w:pPr>
      <w:r w:rsidRPr="00ED5F51">
        <w:rPr>
          <w:rFonts w:ascii="Times New Roman" w:hAnsi="Times New Roman" w:cs="Times New Roman"/>
          <w:b/>
          <w:color w:val="003B8E"/>
          <w:sz w:val="28"/>
          <w:szCs w:val="32"/>
        </w:rPr>
        <w:t>Modèle de l’état « Produits structurés » (RP.07.01.01) :</w:t>
      </w:r>
    </w:p>
    <w:p w14:paraId="78E6CBE6" w14:textId="77777777" w:rsidR="008442DE" w:rsidRPr="00ED5F51" w:rsidRDefault="008442DE">
      <w:pPr>
        <w:rPr>
          <w:rFonts w:ascii="Times New Roman" w:hAnsi="Times New Roman"/>
          <w:b/>
          <w:sz w:val="20"/>
        </w:rPr>
      </w:pPr>
    </w:p>
    <w:p w14:paraId="35E9DAB9" w14:textId="77777777" w:rsidR="0095672C" w:rsidRPr="00ED5F51" w:rsidRDefault="0095672C" w:rsidP="00950116">
      <w:pPr>
        <w:rPr>
          <w:rFonts w:ascii="Times New Roman" w:hAnsi="Times New Roman" w:cs="Times New Roman"/>
          <w:b/>
          <w:bCs/>
          <w:sz w:val="20"/>
          <w:szCs w:val="20"/>
        </w:rPr>
      </w:pPr>
      <w:r w:rsidRPr="00ED5F51">
        <w:rPr>
          <w:rFonts w:ascii="Times New Roman" w:hAnsi="Times New Roman"/>
          <w:b/>
          <w:sz w:val="20"/>
        </w:rPr>
        <w:t>Observations générales</w:t>
      </w:r>
    </w:p>
    <w:p w14:paraId="00E2E76D" w14:textId="4D192D66" w:rsidR="0095672C" w:rsidRPr="00ED5F51" w:rsidRDefault="0095672C" w:rsidP="00950116">
      <w:pPr>
        <w:jc w:val="both"/>
        <w:rPr>
          <w:rFonts w:ascii="Times New Roman" w:hAnsi="Times New Roman" w:cs="Times New Roman"/>
          <w:sz w:val="20"/>
          <w:szCs w:val="20"/>
        </w:rPr>
      </w:pPr>
      <w:r w:rsidRPr="00ED5F51">
        <w:rPr>
          <w:rFonts w:ascii="Times New Roman" w:hAnsi="Times New Roman"/>
          <w:sz w:val="20"/>
        </w:rPr>
        <w:t xml:space="preserve">Ce modèle contient une liste, élément par élément, des produits structurés détenus directement par </w:t>
      </w:r>
      <w:r w:rsidR="00561460" w:rsidRPr="00ED5F51">
        <w:rPr>
          <w:rFonts w:ascii="Times New Roman" w:hAnsi="Times New Roman"/>
          <w:sz w:val="20"/>
        </w:rPr>
        <w:t>l’O</w:t>
      </w:r>
      <w:r w:rsidR="00573E2C" w:rsidRPr="00ED5F51">
        <w:rPr>
          <w:rFonts w:ascii="Times New Roman" w:hAnsi="Times New Roman"/>
          <w:sz w:val="20"/>
        </w:rPr>
        <w:t xml:space="preserve">RPS </w:t>
      </w:r>
      <w:r w:rsidRPr="00ED5F51">
        <w:rPr>
          <w:rFonts w:ascii="Times New Roman" w:hAnsi="Times New Roman"/>
          <w:sz w:val="20"/>
        </w:rPr>
        <w:t>dans son portefeuille (c’est-à-dire non</w:t>
      </w:r>
      <w:r w:rsidR="009E748A" w:rsidRPr="00ED5F51">
        <w:rPr>
          <w:rFonts w:ascii="Times New Roman" w:hAnsi="Times New Roman"/>
          <w:sz w:val="20"/>
        </w:rPr>
        <w:t xml:space="preserve"> « par</w:t>
      </w:r>
      <w:r w:rsidRPr="00ED5F51">
        <w:rPr>
          <w:rFonts w:ascii="Times New Roman" w:hAnsi="Times New Roman"/>
          <w:sz w:val="20"/>
        </w:rPr>
        <w:t xml:space="preserve"> </w:t>
      </w:r>
      <w:r w:rsidR="009E748A" w:rsidRPr="00ED5F51">
        <w:rPr>
          <w:rFonts w:ascii="Times New Roman" w:hAnsi="Times New Roman"/>
          <w:sz w:val="20"/>
        </w:rPr>
        <w:t>transparence »</w:t>
      </w:r>
      <w:r w:rsidRPr="00ED5F51">
        <w:rPr>
          <w:rFonts w:ascii="Times New Roman" w:hAnsi="Times New Roman"/>
          <w:sz w:val="20"/>
        </w:rPr>
        <w:t xml:space="preserve">). Les produits structurés sont définis comme étant les actifs relevant des catégories d’actifs 5 (titres structurés) et 6 (titres garantis). </w:t>
      </w:r>
    </w:p>
    <w:p w14:paraId="55F19410" w14:textId="69A04566" w:rsidR="0095672C" w:rsidRPr="00ED5F51" w:rsidRDefault="0095672C" w:rsidP="00950116">
      <w:pPr>
        <w:jc w:val="both"/>
        <w:rPr>
          <w:rFonts w:ascii="Times New Roman" w:hAnsi="Times New Roman" w:cs="Times New Roman"/>
          <w:sz w:val="20"/>
          <w:szCs w:val="20"/>
        </w:rPr>
      </w:pPr>
      <w:r w:rsidRPr="00ED5F51">
        <w:rPr>
          <w:rFonts w:ascii="Times New Roman" w:hAnsi="Times New Roman"/>
          <w:sz w:val="20"/>
        </w:rPr>
        <w:t>Ce modèle n’est à compléter que lorsque le montant des produits structurés</w:t>
      </w:r>
      <w:r w:rsidR="00573E2C" w:rsidRPr="00ED5F51">
        <w:rPr>
          <w:rFonts w:ascii="Times New Roman" w:hAnsi="Times New Roman"/>
          <w:sz w:val="20"/>
        </w:rPr>
        <w:t xml:space="preserve"> (incluant les titres structurés et les titres garantis) représente plus de 5% de l’actif total. </w:t>
      </w:r>
      <w:r w:rsidRPr="00ED5F51">
        <w:rPr>
          <w:rFonts w:ascii="Times New Roman" w:hAnsi="Times New Roman"/>
          <w:sz w:val="20"/>
        </w:rPr>
        <w:t>Dans certains cas, le type de produit structuré (C00</w:t>
      </w:r>
      <w:r w:rsidR="00EB67E7" w:rsidRPr="00ED5F51">
        <w:rPr>
          <w:rFonts w:ascii="Times New Roman" w:hAnsi="Times New Roman"/>
          <w:sz w:val="20"/>
        </w:rPr>
        <w:t>4</w:t>
      </w:r>
      <w:r w:rsidRPr="00ED5F51">
        <w:rPr>
          <w:rFonts w:ascii="Times New Roman" w:hAnsi="Times New Roman"/>
          <w:sz w:val="20"/>
        </w:rPr>
        <w:t xml:space="preserve">0) identifie le dérivé incorporé dans le produit structuré. Cette classification est utilisée lorsque le produit structuré incorpore le dérivé visé. </w:t>
      </w:r>
    </w:p>
    <w:tbl>
      <w:tblPr>
        <w:tblStyle w:val="Grilledutableau"/>
        <w:tblW w:w="0" w:type="auto"/>
        <w:tblLook w:val="04A0" w:firstRow="1" w:lastRow="0" w:firstColumn="1" w:lastColumn="0" w:noHBand="0" w:noVBand="1"/>
      </w:tblPr>
      <w:tblGrid>
        <w:gridCol w:w="1353"/>
        <w:gridCol w:w="2147"/>
        <w:gridCol w:w="5516"/>
      </w:tblGrid>
      <w:tr w:rsidR="0095672C" w:rsidRPr="00ED5F51" w14:paraId="39AC54AB" w14:textId="77777777" w:rsidTr="00950116">
        <w:trPr>
          <w:trHeight w:val="300"/>
        </w:trPr>
        <w:tc>
          <w:tcPr>
            <w:tcW w:w="1353" w:type="dxa"/>
            <w:noWrap/>
            <w:hideMark/>
          </w:tcPr>
          <w:p w14:paraId="2FCA0DE1" w14:textId="77777777" w:rsidR="0095672C" w:rsidRPr="00ED5F51" w:rsidRDefault="0095672C" w:rsidP="00950116">
            <w:pPr>
              <w:spacing w:after="200" w:line="276" w:lineRule="auto"/>
              <w:jc w:val="center"/>
              <w:rPr>
                <w:rFonts w:ascii="Times New Roman" w:hAnsi="Times New Roman" w:cs="Times New Roman"/>
                <w:color w:val="FF0000"/>
                <w:sz w:val="20"/>
                <w:szCs w:val="20"/>
              </w:rPr>
            </w:pPr>
          </w:p>
        </w:tc>
        <w:tc>
          <w:tcPr>
            <w:tcW w:w="2148" w:type="dxa"/>
            <w:hideMark/>
          </w:tcPr>
          <w:p w14:paraId="75834DA5" w14:textId="77777777" w:rsidR="0095672C" w:rsidRPr="00ED5F51" w:rsidRDefault="0095672C" w:rsidP="00950116">
            <w:pPr>
              <w:spacing w:after="200" w:line="276" w:lineRule="auto"/>
              <w:jc w:val="center"/>
              <w:rPr>
                <w:rFonts w:ascii="Times New Roman" w:hAnsi="Times New Roman" w:cs="Times New Roman"/>
                <w:b/>
                <w:bCs/>
                <w:sz w:val="20"/>
                <w:szCs w:val="20"/>
              </w:rPr>
            </w:pPr>
            <w:r w:rsidRPr="00ED5F51">
              <w:rPr>
                <w:rFonts w:ascii="Times New Roman" w:hAnsi="Times New Roman"/>
                <w:b/>
                <w:sz w:val="20"/>
              </w:rPr>
              <w:t>ÉLÉMENT À DÉCLARER</w:t>
            </w:r>
          </w:p>
        </w:tc>
        <w:tc>
          <w:tcPr>
            <w:tcW w:w="5741" w:type="dxa"/>
            <w:hideMark/>
          </w:tcPr>
          <w:p w14:paraId="4946BC23" w14:textId="77777777" w:rsidR="0095672C" w:rsidRPr="00ED5F51" w:rsidRDefault="0095672C" w:rsidP="00950116">
            <w:pPr>
              <w:spacing w:after="200" w:line="276" w:lineRule="auto"/>
              <w:jc w:val="center"/>
              <w:rPr>
                <w:rFonts w:ascii="Times New Roman" w:hAnsi="Times New Roman" w:cs="Times New Roman"/>
                <w:b/>
                <w:bCs/>
                <w:sz w:val="20"/>
                <w:szCs w:val="20"/>
              </w:rPr>
            </w:pPr>
            <w:r w:rsidRPr="00ED5F51">
              <w:rPr>
                <w:rFonts w:ascii="Times New Roman" w:hAnsi="Times New Roman"/>
                <w:b/>
                <w:sz w:val="20"/>
              </w:rPr>
              <w:t>INSTRUCTIONS</w:t>
            </w:r>
          </w:p>
        </w:tc>
      </w:tr>
      <w:tr w:rsidR="0095672C" w:rsidRPr="00ED5F51" w14:paraId="4DA1EC60" w14:textId="77777777" w:rsidTr="00950116">
        <w:trPr>
          <w:trHeight w:val="1290"/>
        </w:trPr>
        <w:tc>
          <w:tcPr>
            <w:tcW w:w="1353" w:type="dxa"/>
            <w:hideMark/>
          </w:tcPr>
          <w:p w14:paraId="233908AD" w14:textId="3676D137" w:rsidR="0095672C" w:rsidRPr="00ED5F51" w:rsidRDefault="0095672C" w:rsidP="00A302B1">
            <w:pPr>
              <w:pStyle w:val="Sansinterligne"/>
              <w:rPr>
                <w:rFonts w:ascii="Times New Roman" w:hAnsi="Times New Roman"/>
              </w:rPr>
            </w:pPr>
            <w:r w:rsidRPr="00ED5F51">
              <w:rPr>
                <w:rFonts w:ascii="Times New Roman" w:hAnsi="Times New Roman"/>
                <w:sz w:val="20"/>
              </w:rPr>
              <w:t>C00</w:t>
            </w:r>
            <w:r w:rsidR="00A302B1" w:rsidRPr="00ED5F51">
              <w:rPr>
                <w:rFonts w:ascii="Times New Roman" w:hAnsi="Times New Roman"/>
                <w:sz w:val="20"/>
              </w:rPr>
              <w:t>1</w:t>
            </w:r>
            <w:r w:rsidRPr="00ED5F51">
              <w:rPr>
                <w:rFonts w:ascii="Times New Roman" w:hAnsi="Times New Roman"/>
                <w:sz w:val="20"/>
              </w:rPr>
              <w:t>0</w:t>
            </w:r>
          </w:p>
        </w:tc>
        <w:tc>
          <w:tcPr>
            <w:tcW w:w="2148" w:type="dxa"/>
            <w:hideMark/>
          </w:tcPr>
          <w:p w14:paraId="5E0EA58B"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Code d’identification de l’actif</w:t>
            </w:r>
          </w:p>
        </w:tc>
        <w:tc>
          <w:tcPr>
            <w:tcW w:w="5741" w:type="dxa"/>
            <w:hideMark/>
          </w:tcPr>
          <w:p w14:paraId="72F1B762" w14:textId="44935802" w:rsidR="0095672C" w:rsidRPr="00ED5F51" w:rsidRDefault="0095672C" w:rsidP="00950116">
            <w:pPr>
              <w:spacing w:after="240"/>
              <w:rPr>
                <w:rFonts w:ascii="Times New Roman" w:hAnsi="Times New Roman" w:cs="Times New Roman"/>
                <w:sz w:val="20"/>
                <w:szCs w:val="20"/>
              </w:rPr>
            </w:pPr>
            <w:r w:rsidRPr="00ED5F51">
              <w:rPr>
                <w:rFonts w:ascii="Times New Roman" w:hAnsi="Times New Roman"/>
                <w:sz w:val="20"/>
              </w:rPr>
              <w:t>Code d’identification du produit structuré, tel que déclaré dans le modèle</w:t>
            </w:r>
            <w:r w:rsidR="00D54381" w:rsidRPr="00ED5F51">
              <w:rPr>
                <w:rFonts w:ascii="Times New Roman" w:hAnsi="Times New Roman"/>
                <w:sz w:val="20"/>
              </w:rPr>
              <w:t xml:space="preserve"> européen </w:t>
            </w:r>
            <w:r w:rsidR="00EB67E7" w:rsidRPr="00ED5F51">
              <w:rPr>
                <w:rFonts w:ascii="Times New Roman" w:hAnsi="Times New Roman"/>
                <w:sz w:val="20"/>
              </w:rPr>
              <w:t>P</w:t>
            </w:r>
            <w:r w:rsidR="00D54381" w:rsidRPr="00ED5F51">
              <w:rPr>
                <w:rFonts w:ascii="Times New Roman" w:hAnsi="Times New Roman"/>
                <w:sz w:val="20"/>
              </w:rPr>
              <w:t>FEF.06.02</w:t>
            </w:r>
            <w:r w:rsidRPr="00ED5F51">
              <w:rPr>
                <w:rFonts w:ascii="Times New Roman" w:hAnsi="Times New Roman"/>
                <w:sz w:val="20"/>
              </w:rPr>
              <w:t xml:space="preserve"> par ordre de priorité suivant: </w:t>
            </w:r>
            <w:r w:rsidR="00FE79E2" w:rsidRPr="00ED5F51">
              <w:rPr>
                <w:rFonts w:ascii="Times New Roman" w:hAnsi="Times New Roman" w:cs="Times New Roman"/>
                <w:sz w:val="20"/>
                <w:szCs w:val="20"/>
              </w:rPr>
              <w:br/>
            </w:r>
            <w:r w:rsidRPr="00ED5F51">
              <w:rPr>
                <w:rFonts w:ascii="Times New Roman" w:hAnsi="Times New Roman"/>
                <w:sz w:val="20"/>
              </w:rPr>
              <w:t xml:space="preserve">  – code ISIN de l’ISO 6166 si disponible</w:t>
            </w:r>
            <w:r w:rsidR="00FE79E2" w:rsidRPr="00ED5F51">
              <w:rPr>
                <w:rFonts w:ascii="Times New Roman" w:hAnsi="Times New Roman" w:cs="Times New Roman"/>
                <w:sz w:val="20"/>
                <w:szCs w:val="20"/>
              </w:rPr>
              <w:br/>
            </w:r>
            <w:r w:rsidRPr="00ED5F51">
              <w:rPr>
                <w:rFonts w:ascii="Times New Roman" w:hAnsi="Times New Roman"/>
                <w:sz w:val="20"/>
              </w:rPr>
              <w:t xml:space="preserve">  – autres codes reconnus (tels que CUSIP, Bloomberg Ticker, Reuters RIC)</w:t>
            </w:r>
            <w:r w:rsidR="00FE79E2" w:rsidRPr="00ED5F51">
              <w:rPr>
                <w:rFonts w:ascii="Times New Roman" w:hAnsi="Times New Roman" w:cs="Times New Roman"/>
                <w:sz w:val="20"/>
                <w:szCs w:val="20"/>
              </w:rPr>
              <w:br/>
            </w:r>
            <w:r w:rsidRPr="00ED5F51">
              <w:rPr>
                <w:rFonts w:ascii="Times New Roman" w:hAnsi="Times New Roman"/>
                <w:sz w:val="20"/>
              </w:rPr>
              <w:t xml:space="preserve"> – code attribué par </w:t>
            </w:r>
            <w:r w:rsidR="00DF7D14" w:rsidRPr="00ED5F51">
              <w:rPr>
                <w:rFonts w:ascii="Times New Roman" w:hAnsi="Times New Roman"/>
                <w:sz w:val="20"/>
              </w:rPr>
              <w:t>l’O</w:t>
            </w:r>
            <w:r w:rsidR="009E748A" w:rsidRPr="00ED5F51">
              <w:rPr>
                <w:rFonts w:ascii="Times New Roman" w:hAnsi="Times New Roman"/>
                <w:sz w:val="20"/>
              </w:rPr>
              <w:t>RPS</w:t>
            </w:r>
            <w:r w:rsidRPr="00ED5F51">
              <w:rPr>
                <w:rFonts w:ascii="Times New Roman" w:hAnsi="Times New Roman"/>
                <w:sz w:val="20"/>
              </w:rPr>
              <w:t>, lorsque les options ci-dessus ne sont pas disponibles. Ce code doit rester constant dans le temps et ne peut être réutilisé pour d’autres produits.</w:t>
            </w:r>
          </w:p>
          <w:p w14:paraId="3E152E67" w14:textId="77777777" w:rsidR="0095672C" w:rsidRPr="00ED5F51" w:rsidRDefault="0095672C" w:rsidP="00950116">
            <w:pPr>
              <w:spacing w:after="240"/>
              <w:rPr>
                <w:rFonts w:ascii="Times New Roman" w:hAnsi="Times New Roman" w:cs="Times New Roman"/>
                <w:sz w:val="20"/>
                <w:szCs w:val="20"/>
              </w:rPr>
            </w:pPr>
            <w:r w:rsidRPr="00ED5F51">
              <w:rPr>
                <w:rFonts w:ascii="Times New Roman" w:hAnsi="Times New Roman"/>
                <w:sz w:val="20"/>
              </w:rPr>
              <w:t>Lorsque le même code d’identification d’actif doit être déclaré pour un actif émis dans 2 monnaies différentes, voire plus, le code d’identification de l’actif doit être assorti du code alphabétique ISO 4217 de la monnaie, comme suit: «code + EUR»</w:t>
            </w:r>
          </w:p>
        </w:tc>
      </w:tr>
      <w:tr w:rsidR="0095672C" w:rsidRPr="00ED5F51" w14:paraId="7A326B06" w14:textId="77777777" w:rsidTr="00950116">
        <w:trPr>
          <w:trHeight w:val="1260"/>
        </w:trPr>
        <w:tc>
          <w:tcPr>
            <w:tcW w:w="1353" w:type="dxa"/>
            <w:hideMark/>
          </w:tcPr>
          <w:p w14:paraId="57F5F93D" w14:textId="530173ED" w:rsidR="0095672C" w:rsidRPr="00ED5F51" w:rsidRDefault="0095672C" w:rsidP="00A302B1">
            <w:pPr>
              <w:pStyle w:val="Sansinterligne"/>
              <w:rPr>
                <w:rFonts w:ascii="Times New Roman" w:hAnsi="Times New Roman" w:cs="Times New Roman"/>
                <w:sz w:val="20"/>
                <w:szCs w:val="20"/>
              </w:rPr>
            </w:pPr>
            <w:r w:rsidRPr="00ED5F51">
              <w:rPr>
                <w:rFonts w:ascii="Times New Roman" w:hAnsi="Times New Roman"/>
                <w:sz w:val="20"/>
              </w:rPr>
              <w:t>C00</w:t>
            </w:r>
            <w:r w:rsidR="00A302B1" w:rsidRPr="00ED5F51">
              <w:rPr>
                <w:rFonts w:ascii="Times New Roman" w:hAnsi="Times New Roman"/>
                <w:sz w:val="20"/>
              </w:rPr>
              <w:t>2</w:t>
            </w:r>
            <w:r w:rsidRPr="00ED5F51">
              <w:rPr>
                <w:rFonts w:ascii="Times New Roman" w:hAnsi="Times New Roman"/>
                <w:sz w:val="20"/>
              </w:rPr>
              <w:t>0</w:t>
            </w:r>
          </w:p>
        </w:tc>
        <w:tc>
          <w:tcPr>
            <w:tcW w:w="2148" w:type="dxa"/>
            <w:hideMark/>
          </w:tcPr>
          <w:p w14:paraId="12677540"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Type de code d’identification de l’actif</w:t>
            </w:r>
          </w:p>
        </w:tc>
        <w:tc>
          <w:tcPr>
            <w:tcW w:w="5741" w:type="dxa"/>
            <w:hideMark/>
          </w:tcPr>
          <w:p w14:paraId="2609D4CB" w14:textId="0415F249" w:rsidR="0095672C" w:rsidRPr="00ED5F51" w:rsidRDefault="0095672C" w:rsidP="00950116">
            <w:pPr>
              <w:spacing w:after="200" w:line="276" w:lineRule="auto"/>
              <w:rPr>
                <w:rFonts w:ascii="Times New Roman" w:hAnsi="Times New Roman" w:cs="Times New Roman"/>
                <w:sz w:val="20"/>
                <w:szCs w:val="20"/>
              </w:rPr>
            </w:pPr>
            <w:r w:rsidRPr="00ED5F51">
              <w:rPr>
                <w:rFonts w:ascii="Times New Roman" w:hAnsi="Times New Roman"/>
                <w:sz w:val="20"/>
              </w:rPr>
              <w:t>Indiquer le type de code d’identification utilisé pour l’élément</w:t>
            </w:r>
            <w:r w:rsidR="009E748A" w:rsidRPr="00ED5F51">
              <w:rPr>
                <w:rFonts w:ascii="Times New Roman" w:hAnsi="Times New Roman"/>
                <w:sz w:val="20"/>
              </w:rPr>
              <w:t xml:space="preserve"> « code</w:t>
            </w:r>
            <w:r w:rsidRPr="00ED5F51">
              <w:rPr>
                <w:rFonts w:ascii="Times New Roman" w:hAnsi="Times New Roman"/>
                <w:sz w:val="20"/>
              </w:rPr>
              <w:t xml:space="preserve"> d’identification de </w:t>
            </w:r>
            <w:r w:rsidR="009E748A" w:rsidRPr="00ED5F51">
              <w:rPr>
                <w:rFonts w:ascii="Times New Roman" w:hAnsi="Times New Roman"/>
                <w:sz w:val="20"/>
              </w:rPr>
              <w:t>l’actif »</w:t>
            </w:r>
            <w:r w:rsidRPr="00ED5F51">
              <w:rPr>
                <w:rFonts w:ascii="Times New Roman" w:hAnsi="Times New Roman"/>
                <w:sz w:val="20"/>
              </w:rPr>
              <w:t>. Choisir impérativement l’une des options suivantes:</w:t>
            </w:r>
          </w:p>
          <w:p w14:paraId="62354098" w14:textId="56BC8BD4" w:rsidR="0095672C" w:rsidRPr="00ED5F51" w:rsidRDefault="001B32BC" w:rsidP="00950116">
            <w:pPr>
              <w:rPr>
                <w:rFonts w:ascii="Times New Roman" w:hAnsi="Times New Roman" w:cs="Times New Roman"/>
                <w:sz w:val="20"/>
                <w:szCs w:val="20"/>
              </w:rPr>
            </w:pPr>
            <w:r w:rsidRPr="00ED5F51">
              <w:rPr>
                <w:rFonts w:ascii="Times New Roman" w:hAnsi="Times New Roman"/>
                <w:sz w:val="20"/>
              </w:rPr>
              <w:t xml:space="preserve">1 </w:t>
            </w:r>
            <w:r w:rsidR="0095672C" w:rsidRPr="00ED5F51">
              <w:rPr>
                <w:rFonts w:ascii="Times New Roman" w:hAnsi="Times New Roman"/>
                <w:sz w:val="20"/>
              </w:rPr>
              <w:t>– code ISIN de l’ISO 6166</w:t>
            </w:r>
          </w:p>
          <w:p w14:paraId="2FFBE0AF" w14:textId="77777777" w:rsidR="0095672C" w:rsidRPr="00ED5F51" w:rsidRDefault="0095672C" w:rsidP="00950116">
            <w:pPr>
              <w:rPr>
                <w:rFonts w:ascii="Times New Roman" w:hAnsi="Times New Roman" w:cs="Times New Roman"/>
                <w:sz w:val="20"/>
                <w:szCs w:val="20"/>
              </w:rPr>
            </w:pPr>
            <w:r w:rsidRPr="00ED5F51">
              <w:rPr>
                <w:rFonts w:ascii="Times New Roman" w:hAnsi="Times New Roman"/>
                <w:sz w:val="20"/>
              </w:rPr>
              <w:t>2 – code CUSIP (Committee on Uniform Securities Identification Procedures): numéro attribué par le CUSIP Service Bureau pour les entreprises américaines et canadiennes</w:t>
            </w:r>
          </w:p>
          <w:p w14:paraId="6CE76EC4" w14:textId="77777777" w:rsidR="0095672C" w:rsidRPr="00ED5F51" w:rsidRDefault="0095672C" w:rsidP="00950116">
            <w:pPr>
              <w:rPr>
                <w:rFonts w:ascii="Times New Roman" w:hAnsi="Times New Roman" w:cs="Times New Roman"/>
                <w:sz w:val="20"/>
                <w:szCs w:val="20"/>
              </w:rPr>
            </w:pPr>
            <w:r w:rsidRPr="00ED5F51">
              <w:rPr>
                <w:rFonts w:ascii="Times New Roman" w:hAnsi="Times New Roman"/>
                <w:sz w:val="20"/>
              </w:rPr>
              <w:t>3 – SEDOL (Stock Exchange Daily Official List pour la bourse de Londres)</w:t>
            </w:r>
          </w:p>
          <w:p w14:paraId="05914334" w14:textId="77777777" w:rsidR="0095672C" w:rsidRPr="00ED5F51" w:rsidRDefault="0095672C" w:rsidP="00950116">
            <w:pPr>
              <w:rPr>
                <w:rFonts w:ascii="Times New Roman" w:hAnsi="Times New Roman" w:cs="Times New Roman"/>
                <w:sz w:val="20"/>
                <w:szCs w:val="20"/>
              </w:rPr>
            </w:pPr>
            <w:r w:rsidRPr="00ED5F51">
              <w:rPr>
                <w:rFonts w:ascii="Times New Roman" w:hAnsi="Times New Roman"/>
                <w:sz w:val="20"/>
              </w:rPr>
              <w:t>4 – WKN (Wertpapier Kenn-Nummer, le numéro d’identification alphanumérique allemand)</w:t>
            </w:r>
          </w:p>
          <w:p w14:paraId="30CBC7E1" w14:textId="77777777" w:rsidR="0095672C" w:rsidRPr="00ED5F51" w:rsidRDefault="0095672C" w:rsidP="00950116">
            <w:pPr>
              <w:rPr>
                <w:rFonts w:ascii="Times New Roman" w:hAnsi="Times New Roman" w:cs="Times New Roman"/>
                <w:sz w:val="20"/>
                <w:szCs w:val="20"/>
              </w:rPr>
            </w:pPr>
            <w:r w:rsidRPr="00ED5F51">
              <w:rPr>
                <w:rFonts w:ascii="Times New Roman" w:hAnsi="Times New Roman"/>
                <w:sz w:val="20"/>
              </w:rPr>
              <w:t>5 – Bloomberg Ticker (code à lettres Bloomberg d’identification des titres d’une société)</w:t>
            </w:r>
          </w:p>
          <w:p w14:paraId="14BFE01A" w14:textId="77777777" w:rsidR="0095672C" w:rsidRPr="00ED5F51" w:rsidRDefault="0095672C">
            <w:pPr>
              <w:rPr>
                <w:rFonts w:ascii="Times New Roman" w:hAnsi="Times New Roman" w:cs="Times New Roman"/>
                <w:sz w:val="20"/>
                <w:szCs w:val="20"/>
              </w:rPr>
            </w:pPr>
            <w:r w:rsidRPr="00ED5F51">
              <w:rPr>
                <w:rFonts w:ascii="Times New Roman" w:hAnsi="Times New Roman"/>
                <w:sz w:val="20"/>
              </w:rPr>
              <w:lastRenderedPageBreak/>
              <w:t>6 – BBGID (Bloomberg Global ID)</w:t>
            </w:r>
          </w:p>
          <w:p w14:paraId="2005055D"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7 – Reuters RIC (Reuters Instrument Code)</w:t>
            </w:r>
          </w:p>
          <w:p w14:paraId="7BAB71EF"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8 – FIGI (Financial Instrument Global Identifier)</w:t>
            </w:r>
          </w:p>
          <w:p w14:paraId="7B3EE404" w14:textId="77777777" w:rsidR="0095672C" w:rsidRPr="00ED5F51" w:rsidRDefault="0095672C">
            <w:pPr>
              <w:rPr>
                <w:rFonts w:ascii="Times New Roman" w:hAnsi="Times New Roman" w:cs="Times New Roman"/>
                <w:sz w:val="20"/>
                <w:szCs w:val="20"/>
              </w:rPr>
            </w:pPr>
            <w:r w:rsidRPr="00ED5F51">
              <w:rPr>
                <w:rFonts w:ascii="Times New Roman" w:hAnsi="Times New Roman"/>
                <w:sz w:val="20"/>
              </w:rPr>
              <w:t>9 – Autre code attribué par un membre de l’Association des agences nationales de codification</w:t>
            </w:r>
          </w:p>
          <w:p w14:paraId="36BE79F2" w14:textId="397322AD" w:rsidR="0095672C" w:rsidRPr="00ED5F51" w:rsidRDefault="0095672C" w:rsidP="00950116">
            <w:pPr>
              <w:rPr>
                <w:rFonts w:ascii="Times New Roman" w:hAnsi="Times New Roman" w:cs="Times New Roman"/>
                <w:sz w:val="20"/>
                <w:szCs w:val="20"/>
              </w:rPr>
            </w:pPr>
            <w:r w:rsidRPr="00ED5F51">
              <w:rPr>
                <w:rFonts w:ascii="Times New Roman" w:hAnsi="Times New Roman"/>
                <w:sz w:val="20"/>
              </w:rPr>
              <w:t xml:space="preserve">99 – Code attribué par </w:t>
            </w:r>
            <w:r w:rsidR="00561460" w:rsidRPr="00ED5F51">
              <w:rPr>
                <w:rFonts w:ascii="Times New Roman" w:hAnsi="Times New Roman"/>
                <w:sz w:val="20"/>
              </w:rPr>
              <w:t>l’O</w:t>
            </w:r>
            <w:r w:rsidR="00573E2C" w:rsidRPr="00ED5F51">
              <w:rPr>
                <w:rFonts w:ascii="Times New Roman" w:hAnsi="Times New Roman"/>
                <w:sz w:val="20"/>
              </w:rPr>
              <w:t xml:space="preserve">RPS </w:t>
            </w:r>
          </w:p>
          <w:p w14:paraId="44590292" w14:textId="77777777" w:rsidR="0095672C" w:rsidRPr="00ED5F51" w:rsidRDefault="0095672C" w:rsidP="00950116">
            <w:pPr>
              <w:rPr>
                <w:rFonts w:ascii="Times New Roman" w:hAnsi="Times New Roman" w:cs="Times New Roman"/>
                <w:sz w:val="20"/>
                <w:szCs w:val="20"/>
              </w:rPr>
            </w:pPr>
          </w:p>
          <w:p w14:paraId="6EA574DB" w14:textId="77777777" w:rsidR="0095672C" w:rsidRPr="00ED5F51" w:rsidRDefault="0095672C" w:rsidP="00950116">
            <w:pPr>
              <w:rPr>
                <w:rFonts w:ascii="Times New Roman" w:hAnsi="Times New Roman"/>
                <w:sz w:val="20"/>
              </w:rPr>
            </w:pPr>
            <w:r w:rsidRPr="00ED5F51">
              <w:rPr>
                <w:rFonts w:ascii="Times New Roman" w:hAnsi="Times New Roman"/>
                <w:sz w:val="20"/>
              </w:rPr>
              <w:t>Lorsque le même code d’identification d’actif doit être répété pour un actif émis dans 2 monnaies différentes, voire plus, et que, sous C0040, est déclaré le code d’identification de l’actif assorti du code alphabétique ISO 4217 de la monnaie d’émission, la réponse fournie pour le «type de code d’identification de l’actif» doit faire référence à la fois à l’option 9 et à l’option correspondant au code d’identification d’origine, comme dans l’exemple suivant, où le code d’origine déclaré était un code ISIN assorti du code monnaie: «9/1».</w:t>
            </w:r>
          </w:p>
          <w:p w14:paraId="25C463B9" w14:textId="777C17AE" w:rsidR="006A7C85" w:rsidRPr="00ED5F51" w:rsidRDefault="006A7C85" w:rsidP="00950116">
            <w:pPr>
              <w:rPr>
                <w:rFonts w:ascii="Times New Roman" w:hAnsi="Times New Roman" w:cs="Times New Roman"/>
                <w:sz w:val="20"/>
                <w:szCs w:val="20"/>
              </w:rPr>
            </w:pPr>
          </w:p>
        </w:tc>
      </w:tr>
      <w:tr w:rsidR="0095672C" w:rsidRPr="00ED5F51" w14:paraId="2A6EDF44" w14:textId="77777777" w:rsidTr="00950116">
        <w:trPr>
          <w:trHeight w:val="1140"/>
        </w:trPr>
        <w:tc>
          <w:tcPr>
            <w:tcW w:w="1353" w:type="dxa"/>
            <w:hideMark/>
          </w:tcPr>
          <w:p w14:paraId="7B40B592" w14:textId="2DB0FABE" w:rsidR="0095672C" w:rsidRPr="00ED5F51" w:rsidRDefault="0095672C" w:rsidP="00950116">
            <w:pPr>
              <w:pStyle w:val="Sansinterligne"/>
              <w:rPr>
                <w:rFonts w:ascii="Times New Roman" w:hAnsi="Times New Roman" w:cs="Times New Roman"/>
                <w:sz w:val="20"/>
                <w:szCs w:val="20"/>
              </w:rPr>
            </w:pPr>
            <w:r w:rsidRPr="00ED5F51">
              <w:rPr>
                <w:rFonts w:ascii="Times New Roman" w:hAnsi="Times New Roman"/>
                <w:sz w:val="20"/>
              </w:rPr>
              <w:lastRenderedPageBreak/>
              <w:t>C</w:t>
            </w:r>
            <w:r w:rsidR="00A302B1" w:rsidRPr="00ED5F51">
              <w:rPr>
                <w:rFonts w:ascii="Times New Roman" w:hAnsi="Times New Roman"/>
                <w:sz w:val="20"/>
              </w:rPr>
              <w:t>003</w:t>
            </w:r>
            <w:r w:rsidRPr="00ED5F51">
              <w:rPr>
                <w:rFonts w:ascii="Times New Roman" w:hAnsi="Times New Roman"/>
                <w:sz w:val="20"/>
              </w:rPr>
              <w:t>0</w:t>
            </w:r>
          </w:p>
        </w:tc>
        <w:tc>
          <w:tcPr>
            <w:tcW w:w="2148" w:type="dxa"/>
            <w:hideMark/>
          </w:tcPr>
          <w:p w14:paraId="7C828D8F"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Type de garantie</w:t>
            </w:r>
          </w:p>
        </w:tc>
        <w:tc>
          <w:tcPr>
            <w:tcW w:w="5741" w:type="dxa"/>
            <w:hideMark/>
          </w:tcPr>
          <w:p w14:paraId="377D99F7" w14:textId="6B2DAC12" w:rsidR="0095672C" w:rsidRPr="00ED5F51" w:rsidRDefault="0095672C" w:rsidP="00950116">
            <w:pPr>
              <w:spacing w:line="276" w:lineRule="auto"/>
              <w:rPr>
                <w:rFonts w:ascii="Times New Roman" w:eastAsia="Times New Roman" w:hAnsi="Times New Roman" w:cs="Times New Roman"/>
                <w:color w:val="000000"/>
                <w:sz w:val="20"/>
                <w:szCs w:val="20"/>
              </w:rPr>
            </w:pPr>
            <w:r w:rsidRPr="00ED5F51">
              <w:rPr>
                <w:rFonts w:ascii="Times New Roman" w:hAnsi="Times New Roman"/>
                <w:sz w:val="20"/>
              </w:rPr>
              <w:t xml:space="preserve">Identifier le type de </w:t>
            </w:r>
            <w:r w:rsidR="009E748A" w:rsidRPr="00ED5F51">
              <w:rPr>
                <w:rFonts w:ascii="Times New Roman" w:hAnsi="Times New Roman"/>
                <w:sz w:val="20"/>
              </w:rPr>
              <w:t>garanties...</w:t>
            </w:r>
            <w:r w:rsidRPr="00ED5F51">
              <w:rPr>
                <w:rFonts w:ascii="Times New Roman" w:hAnsi="Times New Roman"/>
                <w:sz w:val="20"/>
              </w:rPr>
              <w:t xml:space="preserve"> </w:t>
            </w:r>
            <w:r w:rsidRPr="00ED5F51">
              <w:rPr>
                <w:rFonts w:ascii="Times New Roman" w:hAnsi="Times New Roman"/>
                <w:color w:val="000000"/>
                <w:sz w:val="20"/>
              </w:rPr>
              <w:t>Choisir impérativement l’une des options suivantes:</w:t>
            </w:r>
            <w:r w:rsidR="00FE79E2" w:rsidRPr="00ED5F51">
              <w:rPr>
                <w:rFonts w:ascii="Times New Roman" w:eastAsia="Times New Roman" w:hAnsi="Times New Roman" w:cs="Times New Roman"/>
                <w:color w:val="000000"/>
                <w:sz w:val="20"/>
                <w:szCs w:val="20"/>
              </w:rPr>
              <w:br/>
            </w:r>
            <w:r w:rsidRPr="00ED5F51">
              <w:rPr>
                <w:rFonts w:ascii="Times New Roman" w:hAnsi="Times New Roman"/>
                <w:color w:val="000000"/>
                <w:sz w:val="20"/>
              </w:rPr>
              <w:t>1 – Obligations d’État</w:t>
            </w:r>
          </w:p>
          <w:p w14:paraId="68886BAD" w14:textId="77777777" w:rsidR="0095672C" w:rsidRPr="00ED5F51" w:rsidRDefault="0095672C" w:rsidP="00950116">
            <w:pPr>
              <w:rPr>
                <w:rFonts w:ascii="Times New Roman" w:eastAsia="Times New Roman" w:hAnsi="Times New Roman" w:cs="Times New Roman"/>
                <w:color w:val="000000"/>
                <w:sz w:val="20"/>
                <w:szCs w:val="20"/>
              </w:rPr>
            </w:pPr>
            <w:r w:rsidRPr="00ED5F51">
              <w:rPr>
                <w:rFonts w:ascii="Times New Roman" w:hAnsi="Times New Roman"/>
                <w:color w:val="000000"/>
                <w:sz w:val="20"/>
              </w:rPr>
              <w:t>2 – Obligations d’entreprise</w:t>
            </w:r>
          </w:p>
          <w:p w14:paraId="5497A89C" w14:textId="77777777" w:rsidR="0095672C" w:rsidRPr="00ED5F51" w:rsidRDefault="0095672C" w:rsidP="00950116">
            <w:pPr>
              <w:rPr>
                <w:rFonts w:ascii="Times New Roman" w:eastAsia="Times New Roman" w:hAnsi="Times New Roman" w:cs="Times New Roman"/>
                <w:color w:val="000000"/>
                <w:sz w:val="20"/>
                <w:szCs w:val="20"/>
              </w:rPr>
            </w:pPr>
            <w:r w:rsidRPr="00ED5F51">
              <w:rPr>
                <w:rFonts w:ascii="Times New Roman" w:hAnsi="Times New Roman"/>
                <w:color w:val="000000"/>
                <w:sz w:val="20"/>
              </w:rPr>
              <w:t>3 – Actions</w:t>
            </w:r>
          </w:p>
          <w:p w14:paraId="592C3D90" w14:textId="77777777" w:rsidR="0095672C" w:rsidRPr="00ED5F51" w:rsidRDefault="0095672C" w:rsidP="00950116">
            <w:pPr>
              <w:rPr>
                <w:rFonts w:ascii="Times New Roman" w:eastAsia="Times New Roman" w:hAnsi="Times New Roman" w:cs="Times New Roman"/>
                <w:color w:val="000000"/>
                <w:sz w:val="20"/>
                <w:szCs w:val="20"/>
              </w:rPr>
            </w:pPr>
            <w:r w:rsidRPr="00ED5F51">
              <w:rPr>
                <w:rFonts w:ascii="Times New Roman" w:hAnsi="Times New Roman"/>
                <w:color w:val="000000"/>
                <w:sz w:val="20"/>
              </w:rPr>
              <w:t>4 – Parts d’organismes de placement collectif</w:t>
            </w:r>
          </w:p>
          <w:p w14:paraId="1142B5CD" w14:textId="77777777" w:rsidR="0095672C" w:rsidRPr="00ED5F51" w:rsidRDefault="0095672C" w:rsidP="00950116">
            <w:pPr>
              <w:rPr>
                <w:rFonts w:ascii="Times New Roman" w:eastAsia="Times New Roman" w:hAnsi="Times New Roman" w:cs="Times New Roman"/>
                <w:color w:val="000000"/>
                <w:sz w:val="20"/>
                <w:szCs w:val="20"/>
              </w:rPr>
            </w:pPr>
            <w:r w:rsidRPr="00ED5F51">
              <w:rPr>
                <w:rFonts w:ascii="Times New Roman" w:hAnsi="Times New Roman"/>
                <w:color w:val="000000"/>
                <w:sz w:val="20"/>
              </w:rPr>
              <w:t>5 – Titres structurés</w:t>
            </w:r>
          </w:p>
          <w:p w14:paraId="47452FF2" w14:textId="77777777" w:rsidR="0095672C" w:rsidRPr="00ED5F51" w:rsidRDefault="0095672C" w:rsidP="00950116">
            <w:pPr>
              <w:rPr>
                <w:rFonts w:ascii="Times New Roman" w:eastAsia="Times New Roman" w:hAnsi="Times New Roman" w:cs="Times New Roman"/>
                <w:color w:val="000000"/>
                <w:sz w:val="20"/>
                <w:szCs w:val="20"/>
              </w:rPr>
            </w:pPr>
            <w:r w:rsidRPr="00ED5F51">
              <w:rPr>
                <w:rFonts w:ascii="Times New Roman" w:hAnsi="Times New Roman"/>
                <w:color w:val="000000"/>
                <w:sz w:val="20"/>
              </w:rPr>
              <w:t>6 – Titres garantis</w:t>
            </w:r>
          </w:p>
          <w:p w14:paraId="444D32C7" w14:textId="77777777" w:rsidR="0095672C" w:rsidRPr="00ED5F51" w:rsidRDefault="0095672C" w:rsidP="00950116">
            <w:pPr>
              <w:rPr>
                <w:rFonts w:ascii="Times New Roman" w:eastAsia="Times New Roman" w:hAnsi="Times New Roman" w:cs="Times New Roman"/>
                <w:color w:val="000000"/>
                <w:sz w:val="20"/>
                <w:szCs w:val="20"/>
              </w:rPr>
            </w:pPr>
            <w:r w:rsidRPr="00ED5F51">
              <w:rPr>
                <w:rFonts w:ascii="Times New Roman" w:hAnsi="Times New Roman"/>
                <w:color w:val="000000"/>
                <w:sz w:val="20"/>
              </w:rPr>
              <w:t>7 – Trésorerie et dépôts</w:t>
            </w:r>
          </w:p>
          <w:p w14:paraId="60A1CA4B" w14:textId="77777777" w:rsidR="0095672C" w:rsidRPr="00ED5F51" w:rsidRDefault="0095672C" w:rsidP="00950116">
            <w:pPr>
              <w:rPr>
                <w:rFonts w:ascii="Times New Roman" w:eastAsia="Times New Roman" w:hAnsi="Times New Roman" w:cs="Times New Roman"/>
                <w:color w:val="000000"/>
                <w:sz w:val="20"/>
                <w:szCs w:val="20"/>
              </w:rPr>
            </w:pPr>
            <w:r w:rsidRPr="00ED5F51">
              <w:rPr>
                <w:rFonts w:ascii="Times New Roman" w:hAnsi="Times New Roman"/>
                <w:color w:val="000000"/>
                <w:sz w:val="20"/>
              </w:rPr>
              <w:t>8 – Prêts et prêts hypothécaires</w:t>
            </w:r>
          </w:p>
          <w:p w14:paraId="39DA7C75" w14:textId="77777777" w:rsidR="0095672C" w:rsidRPr="00ED5F51" w:rsidRDefault="0095672C" w:rsidP="00950116">
            <w:pPr>
              <w:rPr>
                <w:rFonts w:ascii="Times New Roman" w:eastAsia="Times New Roman" w:hAnsi="Times New Roman" w:cs="Times New Roman"/>
                <w:color w:val="000000"/>
                <w:sz w:val="20"/>
                <w:szCs w:val="20"/>
              </w:rPr>
            </w:pPr>
            <w:r w:rsidRPr="00ED5F51">
              <w:rPr>
                <w:rFonts w:ascii="Times New Roman" w:hAnsi="Times New Roman"/>
                <w:color w:val="000000"/>
                <w:sz w:val="20"/>
              </w:rPr>
              <w:t>9 – Immobilisations corporelles</w:t>
            </w:r>
          </w:p>
          <w:p w14:paraId="0DE56CD9" w14:textId="77777777" w:rsidR="0095672C" w:rsidRPr="00ED5F51" w:rsidRDefault="0095672C" w:rsidP="00950116">
            <w:pPr>
              <w:rPr>
                <w:rFonts w:ascii="Times New Roman" w:eastAsia="Times New Roman" w:hAnsi="Times New Roman" w:cs="Times New Roman"/>
                <w:color w:val="000000"/>
                <w:sz w:val="20"/>
                <w:szCs w:val="20"/>
              </w:rPr>
            </w:pPr>
            <w:r w:rsidRPr="00ED5F51">
              <w:rPr>
                <w:rFonts w:ascii="Times New Roman" w:hAnsi="Times New Roman"/>
                <w:color w:val="000000"/>
                <w:sz w:val="20"/>
              </w:rPr>
              <w:t>0 – Autres investissements</w:t>
            </w:r>
          </w:p>
          <w:p w14:paraId="358D7A3A" w14:textId="77777777" w:rsidR="0095672C" w:rsidRPr="00ED5F51" w:rsidRDefault="0095672C" w:rsidP="00950116">
            <w:pPr>
              <w:rPr>
                <w:rFonts w:ascii="Times New Roman" w:eastAsia="Times New Roman" w:hAnsi="Times New Roman" w:cs="Times New Roman"/>
                <w:color w:val="000000"/>
                <w:sz w:val="20"/>
                <w:szCs w:val="20"/>
              </w:rPr>
            </w:pPr>
            <w:r w:rsidRPr="00ED5F51">
              <w:rPr>
                <w:rFonts w:ascii="Times New Roman" w:hAnsi="Times New Roman"/>
                <w:color w:val="000000"/>
                <w:sz w:val="20"/>
              </w:rPr>
              <w:t>10 – Pas de garantie</w:t>
            </w:r>
          </w:p>
          <w:p w14:paraId="0F96E228" w14:textId="77777777" w:rsidR="0095672C" w:rsidRPr="00ED5F51" w:rsidRDefault="00FE79E2" w:rsidP="00950116">
            <w:pPr>
              <w:spacing w:after="200" w:line="276" w:lineRule="auto"/>
              <w:rPr>
                <w:rFonts w:ascii="Times New Roman" w:hAnsi="Times New Roman" w:cs="Times New Roman"/>
                <w:sz w:val="20"/>
                <w:szCs w:val="20"/>
              </w:rPr>
            </w:pPr>
            <w:r w:rsidRPr="00ED5F51">
              <w:rPr>
                <w:rFonts w:ascii="Times New Roman" w:hAnsi="Times New Roman" w:cs="Times New Roman"/>
                <w:sz w:val="20"/>
                <w:szCs w:val="20"/>
              </w:rPr>
              <w:br/>
            </w:r>
            <w:r w:rsidR="0095672C" w:rsidRPr="00ED5F51">
              <w:rPr>
                <w:rFonts w:ascii="Times New Roman" w:hAnsi="Times New Roman"/>
                <w:sz w:val="20"/>
              </w:rPr>
              <w:t>Lorsqu’il y a plus d’une catégorie de garanties pour un seul produit structuré, déclarer la plus représentative.</w:t>
            </w:r>
          </w:p>
        </w:tc>
      </w:tr>
      <w:tr w:rsidR="0095672C" w:rsidRPr="00ED5F51" w14:paraId="4BEADE1F" w14:textId="77777777" w:rsidTr="00950116">
        <w:trPr>
          <w:trHeight w:val="629"/>
        </w:trPr>
        <w:tc>
          <w:tcPr>
            <w:tcW w:w="1353" w:type="dxa"/>
            <w:hideMark/>
          </w:tcPr>
          <w:p w14:paraId="7A77F929" w14:textId="3768EF17" w:rsidR="0095672C" w:rsidRPr="00ED5F51" w:rsidRDefault="0095672C" w:rsidP="00A302B1">
            <w:pPr>
              <w:pStyle w:val="Sansinterligne"/>
              <w:rPr>
                <w:rFonts w:ascii="Times New Roman" w:hAnsi="Times New Roman" w:cs="Times New Roman"/>
                <w:sz w:val="20"/>
                <w:szCs w:val="20"/>
              </w:rPr>
            </w:pPr>
            <w:r w:rsidRPr="00ED5F51">
              <w:rPr>
                <w:rFonts w:ascii="Times New Roman" w:hAnsi="Times New Roman"/>
                <w:sz w:val="20"/>
              </w:rPr>
              <w:t>C00</w:t>
            </w:r>
            <w:r w:rsidR="00A302B1" w:rsidRPr="00ED5F51">
              <w:rPr>
                <w:rFonts w:ascii="Times New Roman" w:hAnsi="Times New Roman"/>
                <w:sz w:val="20"/>
              </w:rPr>
              <w:t>4</w:t>
            </w:r>
            <w:r w:rsidRPr="00ED5F51">
              <w:rPr>
                <w:rFonts w:ascii="Times New Roman" w:hAnsi="Times New Roman"/>
                <w:sz w:val="20"/>
              </w:rPr>
              <w:t>0</w:t>
            </w:r>
          </w:p>
        </w:tc>
        <w:tc>
          <w:tcPr>
            <w:tcW w:w="2148" w:type="dxa"/>
            <w:hideMark/>
          </w:tcPr>
          <w:p w14:paraId="679E8258"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Type de produit structuré</w:t>
            </w:r>
          </w:p>
        </w:tc>
        <w:tc>
          <w:tcPr>
            <w:tcW w:w="5741" w:type="dxa"/>
            <w:hideMark/>
          </w:tcPr>
          <w:p w14:paraId="46FB4BE6"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Indiquer le type de structure du produit. Choisir impérativement l’une des options suivantes:</w:t>
            </w:r>
            <w:r w:rsidR="00FE79E2" w:rsidRPr="00ED5F51">
              <w:rPr>
                <w:rFonts w:ascii="Times New Roman" w:hAnsi="Times New Roman" w:cs="Times New Roman"/>
                <w:sz w:val="20"/>
                <w:szCs w:val="20"/>
              </w:rPr>
              <w:br/>
            </w:r>
            <w:r w:rsidRPr="00ED5F51">
              <w:rPr>
                <w:rFonts w:ascii="Times New Roman" w:hAnsi="Times New Roman"/>
                <w:sz w:val="20"/>
              </w:rPr>
              <w:t xml:space="preserve">1 – Titres indexés sur un risque de crédit </w:t>
            </w:r>
            <w:r w:rsidRPr="00ED5F51">
              <w:rPr>
                <w:rFonts w:ascii="Times New Roman" w:hAnsi="Times New Roman"/>
                <w:i/>
                <w:sz w:val="20"/>
              </w:rPr>
              <w:t>(credit linked notes)</w:t>
            </w:r>
          </w:p>
          <w:p w14:paraId="319B9FE8"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 xml:space="preserve">Titres ou dépôts incorporant un dérivé de crédit (par exemple, swaps sur risque de crédit ou options sur risque de défaut) </w:t>
            </w:r>
          </w:p>
          <w:p w14:paraId="3A524998"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2 – Swaps de maturité constante (CMS)</w:t>
            </w:r>
          </w:p>
          <w:p w14:paraId="01DE1C8C"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 xml:space="preserve">Titres incorporant un swap de taux d’intérêt (IRS) dans lequel la portion de taux flottant est refixée périodiquement selon un taux de marché à échéance fixe </w:t>
            </w:r>
            <w:r w:rsidR="00FE79E2" w:rsidRPr="00ED5F51">
              <w:rPr>
                <w:rFonts w:ascii="Times New Roman" w:hAnsi="Times New Roman" w:cs="Times New Roman"/>
                <w:sz w:val="20"/>
                <w:szCs w:val="20"/>
              </w:rPr>
              <w:br/>
            </w:r>
            <w:r w:rsidRPr="00ED5F51">
              <w:rPr>
                <w:rFonts w:ascii="Times New Roman" w:hAnsi="Times New Roman"/>
                <w:sz w:val="20"/>
              </w:rPr>
              <w:t>3 – Titres adossés à un actif (ABS)</w:t>
            </w:r>
          </w:p>
          <w:p w14:paraId="40F9CF8C"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Titres garantis par un actif</w:t>
            </w:r>
            <w:r w:rsidR="00FE79E2" w:rsidRPr="00ED5F51">
              <w:rPr>
                <w:rFonts w:ascii="Times New Roman" w:hAnsi="Times New Roman" w:cs="Times New Roman"/>
                <w:sz w:val="20"/>
                <w:szCs w:val="20"/>
              </w:rPr>
              <w:br/>
            </w:r>
            <w:r w:rsidRPr="00ED5F51">
              <w:rPr>
                <w:rFonts w:ascii="Times New Roman" w:hAnsi="Times New Roman"/>
                <w:sz w:val="20"/>
              </w:rPr>
              <w:t>4 – Titres adossés à des créances hypothécaires (MBS)</w:t>
            </w:r>
          </w:p>
          <w:p w14:paraId="4A9BF98A"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Titres garantis par un bien immobilier</w:t>
            </w:r>
            <w:r w:rsidR="00FE79E2" w:rsidRPr="00ED5F51">
              <w:rPr>
                <w:rFonts w:ascii="Times New Roman" w:hAnsi="Times New Roman" w:cs="Times New Roman"/>
                <w:sz w:val="20"/>
                <w:szCs w:val="20"/>
              </w:rPr>
              <w:br/>
            </w:r>
            <w:r w:rsidRPr="00ED5F51">
              <w:rPr>
                <w:rFonts w:ascii="Times New Roman" w:hAnsi="Times New Roman"/>
                <w:sz w:val="20"/>
              </w:rPr>
              <w:t>5 – Titres adossés à des créances hypothécaires commerciales (CMBS)</w:t>
            </w:r>
          </w:p>
          <w:p w14:paraId="5CC0FF25"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Titres garantis par un bien immobilier tel que commerce de détail, immeuble de bureau, immeuble industriel, logement collectif ou hôtel</w:t>
            </w:r>
            <w:r w:rsidR="00FE79E2" w:rsidRPr="00ED5F51">
              <w:rPr>
                <w:rFonts w:ascii="Times New Roman" w:hAnsi="Times New Roman" w:cs="Times New Roman"/>
                <w:sz w:val="20"/>
                <w:szCs w:val="20"/>
              </w:rPr>
              <w:br/>
            </w:r>
            <w:r w:rsidRPr="00ED5F51">
              <w:rPr>
                <w:rFonts w:ascii="Times New Roman" w:hAnsi="Times New Roman"/>
                <w:sz w:val="20"/>
              </w:rPr>
              <w:t>6 – Obligations structurées adossées à des créances (CDO)</w:t>
            </w:r>
          </w:p>
          <w:p w14:paraId="73090A60"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 xml:space="preserve">Titres de créance structurés adossés à un portefeuille constitué d’obligations garanties ou non garanties émises par des entreprises ou des emprunteurs souverains, ou de prêts garantis ou </w:t>
            </w:r>
            <w:r w:rsidRPr="00ED5F51">
              <w:rPr>
                <w:rFonts w:ascii="Times New Roman" w:hAnsi="Times New Roman"/>
                <w:sz w:val="20"/>
              </w:rPr>
              <w:lastRenderedPageBreak/>
              <w:t>non garantis accordés à des sociétés commerciales ou industrielles clientes des banques prêteuses</w:t>
            </w:r>
          </w:p>
          <w:p w14:paraId="3CE00035"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7 – Obligations structurées adossées à des créances (CDO)</w:t>
            </w:r>
          </w:p>
          <w:p w14:paraId="7874CA7E"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 xml:space="preserve">Titres ayant pour sous-jacent un portefeuille de prêts et dont les flux de trésorerie qu’ils génèrent découlent de ce portefeuille </w:t>
            </w:r>
            <w:r w:rsidR="00FE79E2" w:rsidRPr="00ED5F51">
              <w:rPr>
                <w:rFonts w:ascii="Times New Roman" w:hAnsi="Times New Roman" w:cs="Times New Roman"/>
                <w:sz w:val="20"/>
                <w:szCs w:val="20"/>
              </w:rPr>
              <w:br/>
            </w:r>
            <w:r w:rsidRPr="00ED5F51">
              <w:rPr>
                <w:rFonts w:ascii="Times New Roman" w:hAnsi="Times New Roman"/>
                <w:sz w:val="20"/>
              </w:rPr>
              <w:t>8 – Obligations structurées adossées à créances hypothécaires (CMO)</w:t>
            </w:r>
          </w:p>
          <w:p w14:paraId="33892A6D"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 xml:space="preserve">Titres de catégorie investissement, adossés à un panier d’obligations, de prêts et d’autres actifs </w:t>
            </w:r>
            <w:r w:rsidR="00FE79E2" w:rsidRPr="00ED5F51">
              <w:rPr>
                <w:rFonts w:ascii="Times New Roman" w:hAnsi="Times New Roman" w:cs="Times New Roman"/>
                <w:sz w:val="20"/>
                <w:szCs w:val="20"/>
              </w:rPr>
              <w:br/>
            </w:r>
            <w:r w:rsidRPr="00ED5F51">
              <w:rPr>
                <w:rFonts w:ascii="Times New Roman" w:hAnsi="Times New Roman"/>
                <w:sz w:val="20"/>
              </w:rPr>
              <w:t xml:space="preserve">9 – Titres et dépôts structurés à remboursement lié à un taux d’intérêt </w:t>
            </w:r>
            <w:r w:rsidRPr="00ED5F51">
              <w:rPr>
                <w:rFonts w:ascii="Times New Roman" w:hAnsi="Times New Roman"/>
                <w:i/>
                <w:sz w:val="20"/>
              </w:rPr>
              <w:t>(interest rate-linked notes and deposits)</w:t>
            </w:r>
            <w:r w:rsidR="00FE79E2" w:rsidRPr="00ED5F51">
              <w:rPr>
                <w:rFonts w:ascii="Times New Roman" w:hAnsi="Times New Roman" w:cs="Times New Roman"/>
                <w:sz w:val="20"/>
                <w:szCs w:val="20"/>
              </w:rPr>
              <w:br/>
            </w:r>
            <w:r w:rsidRPr="00ED5F51">
              <w:rPr>
                <w:rFonts w:ascii="Times New Roman" w:hAnsi="Times New Roman"/>
                <w:sz w:val="20"/>
              </w:rPr>
              <w:t xml:space="preserve">10 – Titres et dépôts structurés à remboursement lié à des actions ou à un indice boursier </w:t>
            </w:r>
            <w:r w:rsidRPr="00ED5F51">
              <w:rPr>
                <w:rFonts w:ascii="Times New Roman" w:hAnsi="Times New Roman"/>
                <w:i/>
                <w:sz w:val="20"/>
              </w:rPr>
              <w:t>(equity-linked and Equity Index Linked notes and deposits)</w:t>
            </w:r>
            <w:r w:rsidR="00FE79E2" w:rsidRPr="00ED5F51">
              <w:rPr>
                <w:rFonts w:ascii="Times New Roman" w:hAnsi="Times New Roman" w:cs="Times New Roman"/>
                <w:sz w:val="20"/>
                <w:szCs w:val="20"/>
              </w:rPr>
              <w:br/>
            </w:r>
            <w:r w:rsidRPr="00ED5F51">
              <w:rPr>
                <w:rFonts w:ascii="Times New Roman" w:hAnsi="Times New Roman"/>
                <w:sz w:val="20"/>
              </w:rPr>
              <w:t xml:space="preserve">11 – Titres et dépôts structurés à remboursement lié à un taux de change ou indexé sur une marchandise </w:t>
            </w:r>
            <w:r w:rsidRPr="00ED5F51">
              <w:rPr>
                <w:rFonts w:ascii="Times New Roman" w:hAnsi="Times New Roman"/>
                <w:i/>
                <w:sz w:val="20"/>
              </w:rPr>
              <w:t>(FX and commodity-linked notes and deposits)</w:t>
            </w:r>
            <w:r w:rsidR="00FE79E2" w:rsidRPr="00ED5F51">
              <w:rPr>
                <w:rFonts w:ascii="Times New Roman" w:hAnsi="Times New Roman" w:cs="Times New Roman"/>
                <w:sz w:val="20"/>
                <w:szCs w:val="20"/>
              </w:rPr>
              <w:br/>
            </w:r>
            <w:r w:rsidRPr="00ED5F51">
              <w:rPr>
                <w:rFonts w:ascii="Times New Roman" w:hAnsi="Times New Roman"/>
                <w:sz w:val="20"/>
              </w:rPr>
              <w:t xml:space="preserve">12 – Titres et dépôts structurés hybrides </w:t>
            </w:r>
            <w:r w:rsidRPr="00ED5F51">
              <w:rPr>
                <w:rFonts w:ascii="Times New Roman" w:hAnsi="Times New Roman"/>
                <w:i/>
                <w:sz w:val="20"/>
              </w:rPr>
              <w:t>(hybrid linked notes and deposits)</w:t>
            </w:r>
            <w:r w:rsidRPr="00ED5F51">
              <w:rPr>
                <w:rFonts w:ascii="Times New Roman" w:hAnsi="Times New Roman"/>
                <w:sz w:val="20"/>
              </w:rPr>
              <w:t xml:space="preserve"> </w:t>
            </w:r>
          </w:p>
          <w:p w14:paraId="302D6BBE"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Incluent les titres structurés à remboursement lié à des biens immobilier ou à des actions</w:t>
            </w:r>
            <w:r w:rsidR="00FE79E2" w:rsidRPr="00ED5F51">
              <w:rPr>
                <w:rFonts w:ascii="Times New Roman" w:hAnsi="Times New Roman" w:cs="Times New Roman"/>
                <w:sz w:val="20"/>
                <w:szCs w:val="20"/>
              </w:rPr>
              <w:br/>
            </w:r>
            <w:r w:rsidRPr="00ED5F51">
              <w:rPr>
                <w:rFonts w:ascii="Times New Roman" w:hAnsi="Times New Roman"/>
                <w:sz w:val="20"/>
              </w:rPr>
              <w:t xml:space="preserve">13 – Titres et dépôts structurés liés au marché </w:t>
            </w:r>
            <w:r w:rsidRPr="00ED5F51">
              <w:rPr>
                <w:rFonts w:ascii="Times New Roman" w:hAnsi="Times New Roman"/>
                <w:i/>
                <w:sz w:val="20"/>
              </w:rPr>
              <w:t>(market-linked notes and deposits)</w:t>
            </w:r>
          </w:p>
          <w:p w14:paraId="598B3130" w14:textId="77777777" w:rsidR="0095672C" w:rsidRPr="00ED5F51" w:rsidRDefault="0095672C" w:rsidP="00950116">
            <w:pPr>
              <w:spacing w:after="200" w:line="276" w:lineRule="auto"/>
              <w:rPr>
                <w:rFonts w:ascii="Times New Roman" w:hAnsi="Times New Roman" w:cs="Times New Roman"/>
                <w:sz w:val="20"/>
                <w:szCs w:val="20"/>
              </w:rPr>
            </w:pPr>
            <w:r w:rsidRPr="00ED5F51">
              <w:rPr>
                <w:rFonts w:ascii="Times New Roman" w:hAnsi="Times New Roman"/>
                <w:sz w:val="20"/>
              </w:rPr>
              <w:t xml:space="preserve">14 – Titres et produits structurés à remboursement lié à des assurances </w:t>
            </w:r>
            <w:r w:rsidRPr="00ED5F51">
              <w:rPr>
                <w:rFonts w:ascii="Times New Roman" w:hAnsi="Times New Roman"/>
                <w:i/>
                <w:sz w:val="20"/>
              </w:rPr>
              <w:t>(Insurance-linked notes and deposits)</w:t>
            </w:r>
            <w:r w:rsidRPr="00ED5F51">
              <w:rPr>
                <w:rFonts w:ascii="Times New Roman" w:hAnsi="Times New Roman"/>
                <w:sz w:val="20"/>
              </w:rPr>
              <w:t>, y compris titres couvrant le risque catastrophe et climat et le risque de mortalité</w:t>
            </w:r>
            <w:r w:rsidR="00FE79E2" w:rsidRPr="00ED5F51">
              <w:rPr>
                <w:rFonts w:ascii="Times New Roman" w:hAnsi="Times New Roman" w:cs="Times New Roman"/>
                <w:sz w:val="20"/>
                <w:szCs w:val="20"/>
              </w:rPr>
              <w:br/>
            </w:r>
            <w:r w:rsidRPr="00ED5F51">
              <w:rPr>
                <w:rFonts w:ascii="Times New Roman" w:hAnsi="Times New Roman"/>
                <w:sz w:val="20"/>
              </w:rPr>
              <w:t>99 – Autres produits structurés non couverts par les options précédentes</w:t>
            </w:r>
          </w:p>
        </w:tc>
      </w:tr>
      <w:tr w:rsidR="0095672C" w:rsidRPr="00ED5F51" w14:paraId="3304B570" w14:textId="77777777" w:rsidTr="00950116">
        <w:trPr>
          <w:trHeight w:val="1530"/>
        </w:trPr>
        <w:tc>
          <w:tcPr>
            <w:tcW w:w="1353" w:type="dxa"/>
            <w:hideMark/>
          </w:tcPr>
          <w:p w14:paraId="0C582362" w14:textId="3D66BFA5" w:rsidR="0095672C" w:rsidRPr="00ED5F51" w:rsidRDefault="0095672C" w:rsidP="00A302B1">
            <w:pPr>
              <w:pStyle w:val="Sansinterligne"/>
              <w:rPr>
                <w:rFonts w:ascii="Times New Roman" w:hAnsi="Times New Roman" w:cs="Times New Roman"/>
                <w:sz w:val="20"/>
                <w:szCs w:val="20"/>
              </w:rPr>
            </w:pPr>
            <w:r w:rsidRPr="00ED5F51">
              <w:rPr>
                <w:rFonts w:ascii="Times New Roman" w:hAnsi="Times New Roman"/>
                <w:sz w:val="20"/>
              </w:rPr>
              <w:lastRenderedPageBreak/>
              <w:t>C00</w:t>
            </w:r>
            <w:r w:rsidR="00A302B1" w:rsidRPr="00ED5F51">
              <w:rPr>
                <w:rFonts w:ascii="Times New Roman" w:hAnsi="Times New Roman"/>
                <w:sz w:val="20"/>
              </w:rPr>
              <w:t>5</w:t>
            </w:r>
            <w:r w:rsidRPr="00ED5F51">
              <w:rPr>
                <w:rFonts w:ascii="Times New Roman" w:hAnsi="Times New Roman"/>
                <w:sz w:val="20"/>
              </w:rPr>
              <w:t>0</w:t>
            </w:r>
          </w:p>
        </w:tc>
        <w:tc>
          <w:tcPr>
            <w:tcW w:w="2148" w:type="dxa"/>
            <w:hideMark/>
          </w:tcPr>
          <w:p w14:paraId="2C520B18"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Protection du capital</w:t>
            </w:r>
          </w:p>
        </w:tc>
        <w:tc>
          <w:tcPr>
            <w:tcW w:w="5741" w:type="dxa"/>
            <w:hideMark/>
          </w:tcPr>
          <w:p w14:paraId="62805CCD"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Indiquer si le produit est à capital protégé. Choisir impérativement l’une des options suivantes:</w:t>
            </w:r>
            <w:r w:rsidR="00FE79E2" w:rsidRPr="00ED5F51">
              <w:rPr>
                <w:rFonts w:ascii="Times New Roman" w:hAnsi="Times New Roman" w:cs="Times New Roman"/>
                <w:sz w:val="20"/>
                <w:szCs w:val="20"/>
              </w:rPr>
              <w:br/>
            </w:r>
            <w:r w:rsidRPr="00ED5F51">
              <w:rPr>
                <w:rFonts w:ascii="Times New Roman" w:hAnsi="Times New Roman"/>
                <w:sz w:val="20"/>
              </w:rPr>
              <w:t>1 – Protection intégrale du capital</w:t>
            </w:r>
            <w:r w:rsidR="00FE79E2" w:rsidRPr="00ED5F51">
              <w:rPr>
                <w:rFonts w:ascii="Times New Roman" w:hAnsi="Times New Roman" w:cs="Times New Roman"/>
                <w:sz w:val="20"/>
                <w:szCs w:val="20"/>
              </w:rPr>
              <w:br/>
            </w:r>
            <w:r w:rsidRPr="00ED5F51">
              <w:rPr>
                <w:rFonts w:ascii="Times New Roman" w:hAnsi="Times New Roman"/>
                <w:sz w:val="20"/>
              </w:rPr>
              <w:t>2 – Protection partielle du capital</w:t>
            </w:r>
          </w:p>
          <w:p w14:paraId="71751071" w14:textId="77777777" w:rsidR="0095672C" w:rsidRPr="00ED5F51" w:rsidRDefault="0095672C" w:rsidP="00950116">
            <w:pPr>
              <w:spacing w:after="200" w:line="276" w:lineRule="auto"/>
              <w:rPr>
                <w:rFonts w:ascii="Times New Roman" w:hAnsi="Times New Roman" w:cs="Times New Roman"/>
                <w:sz w:val="20"/>
                <w:szCs w:val="20"/>
              </w:rPr>
            </w:pPr>
            <w:r w:rsidRPr="00ED5F51">
              <w:rPr>
                <w:rFonts w:ascii="Times New Roman" w:hAnsi="Times New Roman"/>
                <w:sz w:val="20"/>
              </w:rPr>
              <w:t>3 – Pas de protection du capital</w:t>
            </w:r>
          </w:p>
        </w:tc>
      </w:tr>
      <w:tr w:rsidR="0095672C" w:rsidRPr="00ED5F51" w14:paraId="08116350" w14:textId="77777777" w:rsidTr="00950116">
        <w:trPr>
          <w:trHeight w:val="488"/>
        </w:trPr>
        <w:tc>
          <w:tcPr>
            <w:tcW w:w="1353" w:type="dxa"/>
            <w:hideMark/>
          </w:tcPr>
          <w:p w14:paraId="56B1633A" w14:textId="40CF0EF3" w:rsidR="0095672C" w:rsidRPr="00ED5F51" w:rsidRDefault="0095672C" w:rsidP="00A302B1">
            <w:pPr>
              <w:pStyle w:val="Sansinterligne"/>
              <w:rPr>
                <w:rFonts w:ascii="Times New Roman" w:hAnsi="Times New Roman" w:cs="Times New Roman"/>
                <w:sz w:val="20"/>
                <w:szCs w:val="20"/>
              </w:rPr>
            </w:pPr>
            <w:r w:rsidRPr="00ED5F51">
              <w:rPr>
                <w:rFonts w:ascii="Times New Roman" w:hAnsi="Times New Roman"/>
                <w:sz w:val="20"/>
              </w:rPr>
              <w:t>C00</w:t>
            </w:r>
            <w:r w:rsidR="00A302B1" w:rsidRPr="00ED5F51">
              <w:rPr>
                <w:rFonts w:ascii="Times New Roman" w:hAnsi="Times New Roman"/>
                <w:sz w:val="20"/>
              </w:rPr>
              <w:t>6</w:t>
            </w:r>
            <w:r w:rsidRPr="00ED5F51">
              <w:rPr>
                <w:rFonts w:ascii="Times New Roman" w:hAnsi="Times New Roman"/>
                <w:sz w:val="20"/>
              </w:rPr>
              <w:t>0</w:t>
            </w:r>
          </w:p>
        </w:tc>
        <w:tc>
          <w:tcPr>
            <w:tcW w:w="2148" w:type="dxa"/>
            <w:hideMark/>
          </w:tcPr>
          <w:p w14:paraId="6E38843B"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Titre/indice/portefeuille sous-jacent</w:t>
            </w:r>
          </w:p>
        </w:tc>
        <w:tc>
          <w:tcPr>
            <w:tcW w:w="5741" w:type="dxa"/>
            <w:hideMark/>
          </w:tcPr>
          <w:p w14:paraId="0935B550"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 xml:space="preserve">Décrire le type de sous-jacent. Choisir impérativement l’une des options suivantes: </w:t>
            </w:r>
            <w:r w:rsidR="00FE79E2" w:rsidRPr="00ED5F51">
              <w:rPr>
                <w:rFonts w:ascii="Times New Roman" w:hAnsi="Times New Roman" w:cs="Times New Roman"/>
                <w:sz w:val="20"/>
                <w:szCs w:val="20"/>
              </w:rPr>
              <w:br/>
            </w:r>
            <w:r w:rsidRPr="00ED5F51">
              <w:rPr>
                <w:rFonts w:ascii="Times New Roman" w:hAnsi="Times New Roman"/>
                <w:sz w:val="20"/>
              </w:rPr>
              <w:t>1 – Actions et fonds (un groupe ou un panier donné d’actions)</w:t>
            </w:r>
            <w:r w:rsidR="00FE79E2" w:rsidRPr="00ED5F51">
              <w:rPr>
                <w:rFonts w:ascii="Times New Roman" w:hAnsi="Times New Roman" w:cs="Times New Roman"/>
                <w:sz w:val="20"/>
                <w:szCs w:val="20"/>
              </w:rPr>
              <w:br/>
            </w:r>
            <w:r w:rsidRPr="00ED5F51">
              <w:rPr>
                <w:rFonts w:ascii="Times New Roman" w:hAnsi="Times New Roman"/>
                <w:sz w:val="20"/>
              </w:rPr>
              <w:t>2 – Monnaie (un groupe ou un panier donné de monnaies)</w:t>
            </w:r>
            <w:r w:rsidR="00FE79E2" w:rsidRPr="00ED5F51">
              <w:rPr>
                <w:rFonts w:ascii="Times New Roman" w:hAnsi="Times New Roman" w:cs="Times New Roman"/>
                <w:sz w:val="20"/>
                <w:szCs w:val="20"/>
              </w:rPr>
              <w:br/>
            </w:r>
            <w:r w:rsidRPr="00ED5F51">
              <w:rPr>
                <w:rFonts w:ascii="Times New Roman" w:hAnsi="Times New Roman"/>
                <w:sz w:val="20"/>
              </w:rPr>
              <w:t>3 – Taux d’intérêt et rendements (indices obligataires, courbes de rendement, différences entre les taux d’intérêt sur les échéances à court et à long terme, écarts de crédit, taux d’inflation, et autres référentiels de taux d’intérêt ou de rendement)</w:t>
            </w:r>
            <w:r w:rsidR="00FE79E2" w:rsidRPr="00ED5F51">
              <w:rPr>
                <w:rFonts w:ascii="Times New Roman" w:hAnsi="Times New Roman" w:cs="Times New Roman"/>
                <w:sz w:val="20"/>
                <w:szCs w:val="20"/>
              </w:rPr>
              <w:br/>
            </w:r>
            <w:r w:rsidRPr="00ED5F51">
              <w:rPr>
                <w:rFonts w:ascii="Times New Roman" w:hAnsi="Times New Roman"/>
                <w:sz w:val="20"/>
              </w:rPr>
              <w:t>4 – Produits de base (un produit de base ou un groupe de produits de base donné)</w:t>
            </w:r>
            <w:r w:rsidR="00FE79E2" w:rsidRPr="00ED5F51">
              <w:rPr>
                <w:rFonts w:ascii="Times New Roman" w:hAnsi="Times New Roman" w:cs="Times New Roman"/>
                <w:sz w:val="20"/>
                <w:szCs w:val="20"/>
              </w:rPr>
              <w:br/>
            </w:r>
            <w:r w:rsidRPr="00ED5F51">
              <w:rPr>
                <w:rFonts w:ascii="Times New Roman" w:hAnsi="Times New Roman"/>
                <w:sz w:val="20"/>
              </w:rPr>
              <w:t>5 – Indice (performance d’un indice donné)</w:t>
            </w:r>
            <w:r w:rsidR="00FE79E2" w:rsidRPr="00ED5F51">
              <w:rPr>
                <w:rFonts w:ascii="Times New Roman" w:hAnsi="Times New Roman" w:cs="Times New Roman"/>
                <w:sz w:val="20"/>
                <w:szCs w:val="20"/>
              </w:rPr>
              <w:br/>
            </w:r>
            <w:r w:rsidRPr="00ED5F51">
              <w:rPr>
                <w:rFonts w:ascii="Times New Roman" w:hAnsi="Times New Roman"/>
                <w:sz w:val="20"/>
              </w:rPr>
              <w:t xml:space="preserve">6 – Multi (combinaison de types de sous-jacents possibles énumérés ci-dessus) </w:t>
            </w:r>
          </w:p>
          <w:p w14:paraId="6C796480" w14:textId="77777777" w:rsidR="0095672C" w:rsidRPr="00ED5F51" w:rsidRDefault="0095672C" w:rsidP="0044578D">
            <w:pPr>
              <w:spacing w:line="276" w:lineRule="auto"/>
              <w:rPr>
                <w:rFonts w:ascii="Times New Roman" w:hAnsi="Times New Roman" w:cs="Times New Roman"/>
                <w:sz w:val="20"/>
                <w:szCs w:val="20"/>
              </w:rPr>
            </w:pPr>
            <w:r w:rsidRPr="00ED5F51">
              <w:rPr>
                <w:rFonts w:ascii="Times New Roman" w:hAnsi="Times New Roman"/>
                <w:sz w:val="20"/>
              </w:rPr>
              <w:t>9 – Autre sous-jacent non couvert par les options précédentes (par exemple, autres indicateurs économiques)</w:t>
            </w:r>
          </w:p>
        </w:tc>
      </w:tr>
      <w:tr w:rsidR="0095672C" w:rsidRPr="00ED5F51" w14:paraId="3E104B43" w14:textId="77777777" w:rsidTr="00950116">
        <w:trPr>
          <w:trHeight w:val="1470"/>
        </w:trPr>
        <w:tc>
          <w:tcPr>
            <w:tcW w:w="1353" w:type="dxa"/>
            <w:hideMark/>
          </w:tcPr>
          <w:p w14:paraId="1E1B9B41" w14:textId="07CD1D1D" w:rsidR="0095672C" w:rsidRPr="00ED5F51" w:rsidRDefault="0095672C" w:rsidP="00950116">
            <w:pPr>
              <w:pStyle w:val="Sansinterligne"/>
              <w:rPr>
                <w:rFonts w:ascii="Times New Roman" w:hAnsi="Times New Roman" w:cs="Times New Roman"/>
                <w:sz w:val="20"/>
                <w:szCs w:val="20"/>
              </w:rPr>
            </w:pPr>
            <w:r w:rsidRPr="00ED5F51">
              <w:rPr>
                <w:rFonts w:ascii="Times New Roman" w:hAnsi="Times New Roman"/>
                <w:sz w:val="20"/>
              </w:rPr>
              <w:lastRenderedPageBreak/>
              <w:t>C</w:t>
            </w:r>
            <w:r w:rsidR="00A302B1" w:rsidRPr="00ED5F51">
              <w:rPr>
                <w:rFonts w:ascii="Times New Roman" w:hAnsi="Times New Roman"/>
                <w:sz w:val="20"/>
              </w:rPr>
              <w:t>0</w:t>
            </w:r>
            <w:r w:rsidRPr="00ED5F51">
              <w:rPr>
                <w:rFonts w:ascii="Times New Roman" w:hAnsi="Times New Roman"/>
                <w:sz w:val="20"/>
              </w:rPr>
              <w:t>0</w:t>
            </w:r>
            <w:r w:rsidR="00A302B1" w:rsidRPr="00ED5F51">
              <w:rPr>
                <w:rFonts w:ascii="Times New Roman" w:hAnsi="Times New Roman"/>
                <w:sz w:val="20"/>
              </w:rPr>
              <w:t>7</w:t>
            </w:r>
            <w:r w:rsidRPr="00ED5F51">
              <w:rPr>
                <w:rFonts w:ascii="Times New Roman" w:hAnsi="Times New Roman"/>
                <w:sz w:val="20"/>
              </w:rPr>
              <w:t>0</w:t>
            </w:r>
          </w:p>
        </w:tc>
        <w:tc>
          <w:tcPr>
            <w:tcW w:w="2148" w:type="dxa"/>
            <w:hideMark/>
          </w:tcPr>
          <w:p w14:paraId="241FC004"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Option d’achat ou de vente</w:t>
            </w:r>
          </w:p>
        </w:tc>
        <w:tc>
          <w:tcPr>
            <w:tcW w:w="5741" w:type="dxa"/>
            <w:hideMark/>
          </w:tcPr>
          <w:p w14:paraId="71162427"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Indiquer si le produit est assorti d’une option d’achat ou de vente ou des deux, s’il y a lieu. Choisir impérativement l’une des options suivantes:</w:t>
            </w:r>
            <w:r w:rsidR="00FE79E2" w:rsidRPr="00ED5F51">
              <w:rPr>
                <w:rFonts w:ascii="Times New Roman" w:hAnsi="Times New Roman" w:cs="Times New Roman"/>
                <w:sz w:val="20"/>
                <w:szCs w:val="20"/>
              </w:rPr>
              <w:br/>
            </w:r>
            <w:r w:rsidRPr="00ED5F51">
              <w:rPr>
                <w:rFonts w:ascii="Times New Roman" w:hAnsi="Times New Roman"/>
                <w:sz w:val="20"/>
              </w:rPr>
              <w:t>1 – Option d’achat par l’acheteur</w:t>
            </w:r>
          </w:p>
          <w:p w14:paraId="7975F00A"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2 – Option d’achat par le vendeur</w:t>
            </w:r>
          </w:p>
          <w:p w14:paraId="3C86A3D9"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3 – Option de vente par l’acheteur</w:t>
            </w:r>
            <w:r w:rsidR="00FE79E2" w:rsidRPr="00ED5F51">
              <w:rPr>
                <w:rFonts w:ascii="Times New Roman" w:hAnsi="Times New Roman" w:cs="Times New Roman"/>
                <w:sz w:val="20"/>
                <w:szCs w:val="20"/>
              </w:rPr>
              <w:br/>
            </w:r>
            <w:r w:rsidRPr="00ED5F51">
              <w:rPr>
                <w:rFonts w:ascii="Times New Roman" w:hAnsi="Times New Roman"/>
                <w:sz w:val="20"/>
              </w:rPr>
              <w:t>4 – Option de vente par le vendeur</w:t>
            </w:r>
          </w:p>
          <w:p w14:paraId="14488B2F" w14:textId="77777777" w:rsidR="0095672C" w:rsidRPr="00ED5F51" w:rsidRDefault="0095672C" w:rsidP="0044578D">
            <w:pPr>
              <w:spacing w:line="276" w:lineRule="auto"/>
              <w:rPr>
                <w:rFonts w:ascii="Times New Roman" w:hAnsi="Times New Roman" w:cs="Times New Roman"/>
                <w:sz w:val="20"/>
                <w:szCs w:val="20"/>
              </w:rPr>
            </w:pPr>
            <w:r w:rsidRPr="00ED5F51">
              <w:rPr>
                <w:rFonts w:ascii="Times New Roman" w:hAnsi="Times New Roman"/>
                <w:sz w:val="20"/>
              </w:rPr>
              <w:t>5 – Toute combinaison des options précédentes</w:t>
            </w:r>
          </w:p>
        </w:tc>
      </w:tr>
      <w:tr w:rsidR="0095672C" w:rsidRPr="00ED5F51" w14:paraId="41743E56" w14:textId="77777777" w:rsidTr="00950116">
        <w:trPr>
          <w:trHeight w:val="1245"/>
        </w:trPr>
        <w:tc>
          <w:tcPr>
            <w:tcW w:w="1353" w:type="dxa"/>
            <w:hideMark/>
          </w:tcPr>
          <w:p w14:paraId="1224243B" w14:textId="3788B09F" w:rsidR="0095672C" w:rsidRPr="00ED5F51" w:rsidRDefault="0095672C" w:rsidP="00A302B1">
            <w:pPr>
              <w:pStyle w:val="Sansinterligne"/>
              <w:rPr>
                <w:rFonts w:ascii="Times New Roman" w:hAnsi="Times New Roman" w:cs="Times New Roman"/>
                <w:sz w:val="20"/>
                <w:szCs w:val="20"/>
              </w:rPr>
            </w:pPr>
            <w:r w:rsidRPr="00ED5F51">
              <w:rPr>
                <w:rFonts w:ascii="Times New Roman" w:hAnsi="Times New Roman"/>
                <w:sz w:val="20"/>
              </w:rPr>
              <w:t>C</w:t>
            </w:r>
            <w:r w:rsidR="00A302B1" w:rsidRPr="00ED5F51">
              <w:rPr>
                <w:rFonts w:ascii="Times New Roman" w:hAnsi="Times New Roman"/>
                <w:sz w:val="20"/>
              </w:rPr>
              <w:t>0080</w:t>
            </w:r>
          </w:p>
        </w:tc>
        <w:tc>
          <w:tcPr>
            <w:tcW w:w="2148" w:type="dxa"/>
            <w:hideMark/>
          </w:tcPr>
          <w:p w14:paraId="0F8EAB93"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Produit structuré synthétique</w:t>
            </w:r>
          </w:p>
        </w:tc>
        <w:tc>
          <w:tcPr>
            <w:tcW w:w="5741" w:type="dxa"/>
            <w:hideMark/>
          </w:tcPr>
          <w:p w14:paraId="6F58EC75" w14:textId="77777777" w:rsidR="0095672C" w:rsidRPr="00ED5F51" w:rsidRDefault="0095672C" w:rsidP="0044578D">
            <w:pPr>
              <w:spacing w:line="276" w:lineRule="auto"/>
              <w:rPr>
                <w:rFonts w:ascii="Times New Roman" w:hAnsi="Times New Roman" w:cs="Times New Roman"/>
                <w:sz w:val="20"/>
                <w:szCs w:val="20"/>
              </w:rPr>
            </w:pPr>
            <w:r w:rsidRPr="00ED5F51">
              <w:rPr>
                <w:rFonts w:ascii="Times New Roman" w:hAnsi="Times New Roman"/>
                <w:sz w:val="20"/>
              </w:rPr>
              <w:t>Indiquer s’il s’agit d’un produit structuré sans transfert d’actif (par exemple, d’un produit qui ne donnera pas lieu à la livraison de l’actif, à l’exclusion d’espèces, si un événement favorable/défavorable se produit). Choisir impérativement l’une des options suivantes:</w:t>
            </w:r>
            <w:r w:rsidR="00FE79E2" w:rsidRPr="00ED5F51">
              <w:rPr>
                <w:rFonts w:ascii="Times New Roman" w:hAnsi="Times New Roman" w:cs="Times New Roman"/>
                <w:sz w:val="20"/>
                <w:szCs w:val="20"/>
              </w:rPr>
              <w:br/>
            </w:r>
            <w:r w:rsidRPr="00ED5F51">
              <w:rPr>
                <w:rFonts w:ascii="Times New Roman" w:hAnsi="Times New Roman"/>
                <w:sz w:val="20"/>
              </w:rPr>
              <w:t>1 – Produit structuré sans transfert d’actif</w:t>
            </w:r>
            <w:r w:rsidR="00FE79E2" w:rsidRPr="00ED5F51">
              <w:rPr>
                <w:rFonts w:ascii="Times New Roman" w:hAnsi="Times New Roman" w:cs="Times New Roman"/>
                <w:sz w:val="20"/>
                <w:szCs w:val="20"/>
              </w:rPr>
              <w:br/>
            </w:r>
            <w:r w:rsidRPr="00ED5F51">
              <w:rPr>
                <w:rFonts w:ascii="Times New Roman" w:hAnsi="Times New Roman"/>
                <w:sz w:val="20"/>
              </w:rPr>
              <w:t>2 – Produit structuré avec transfert d’actif</w:t>
            </w:r>
          </w:p>
        </w:tc>
      </w:tr>
      <w:tr w:rsidR="0095672C" w:rsidRPr="00ED5F51" w14:paraId="03C7F444" w14:textId="77777777" w:rsidTr="0044578D">
        <w:trPr>
          <w:trHeight w:val="1337"/>
        </w:trPr>
        <w:tc>
          <w:tcPr>
            <w:tcW w:w="1353" w:type="dxa"/>
            <w:hideMark/>
          </w:tcPr>
          <w:p w14:paraId="23885092" w14:textId="57ED2025" w:rsidR="0095672C" w:rsidRPr="00ED5F51" w:rsidRDefault="0095672C" w:rsidP="00A302B1">
            <w:pPr>
              <w:pStyle w:val="Sansinterligne"/>
              <w:rPr>
                <w:rFonts w:ascii="Times New Roman" w:hAnsi="Times New Roman" w:cs="Times New Roman"/>
                <w:sz w:val="20"/>
                <w:szCs w:val="20"/>
              </w:rPr>
            </w:pPr>
            <w:r w:rsidRPr="00ED5F51">
              <w:rPr>
                <w:rFonts w:ascii="Times New Roman" w:hAnsi="Times New Roman"/>
                <w:sz w:val="20"/>
              </w:rPr>
              <w:t>C0</w:t>
            </w:r>
            <w:r w:rsidR="00A302B1" w:rsidRPr="00ED5F51">
              <w:rPr>
                <w:rFonts w:ascii="Times New Roman" w:hAnsi="Times New Roman"/>
                <w:sz w:val="20"/>
              </w:rPr>
              <w:t>090</w:t>
            </w:r>
          </w:p>
        </w:tc>
        <w:tc>
          <w:tcPr>
            <w:tcW w:w="2148" w:type="dxa"/>
            <w:hideMark/>
          </w:tcPr>
          <w:p w14:paraId="3F87B706"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Produit structuré à prépaiement</w:t>
            </w:r>
          </w:p>
        </w:tc>
        <w:tc>
          <w:tcPr>
            <w:tcW w:w="5741" w:type="dxa"/>
            <w:hideMark/>
          </w:tcPr>
          <w:p w14:paraId="54852DAE" w14:textId="77777777"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Indiquer s’il s’agit d’un produit structuré avec possibilité de prépaiement, considéré comme étant un remboursement anticipé non prévu du principal. Choisir impérativement l’une des options suivantes:</w:t>
            </w:r>
            <w:r w:rsidR="00FE79E2" w:rsidRPr="00ED5F51">
              <w:rPr>
                <w:rFonts w:ascii="Times New Roman" w:hAnsi="Times New Roman" w:cs="Times New Roman"/>
                <w:sz w:val="20"/>
                <w:szCs w:val="20"/>
              </w:rPr>
              <w:br/>
            </w:r>
            <w:r w:rsidRPr="00ED5F51">
              <w:rPr>
                <w:rFonts w:ascii="Times New Roman" w:hAnsi="Times New Roman"/>
                <w:sz w:val="20"/>
              </w:rPr>
              <w:t>1 – Produit structuré à prépaiement</w:t>
            </w:r>
          </w:p>
          <w:p w14:paraId="14365783" w14:textId="77777777" w:rsidR="0095672C" w:rsidRPr="00ED5F51" w:rsidRDefault="0095672C" w:rsidP="0044578D">
            <w:pPr>
              <w:spacing w:line="276" w:lineRule="auto"/>
              <w:rPr>
                <w:rFonts w:ascii="Times New Roman" w:hAnsi="Times New Roman" w:cs="Times New Roman"/>
                <w:sz w:val="20"/>
                <w:szCs w:val="20"/>
              </w:rPr>
            </w:pPr>
            <w:r w:rsidRPr="00ED5F51">
              <w:rPr>
                <w:rFonts w:ascii="Times New Roman" w:hAnsi="Times New Roman"/>
                <w:sz w:val="20"/>
              </w:rPr>
              <w:t>2 – Pas un produit structuré à prépaiement</w:t>
            </w:r>
          </w:p>
        </w:tc>
      </w:tr>
      <w:tr w:rsidR="0095672C" w:rsidRPr="00ED5F51" w14:paraId="04AE5395" w14:textId="77777777" w:rsidTr="00950116">
        <w:trPr>
          <w:trHeight w:val="570"/>
        </w:trPr>
        <w:tc>
          <w:tcPr>
            <w:tcW w:w="1353" w:type="dxa"/>
            <w:hideMark/>
          </w:tcPr>
          <w:p w14:paraId="28F2869B" w14:textId="7F755C65" w:rsidR="0095672C" w:rsidRPr="00ED5F51" w:rsidRDefault="0095672C" w:rsidP="00A302B1">
            <w:pPr>
              <w:pStyle w:val="Sansinterligne"/>
              <w:rPr>
                <w:rFonts w:ascii="Times New Roman" w:hAnsi="Times New Roman" w:cs="Times New Roman"/>
                <w:sz w:val="20"/>
                <w:szCs w:val="20"/>
              </w:rPr>
            </w:pPr>
            <w:r w:rsidRPr="00ED5F51">
              <w:rPr>
                <w:rFonts w:ascii="Times New Roman" w:hAnsi="Times New Roman"/>
                <w:sz w:val="20"/>
              </w:rPr>
              <w:t>C0</w:t>
            </w:r>
            <w:r w:rsidR="00A302B1" w:rsidRPr="00ED5F51">
              <w:rPr>
                <w:rFonts w:ascii="Times New Roman" w:hAnsi="Times New Roman"/>
                <w:sz w:val="20"/>
              </w:rPr>
              <w:t>100</w:t>
            </w:r>
          </w:p>
        </w:tc>
        <w:tc>
          <w:tcPr>
            <w:tcW w:w="2148" w:type="dxa"/>
            <w:hideMark/>
          </w:tcPr>
          <w:p w14:paraId="7B22C118"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Valeur de la garantie</w:t>
            </w:r>
          </w:p>
        </w:tc>
        <w:tc>
          <w:tcPr>
            <w:tcW w:w="5741" w:type="dxa"/>
            <w:hideMark/>
          </w:tcPr>
          <w:p w14:paraId="7F56BF49" w14:textId="77777777" w:rsidR="0095672C" w:rsidRPr="00ED5F51" w:rsidRDefault="0095672C" w:rsidP="00950116">
            <w:pPr>
              <w:spacing w:after="200" w:line="276" w:lineRule="auto"/>
              <w:rPr>
                <w:rFonts w:ascii="Times New Roman" w:hAnsi="Times New Roman" w:cs="Times New Roman"/>
                <w:sz w:val="20"/>
                <w:szCs w:val="20"/>
              </w:rPr>
            </w:pPr>
            <w:r w:rsidRPr="00ED5F51">
              <w:rPr>
                <w:rFonts w:ascii="Times New Roman" w:hAnsi="Times New Roman"/>
                <w:sz w:val="20"/>
              </w:rPr>
              <w:t>Montant total de la sûreté attachée au produit structuré, quelle que soit la nature de cette sûreté.</w:t>
            </w:r>
          </w:p>
          <w:p w14:paraId="3DF5403E" w14:textId="77777777" w:rsidR="0095672C" w:rsidRPr="00ED5F51" w:rsidRDefault="0095672C" w:rsidP="00950116">
            <w:pPr>
              <w:rPr>
                <w:rFonts w:ascii="Times New Roman" w:hAnsi="Times New Roman" w:cs="Times New Roman"/>
                <w:sz w:val="20"/>
                <w:szCs w:val="20"/>
              </w:rPr>
            </w:pPr>
            <w:r w:rsidRPr="00ED5F51">
              <w:rPr>
                <w:rFonts w:ascii="Times New Roman" w:hAnsi="Times New Roman"/>
                <w:sz w:val="20"/>
              </w:rPr>
              <w:t xml:space="preserve">En cas de couverture au niveau d’un portefeuille, seule la valeur qui concerne le contrat considéré individuellement doit être déclarée, et non le total. </w:t>
            </w:r>
          </w:p>
        </w:tc>
      </w:tr>
      <w:tr w:rsidR="0095672C" w:rsidRPr="00ED5F51" w14:paraId="5A724833" w14:textId="77777777" w:rsidTr="00950116">
        <w:trPr>
          <w:trHeight w:val="570"/>
        </w:trPr>
        <w:tc>
          <w:tcPr>
            <w:tcW w:w="1353" w:type="dxa"/>
            <w:tcBorders>
              <w:top w:val="single" w:sz="4" w:space="0" w:color="auto"/>
              <w:left w:val="single" w:sz="4" w:space="0" w:color="auto"/>
              <w:bottom w:val="single" w:sz="4" w:space="0" w:color="auto"/>
              <w:right w:val="single" w:sz="4" w:space="0" w:color="auto"/>
            </w:tcBorders>
            <w:hideMark/>
          </w:tcPr>
          <w:p w14:paraId="2EC9326D" w14:textId="204CC678" w:rsidR="0095672C" w:rsidRPr="00ED5F51" w:rsidRDefault="0095672C" w:rsidP="00A302B1">
            <w:pPr>
              <w:pStyle w:val="Sansinterligne"/>
              <w:rPr>
                <w:rFonts w:ascii="Times New Roman" w:hAnsi="Times New Roman" w:cs="Times New Roman"/>
                <w:sz w:val="20"/>
                <w:szCs w:val="20"/>
              </w:rPr>
            </w:pPr>
            <w:r w:rsidRPr="00ED5F51">
              <w:rPr>
                <w:rFonts w:ascii="Times New Roman" w:hAnsi="Times New Roman"/>
                <w:sz w:val="20"/>
              </w:rPr>
              <w:t>C01</w:t>
            </w:r>
            <w:r w:rsidR="00A302B1" w:rsidRPr="00ED5F51">
              <w:rPr>
                <w:rFonts w:ascii="Times New Roman" w:hAnsi="Times New Roman"/>
                <w:sz w:val="20"/>
              </w:rPr>
              <w:t>10</w:t>
            </w:r>
          </w:p>
        </w:tc>
        <w:tc>
          <w:tcPr>
            <w:tcW w:w="2148" w:type="dxa"/>
            <w:tcBorders>
              <w:top w:val="single" w:sz="4" w:space="0" w:color="auto"/>
              <w:left w:val="single" w:sz="4" w:space="0" w:color="auto"/>
              <w:bottom w:val="single" w:sz="4" w:space="0" w:color="auto"/>
              <w:right w:val="single" w:sz="4" w:space="0" w:color="auto"/>
            </w:tcBorders>
            <w:hideMark/>
          </w:tcPr>
          <w:p w14:paraId="77A05B62"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Portefeuille de sûretés</w:t>
            </w:r>
          </w:p>
        </w:tc>
        <w:tc>
          <w:tcPr>
            <w:tcW w:w="5741" w:type="dxa"/>
            <w:tcBorders>
              <w:top w:val="single" w:sz="4" w:space="0" w:color="auto"/>
              <w:left w:val="single" w:sz="4" w:space="0" w:color="auto"/>
              <w:bottom w:val="single" w:sz="4" w:space="0" w:color="auto"/>
              <w:right w:val="single" w:sz="4" w:space="0" w:color="auto"/>
            </w:tcBorders>
            <w:hideMark/>
          </w:tcPr>
          <w:p w14:paraId="5DDEABFF" w14:textId="0114A47C" w:rsidR="0095672C" w:rsidRPr="00ED5F51" w:rsidRDefault="0095672C" w:rsidP="00950116">
            <w:pPr>
              <w:spacing w:line="276" w:lineRule="auto"/>
              <w:rPr>
                <w:rFonts w:ascii="Times New Roman" w:hAnsi="Times New Roman" w:cs="Times New Roman"/>
                <w:sz w:val="20"/>
                <w:szCs w:val="20"/>
              </w:rPr>
            </w:pPr>
            <w:r w:rsidRPr="00ED5F51">
              <w:rPr>
                <w:rFonts w:ascii="Times New Roman" w:hAnsi="Times New Roman"/>
                <w:sz w:val="20"/>
              </w:rPr>
              <w:t xml:space="preserve">Indiquer si la sûreté du produit structuré couvre uniquement ce produit structuré, ou plusieurs produits structurés détenus par </w:t>
            </w:r>
            <w:r w:rsidR="00561460" w:rsidRPr="00ED5F51">
              <w:rPr>
                <w:rFonts w:ascii="Times New Roman" w:hAnsi="Times New Roman"/>
                <w:sz w:val="20"/>
              </w:rPr>
              <w:t>l’O</w:t>
            </w:r>
            <w:r w:rsidR="00E358E2" w:rsidRPr="00ED5F51">
              <w:rPr>
                <w:rFonts w:ascii="Times New Roman" w:hAnsi="Times New Roman"/>
                <w:sz w:val="20"/>
              </w:rPr>
              <w:t>RPS</w:t>
            </w:r>
            <w:r w:rsidRPr="00ED5F51">
              <w:rPr>
                <w:rFonts w:ascii="Times New Roman" w:hAnsi="Times New Roman"/>
                <w:sz w:val="20"/>
              </w:rPr>
              <w:t>. Les positions nettes renvoient aux positions détenues sur les produits structurés. Choisir impérativement l’une des options suivantes:</w:t>
            </w:r>
          </w:p>
          <w:p w14:paraId="427936F8" w14:textId="77777777" w:rsidR="0095672C" w:rsidRPr="00ED5F51" w:rsidRDefault="0095672C" w:rsidP="00950116">
            <w:pPr>
              <w:rPr>
                <w:rFonts w:ascii="Times New Roman" w:hAnsi="Times New Roman" w:cs="Times New Roman"/>
                <w:sz w:val="20"/>
                <w:szCs w:val="20"/>
              </w:rPr>
            </w:pPr>
            <w:r w:rsidRPr="00ED5F51">
              <w:rPr>
                <w:rFonts w:ascii="Times New Roman" w:hAnsi="Times New Roman"/>
                <w:sz w:val="20"/>
              </w:rPr>
              <w:t>1 – Sûreté calculée sur la base des positions nettes résultant d’un ensemble de contrats</w:t>
            </w:r>
          </w:p>
          <w:p w14:paraId="3F3EA00F" w14:textId="77777777" w:rsidR="0095672C" w:rsidRPr="00ED5F51" w:rsidRDefault="0095672C" w:rsidP="00950116">
            <w:pPr>
              <w:rPr>
                <w:rFonts w:ascii="Times New Roman" w:hAnsi="Times New Roman" w:cs="Times New Roman"/>
                <w:sz w:val="20"/>
                <w:szCs w:val="20"/>
              </w:rPr>
            </w:pPr>
            <w:r w:rsidRPr="00ED5F51">
              <w:rPr>
                <w:rFonts w:ascii="Times New Roman" w:hAnsi="Times New Roman"/>
                <w:sz w:val="20"/>
              </w:rPr>
              <w:t>2 – Sûreté calculée sur la base d’un seul contrat</w:t>
            </w:r>
          </w:p>
          <w:p w14:paraId="72FFCD42" w14:textId="0A053669" w:rsidR="0095672C" w:rsidRPr="00ED5F51" w:rsidRDefault="0095672C" w:rsidP="00950116">
            <w:pPr>
              <w:rPr>
                <w:rFonts w:ascii="Times New Roman" w:hAnsi="Times New Roman" w:cs="Times New Roman"/>
                <w:sz w:val="20"/>
                <w:szCs w:val="20"/>
              </w:rPr>
            </w:pPr>
            <w:r w:rsidRPr="00ED5F51">
              <w:rPr>
                <w:rFonts w:ascii="Times New Roman" w:hAnsi="Times New Roman"/>
                <w:color w:val="000000"/>
                <w:sz w:val="20"/>
              </w:rPr>
              <w:t>10 – Pas de sûreté</w:t>
            </w:r>
          </w:p>
        </w:tc>
      </w:tr>
      <w:tr w:rsidR="0095672C" w:rsidRPr="00ED5F51" w14:paraId="4B5663E1" w14:textId="77777777" w:rsidTr="00950116">
        <w:trPr>
          <w:trHeight w:val="570"/>
        </w:trPr>
        <w:tc>
          <w:tcPr>
            <w:tcW w:w="1353" w:type="dxa"/>
            <w:hideMark/>
          </w:tcPr>
          <w:p w14:paraId="6D48A3AB" w14:textId="3E01C263" w:rsidR="0095672C" w:rsidRPr="00ED5F51" w:rsidRDefault="0095672C" w:rsidP="00A302B1">
            <w:pPr>
              <w:pStyle w:val="Sansinterligne"/>
              <w:rPr>
                <w:rFonts w:ascii="Times New Roman" w:hAnsi="Times New Roman" w:cs="Times New Roman"/>
                <w:sz w:val="20"/>
                <w:szCs w:val="20"/>
              </w:rPr>
            </w:pPr>
            <w:r w:rsidRPr="00ED5F51">
              <w:rPr>
                <w:rFonts w:ascii="Times New Roman" w:hAnsi="Times New Roman"/>
                <w:sz w:val="20"/>
              </w:rPr>
              <w:t>C0</w:t>
            </w:r>
            <w:r w:rsidR="00A302B1" w:rsidRPr="00ED5F51">
              <w:rPr>
                <w:rFonts w:ascii="Times New Roman" w:hAnsi="Times New Roman"/>
                <w:sz w:val="20"/>
              </w:rPr>
              <w:t>120</w:t>
            </w:r>
          </w:p>
        </w:tc>
        <w:tc>
          <w:tcPr>
            <w:tcW w:w="2148" w:type="dxa"/>
            <w:hideMark/>
          </w:tcPr>
          <w:p w14:paraId="16BBBA7B"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Rendement annuel fixe</w:t>
            </w:r>
          </w:p>
        </w:tc>
        <w:tc>
          <w:tcPr>
            <w:tcW w:w="5741" w:type="dxa"/>
            <w:hideMark/>
          </w:tcPr>
          <w:p w14:paraId="3AEDAEC4" w14:textId="77777777" w:rsidR="0095672C" w:rsidRPr="00ED5F51" w:rsidRDefault="0095672C" w:rsidP="0044578D">
            <w:pPr>
              <w:spacing w:line="276" w:lineRule="auto"/>
              <w:rPr>
                <w:rFonts w:ascii="Times New Roman" w:hAnsi="Times New Roman" w:cs="Times New Roman"/>
                <w:sz w:val="20"/>
                <w:szCs w:val="20"/>
              </w:rPr>
            </w:pPr>
            <w:r w:rsidRPr="00ED5F51">
              <w:rPr>
                <w:rFonts w:ascii="Times New Roman" w:hAnsi="Times New Roman"/>
                <w:sz w:val="20"/>
              </w:rPr>
              <w:t>Indiquer le coupon (déclaré en valeur décimale), s’il y a lieu, pour les catégories CIC 5 (titres structurés) et 6 (titres garantis).</w:t>
            </w:r>
          </w:p>
        </w:tc>
      </w:tr>
      <w:tr w:rsidR="0095672C" w:rsidRPr="00ED5F51" w14:paraId="7BD509B2" w14:textId="77777777" w:rsidTr="00950116">
        <w:trPr>
          <w:trHeight w:val="1140"/>
        </w:trPr>
        <w:tc>
          <w:tcPr>
            <w:tcW w:w="1353" w:type="dxa"/>
            <w:hideMark/>
          </w:tcPr>
          <w:p w14:paraId="4C427DF0" w14:textId="5DBB61FF" w:rsidR="0095672C" w:rsidRPr="00ED5F51" w:rsidRDefault="0095672C" w:rsidP="00A302B1">
            <w:pPr>
              <w:pStyle w:val="Sansinterligne"/>
              <w:rPr>
                <w:rFonts w:ascii="Times New Roman" w:hAnsi="Times New Roman" w:cs="Times New Roman"/>
                <w:sz w:val="20"/>
                <w:szCs w:val="20"/>
              </w:rPr>
            </w:pPr>
            <w:r w:rsidRPr="00ED5F51">
              <w:rPr>
                <w:rFonts w:ascii="Times New Roman" w:hAnsi="Times New Roman"/>
                <w:sz w:val="20"/>
              </w:rPr>
              <w:t>C0</w:t>
            </w:r>
            <w:r w:rsidR="00A302B1" w:rsidRPr="00ED5F51">
              <w:rPr>
                <w:rFonts w:ascii="Times New Roman" w:hAnsi="Times New Roman"/>
                <w:sz w:val="20"/>
              </w:rPr>
              <w:t>130</w:t>
            </w:r>
          </w:p>
        </w:tc>
        <w:tc>
          <w:tcPr>
            <w:tcW w:w="2148" w:type="dxa"/>
            <w:hideMark/>
          </w:tcPr>
          <w:p w14:paraId="2DE639CE"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Rendement annuel variable</w:t>
            </w:r>
          </w:p>
        </w:tc>
        <w:tc>
          <w:tcPr>
            <w:tcW w:w="5741" w:type="dxa"/>
            <w:hideMark/>
          </w:tcPr>
          <w:p w14:paraId="2A6E125B" w14:textId="77777777" w:rsidR="0095672C" w:rsidRPr="00ED5F51" w:rsidRDefault="0095672C" w:rsidP="0044578D">
            <w:pPr>
              <w:spacing w:line="276" w:lineRule="auto"/>
              <w:rPr>
                <w:rFonts w:ascii="Times New Roman" w:hAnsi="Times New Roman"/>
                <w:sz w:val="20"/>
              </w:rPr>
            </w:pPr>
            <w:r w:rsidRPr="00ED5F51">
              <w:rPr>
                <w:rFonts w:ascii="Times New Roman" w:hAnsi="Times New Roman"/>
                <w:sz w:val="20"/>
              </w:rPr>
              <w:t>Indiquer le taux de rendement variable, s’il y a lieu, pour les catégories CIC 5 (titres structurés) et 6 (titres garantis). Le plus communément identifié comme étant un taux de marché de référence, ou comme dépendant de la performance d’un portefeuille ou d’un indice (dépendant au sous-jacent), ou comme correspondant à des rendements plus complexes déterminés par la trajectoire du prix de l’actif sous-jacent (dépendant à la trajectoire), entre autres.</w:t>
            </w:r>
          </w:p>
          <w:p w14:paraId="7444509A" w14:textId="22C52CC8" w:rsidR="00FB1ED4" w:rsidRPr="00ED5F51" w:rsidRDefault="00FB1ED4" w:rsidP="0044578D">
            <w:pPr>
              <w:spacing w:line="276" w:lineRule="auto"/>
              <w:rPr>
                <w:rFonts w:ascii="Times New Roman" w:hAnsi="Times New Roman" w:cs="Times New Roman"/>
                <w:sz w:val="20"/>
                <w:szCs w:val="20"/>
              </w:rPr>
            </w:pPr>
            <w:r w:rsidRPr="00ED5F51">
              <w:rPr>
                <w:rFonts w:ascii="Times New Roman" w:hAnsi="Times New Roman" w:cs="Times New Roman"/>
                <w:sz w:val="20"/>
                <w:szCs w:val="20"/>
              </w:rPr>
              <w:t>Si nécessaire, cet élément peut être déclaré comme une chaîne pour refléter la façon dont le rendement est calculé</w:t>
            </w:r>
            <w:bookmarkStart w:id="0" w:name="_GoBack"/>
            <w:bookmarkEnd w:id="0"/>
            <w:r w:rsidRPr="00ED5F51">
              <w:rPr>
                <w:rFonts w:ascii="Times New Roman" w:hAnsi="Times New Roman" w:cs="Times New Roman"/>
                <w:sz w:val="20"/>
                <w:szCs w:val="20"/>
              </w:rPr>
              <w:t>.</w:t>
            </w:r>
          </w:p>
        </w:tc>
      </w:tr>
      <w:tr w:rsidR="0095672C" w:rsidRPr="00ED5F51" w14:paraId="7B9A1126" w14:textId="77777777" w:rsidTr="00950116">
        <w:trPr>
          <w:trHeight w:val="570"/>
        </w:trPr>
        <w:tc>
          <w:tcPr>
            <w:tcW w:w="1353" w:type="dxa"/>
            <w:hideMark/>
          </w:tcPr>
          <w:p w14:paraId="36E1E548" w14:textId="29617B62" w:rsidR="0095672C" w:rsidRPr="00ED5F51" w:rsidRDefault="0095672C" w:rsidP="00A302B1">
            <w:pPr>
              <w:pStyle w:val="Sansinterligne"/>
              <w:rPr>
                <w:rFonts w:ascii="Times New Roman" w:hAnsi="Times New Roman" w:cs="Times New Roman"/>
                <w:sz w:val="20"/>
                <w:szCs w:val="20"/>
              </w:rPr>
            </w:pPr>
            <w:r w:rsidRPr="00ED5F51">
              <w:rPr>
                <w:rFonts w:ascii="Times New Roman" w:hAnsi="Times New Roman"/>
                <w:sz w:val="20"/>
              </w:rPr>
              <w:t>C01</w:t>
            </w:r>
            <w:r w:rsidR="00A302B1" w:rsidRPr="00ED5F51">
              <w:rPr>
                <w:rFonts w:ascii="Times New Roman" w:hAnsi="Times New Roman"/>
                <w:sz w:val="20"/>
              </w:rPr>
              <w:t>4</w:t>
            </w:r>
            <w:r w:rsidRPr="00ED5F51">
              <w:rPr>
                <w:rFonts w:ascii="Times New Roman" w:hAnsi="Times New Roman"/>
                <w:sz w:val="20"/>
              </w:rPr>
              <w:t>0</w:t>
            </w:r>
          </w:p>
        </w:tc>
        <w:tc>
          <w:tcPr>
            <w:tcW w:w="2148" w:type="dxa"/>
            <w:hideMark/>
          </w:tcPr>
          <w:p w14:paraId="1325B920"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Perte en cas de défaut</w:t>
            </w:r>
          </w:p>
        </w:tc>
        <w:tc>
          <w:tcPr>
            <w:tcW w:w="5741" w:type="dxa"/>
            <w:hideMark/>
          </w:tcPr>
          <w:p w14:paraId="293BBC6B" w14:textId="77777777" w:rsidR="0095672C" w:rsidRPr="00ED5F51" w:rsidRDefault="0095672C" w:rsidP="00950116">
            <w:pPr>
              <w:spacing w:after="200" w:line="276" w:lineRule="auto"/>
              <w:rPr>
                <w:rFonts w:ascii="Times New Roman" w:hAnsi="Times New Roman" w:cs="Times New Roman"/>
                <w:sz w:val="20"/>
                <w:szCs w:val="20"/>
              </w:rPr>
            </w:pPr>
            <w:r w:rsidRPr="00ED5F51">
              <w:rPr>
                <w:rFonts w:ascii="Times New Roman" w:hAnsi="Times New Roman"/>
                <w:sz w:val="20"/>
              </w:rPr>
              <w:t>Pourcentage (déclaré en valeur décimale; par exemple 5 % est déclaré sous la forme 0,05) du montant investi qui ne sera pas recouvré en cas de défaut, s’il y a lieu, pour les catégories CIC 5 (titres structurés) et 6 (titres garantis).</w:t>
            </w:r>
          </w:p>
          <w:p w14:paraId="73B82CC2" w14:textId="77777777" w:rsidR="0095672C" w:rsidRPr="00ED5F51" w:rsidRDefault="0095672C" w:rsidP="0044578D">
            <w:pPr>
              <w:spacing w:line="276" w:lineRule="auto"/>
              <w:rPr>
                <w:rFonts w:ascii="Times New Roman" w:hAnsi="Times New Roman" w:cs="Times New Roman"/>
                <w:sz w:val="20"/>
                <w:szCs w:val="20"/>
              </w:rPr>
            </w:pPr>
            <w:r w:rsidRPr="00ED5F51">
              <w:rPr>
                <w:rFonts w:ascii="Times New Roman" w:hAnsi="Times New Roman"/>
                <w:sz w:val="20"/>
              </w:rPr>
              <w:lastRenderedPageBreak/>
              <w:t>Si cette information n’est pas définie dans le contrat, ne rien déclarer pour cet élément. Ne s’applique pas aux produits structurés autres que de crédit.</w:t>
            </w:r>
          </w:p>
        </w:tc>
      </w:tr>
      <w:tr w:rsidR="0095672C" w:rsidRPr="00ED5F51" w14:paraId="4AC479D2" w14:textId="77777777" w:rsidTr="00950116">
        <w:trPr>
          <w:trHeight w:val="570"/>
        </w:trPr>
        <w:tc>
          <w:tcPr>
            <w:tcW w:w="1353" w:type="dxa"/>
            <w:hideMark/>
          </w:tcPr>
          <w:p w14:paraId="6090D69D" w14:textId="7E78B1BB" w:rsidR="0095672C" w:rsidRPr="00ED5F51" w:rsidRDefault="0095672C" w:rsidP="00A302B1">
            <w:pPr>
              <w:pStyle w:val="Sansinterligne"/>
              <w:rPr>
                <w:rFonts w:ascii="Times New Roman" w:hAnsi="Times New Roman" w:cs="Times New Roman"/>
                <w:sz w:val="20"/>
                <w:szCs w:val="20"/>
              </w:rPr>
            </w:pPr>
            <w:r w:rsidRPr="00ED5F51">
              <w:rPr>
                <w:rFonts w:ascii="Times New Roman" w:hAnsi="Times New Roman"/>
                <w:sz w:val="20"/>
              </w:rPr>
              <w:lastRenderedPageBreak/>
              <w:t>C01</w:t>
            </w:r>
            <w:r w:rsidR="00A302B1" w:rsidRPr="00ED5F51">
              <w:rPr>
                <w:rFonts w:ascii="Times New Roman" w:hAnsi="Times New Roman"/>
                <w:sz w:val="20"/>
              </w:rPr>
              <w:t>5</w:t>
            </w:r>
            <w:r w:rsidRPr="00ED5F51">
              <w:rPr>
                <w:rFonts w:ascii="Times New Roman" w:hAnsi="Times New Roman"/>
                <w:sz w:val="20"/>
              </w:rPr>
              <w:t>0</w:t>
            </w:r>
          </w:p>
        </w:tc>
        <w:tc>
          <w:tcPr>
            <w:tcW w:w="2148" w:type="dxa"/>
            <w:hideMark/>
          </w:tcPr>
          <w:p w14:paraId="2F862FF6"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Point d’attachement</w:t>
            </w:r>
          </w:p>
        </w:tc>
        <w:tc>
          <w:tcPr>
            <w:tcW w:w="5741" w:type="dxa"/>
            <w:hideMark/>
          </w:tcPr>
          <w:p w14:paraId="49EAAB8F" w14:textId="77777777" w:rsidR="0095672C" w:rsidRPr="00ED5F51" w:rsidRDefault="0095672C" w:rsidP="0044578D">
            <w:pPr>
              <w:spacing w:line="276" w:lineRule="auto"/>
              <w:rPr>
                <w:rFonts w:ascii="Times New Roman" w:hAnsi="Times New Roman" w:cs="Times New Roman"/>
                <w:sz w:val="20"/>
                <w:szCs w:val="20"/>
              </w:rPr>
            </w:pPr>
            <w:r w:rsidRPr="00ED5F51">
              <w:rPr>
                <w:rFonts w:ascii="Times New Roman" w:hAnsi="Times New Roman"/>
                <w:sz w:val="20"/>
              </w:rPr>
              <w:t>Le pourcentage de pertes défini contractuellement (déclaré en valeur décimale) au-delà duquel les pertes ont une incidence sur le produit structuré, s’il y a lieu pour les catégories CIC 5 (titres structurés) et 6 (titres garantis). Ne s’applique pas aux produits structurés autres que de crédit.</w:t>
            </w:r>
          </w:p>
        </w:tc>
      </w:tr>
      <w:tr w:rsidR="0095672C" w:rsidRPr="00ED5F51" w14:paraId="71E00F34" w14:textId="77777777" w:rsidTr="00950116">
        <w:trPr>
          <w:trHeight w:val="570"/>
        </w:trPr>
        <w:tc>
          <w:tcPr>
            <w:tcW w:w="1353" w:type="dxa"/>
            <w:hideMark/>
          </w:tcPr>
          <w:p w14:paraId="6E824434" w14:textId="31597C4C" w:rsidR="0095672C" w:rsidRPr="00ED5F51" w:rsidRDefault="0095672C" w:rsidP="00A302B1">
            <w:pPr>
              <w:pStyle w:val="Sansinterligne"/>
              <w:rPr>
                <w:rFonts w:ascii="Times New Roman" w:hAnsi="Times New Roman" w:cs="Times New Roman"/>
                <w:sz w:val="20"/>
                <w:szCs w:val="20"/>
              </w:rPr>
            </w:pPr>
            <w:r w:rsidRPr="00ED5F51">
              <w:rPr>
                <w:rFonts w:ascii="Times New Roman" w:hAnsi="Times New Roman"/>
                <w:sz w:val="20"/>
              </w:rPr>
              <w:t>C01</w:t>
            </w:r>
            <w:r w:rsidR="00A302B1" w:rsidRPr="00ED5F51">
              <w:rPr>
                <w:rFonts w:ascii="Times New Roman" w:hAnsi="Times New Roman"/>
                <w:sz w:val="20"/>
              </w:rPr>
              <w:t>6</w:t>
            </w:r>
            <w:r w:rsidRPr="00ED5F51">
              <w:rPr>
                <w:rFonts w:ascii="Times New Roman" w:hAnsi="Times New Roman"/>
                <w:sz w:val="20"/>
              </w:rPr>
              <w:t>0</w:t>
            </w:r>
          </w:p>
        </w:tc>
        <w:tc>
          <w:tcPr>
            <w:tcW w:w="2148" w:type="dxa"/>
            <w:hideMark/>
          </w:tcPr>
          <w:p w14:paraId="167F73B5" w14:textId="77777777" w:rsidR="0095672C" w:rsidRPr="00ED5F51" w:rsidRDefault="0095672C">
            <w:pPr>
              <w:spacing w:after="200" w:line="276" w:lineRule="auto"/>
              <w:rPr>
                <w:rFonts w:ascii="Times New Roman" w:hAnsi="Times New Roman" w:cs="Times New Roman"/>
                <w:sz w:val="20"/>
                <w:szCs w:val="20"/>
              </w:rPr>
            </w:pPr>
            <w:r w:rsidRPr="00ED5F51">
              <w:rPr>
                <w:rFonts w:ascii="Times New Roman" w:hAnsi="Times New Roman"/>
                <w:sz w:val="20"/>
              </w:rPr>
              <w:t>Point de détachement</w:t>
            </w:r>
          </w:p>
        </w:tc>
        <w:tc>
          <w:tcPr>
            <w:tcW w:w="5741" w:type="dxa"/>
            <w:hideMark/>
          </w:tcPr>
          <w:p w14:paraId="3286A120" w14:textId="77777777" w:rsidR="0095672C" w:rsidRPr="00ED5F51" w:rsidRDefault="0095672C" w:rsidP="0044578D">
            <w:pPr>
              <w:spacing w:line="276" w:lineRule="auto"/>
              <w:rPr>
                <w:rFonts w:ascii="Times New Roman" w:hAnsi="Times New Roman" w:cs="Times New Roman"/>
                <w:sz w:val="20"/>
                <w:szCs w:val="20"/>
              </w:rPr>
            </w:pPr>
            <w:r w:rsidRPr="00ED5F51">
              <w:rPr>
                <w:rFonts w:ascii="Times New Roman" w:hAnsi="Times New Roman"/>
                <w:sz w:val="20"/>
              </w:rPr>
              <w:t>Le pourcentage de pertes défini contractuellement (déclaré en valeur décimale) au-delà duquel les pertes cessent d’avoir une incidence sur le produit structuré, s’il y a lieu pour les catégories CIC 5 (titres structurés) et 6 (titres garantis). Ne s’applique pas aux produits structurés autres que de crédit.</w:t>
            </w:r>
          </w:p>
        </w:tc>
      </w:tr>
    </w:tbl>
    <w:p w14:paraId="35B3B3F2" w14:textId="77777777" w:rsidR="00561460" w:rsidRPr="00ED5F51" w:rsidRDefault="00561460" w:rsidP="009F52EC">
      <w:pPr>
        <w:rPr>
          <w:rFonts w:ascii="Times New Roman" w:hAnsi="Times New Roman"/>
          <w:b/>
          <w:sz w:val="20"/>
        </w:rPr>
      </w:pPr>
    </w:p>
    <w:p w14:paraId="76C88871" w14:textId="2B13D575" w:rsidR="00637AB7" w:rsidRPr="00ED5F51" w:rsidRDefault="00D43E2C" w:rsidP="009C44C0">
      <w:pPr>
        <w:ind w:left="-113"/>
        <w:rPr>
          <w:rFonts w:ascii="Times New Roman" w:hAnsi="Times New Roman"/>
          <w:b/>
          <w:sz w:val="20"/>
        </w:rPr>
      </w:pPr>
      <w:r w:rsidRPr="00ED5F51">
        <w:rPr>
          <w:rFonts w:ascii="Times New Roman" w:hAnsi="Times New Roman"/>
          <w:b/>
          <w:sz w:val="20"/>
        </w:rPr>
        <w:t xml:space="preserve"> </w:t>
      </w:r>
      <w:r w:rsidR="00561460" w:rsidRPr="00ED5F51">
        <w:rPr>
          <w:rFonts w:ascii="Times New Roman" w:hAnsi="Times New Roman"/>
          <w:b/>
          <w:sz w:val="20"/>
        </w:rPr>
        <w:t>Tableau de l’état</w:t>
      </w:r>
    </w:p>
    <w:p w14:paraId="4A0B18EA" w14:textId="33818FAB" w:rsidR="00561460" w:rsidRPr="00561460" w:rsidRDefault="00D43E2C" w:rsidP="00D43E2C">
      <w:pPr>
        <w:spacing w:after="100" w:afterAutospacing="1"/>
        <w:ind w:left="-397"/>
        <w:rPr>
          <w:rFonts w:ascii="Times New Roman" w:hAnsi="Times New Roman"/>
          <w:b/>
          <w:sz w:val="20"/>
        </w:rPr>
      </w:pPr>
      <w:r w:rsidRPr="00ED5F51">
        <w:rPr>
          <w:rFonts w:ascii="Times New Roman" w:hAnsi="Times New Roman"/>
          <w:b/>
          <w:noProof/>
          <w:sz w:val="20"/>
          <w:lang w:bidi="ar-SA"/>
        </w:rPr>
        <w:drawing>
          <wp:inline distT="0" distB="0" distL="0" distR="0" wp14:anchorId="0C716D57" wp14:editId="36AF321F">
            <wp:extent cx="5731510" cy="2508250"/>
            <wp:effectExtent l="0" t="0" r="254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508250"/>
                    </a:xfrm>
                    <a:prstGeom prst="rect">
                      <a:avLst/>
                    </a:prstGeom>
                  </pic:spPr>
                </pic:pic>
              </a:graphicData>
            </a:graphic>
          </wp:inline>
        </w:drawing>
      </w:r>
    </w:p>
    <w:sectPr w:rsidR="00561460" w:rsidRPr="00561460"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A7264" w14:textId="77777777" w:rsidR="0011686B" w:rsidRDefault="0011686B" w:rsidP="0051516F">
      <w:pPr>
        <w:spacing w:after="0" w:line="240" w:lineRule="auto"/>
      </w:pPr>
      <w:r>
        <w:separator/>
      </w:r>
    </w:p>
  </w:endnote>
  <w:endnote w:type="continuationSeparator" w:id="0">
    <w:p w14:paraId="3F782B3D" w14:textId="77777777" w:rsidR="0011686B" w:rsidRDefault="0011686B"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6BD36" w14:textId="77777777" w:rsidR="0011686B" w:rsidRDefault="0011686B" w:rsidP="0051516F">
      <w:pPr>
        <w:spacing w:after="0" w:line="240" w:lineRule="auto"/>
      </w:pPr>
      <w:r>
        <w:separator/>
      </w:r>
    </w:p>
  </w:footnote>
  <w:footnote w:type="continuationSeparator" w:id="0">
    <w:p w14:paraId="092299E3" w14:textId="77777777" w:rsidR="0011686B" w:rsidRDefault="0011686B"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5FBF"/>
    <w:rsid w:val="00036E79"/>
    <w:rsid w:val="00044E7C"/>
    <w:rsid w:val="00045F07"/>
    <w:rsid w:val="00053333"/>
    <w:rsid w:val="00053D9E"/>
    <w:rsid w:val="00056F3B"/>
    <w:rsid w:val="000570D1"/>
    <w:rsid w:val="00074077"/>
    <w:rsid w:val="00076C40"/>
    <w:rsid w:val="00080895"/>
    <w:rsid w:val="00082D34"/>
    <w:rsid w:val="00085D2D"/>
    <w:rsid w:val="00095251"/>
    <w:rsid w:val="00097A27"/>
    <w:rsid w:val="000A20C4"/>
    <w:rsid w:val="000A21AE"/>
    <w:rsid w:val="000A55AA"/>
    <w:rsid w:val="000A66DC"/>
    <w:rsid w:val="000B1310"/>
    <w:rsid w:val="000C45A0"/>
    <w:rsid w:val="000C4A9C"/>
    <w:rsid w:val="000C6BAE"/>
    <w:rsid w:val="000D2E4C"/>
    <w:rsid w:val="000D3256"/>
    <w:rsid w:val="000D7BD0"/>
    <w:rsid w:val="000F1290"/>
    <w:rsid w:val="000F4484"/>
    <w:rsid w:val="000F4F41"/>
    <w:rsid w:val="0010016B"/>
    <w:rsid w:val="001012CB"/>
    <w:rsid w:val="001062B8"/>
    <w:rsid w:val="0010649D"/>
    <w:rsid w:val="0010788F"/>
    <w:rsid w:val="0011455D"/>
    <w:rsid w:val="0011686B"/>
    <w:rsid w:val="00124DC1"/>
    <w:rsid w:val="0012637F"/>
    <w:rsid w:val="00126B85"/>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67DD"/>
    <w:rsid w:val="001D04AD"/>
    <w:rsid w:val="001D06F5"/>
    <w:rsid w:val="001D0DE2"/>
    <w:rsid w:val="001D212F"/>
    <w:rsid w:val="001D2292"/>
    <w:rsid w:val="001D3D3D"/>
    <w:rsid w:val="001D4914"/>
    <w:rsid w:val="001E2E9D"/>
    <w:rsid w:val="001E7E5D"/>
    <w:rsid w:val="001F33AD"/>
    <w:rsid w:val="002037B9"/>
    <w:rsid w:val="0020511C"/>
    <w:rsid w:val="0020548A"/>
    <w:rsid w:val="0020581A"/>
    <w:rsid w:val="00213DFA"/>
    <w:rsid w:val="00214026"/>
    <w:rsid w:val="0022080E"/>
    <w:rsid w:val="00223ABA"/>
    <w:rsid w:val="002247D6"/>
    <w:rsid w:val="00226AF2"/>
    <w:rsid w:val="00227D2B"/>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8712A"/>
    <w:rsid w:val="0029352E"/>
    <w:rsid w:val="002A01AC"/>
    <w:rsid w:val="002A0ACD"/>
    <w:rsid w:val="002A2F57"/>
    <w:rsid w:val="002B48D4"/>
    <w:rsid w:val="002C06A5"/>
    <w:rsid w:val="002C203E"/>
    <w:rsid w:val="002C253B"/>
    <w:rsid w:val="002C5083"/>
    <w:rsid w:val="002D07BB"/>
    <w:rsid w:val="002D7C8F"/>
    <w:rsid w:val="002E120A"/>
    <w:rsid w:val="002E2940"/>
    <w:rsid w:val="002E4D76"/>
    <w:rsid w:val="002E5263"/>
    <w:rsid w:val="002E5306"/>
    <w:rsid w:val="002E770C"/>
    <w:rsid w:val="002F0892"/>
    <w:rsid w:val="00302504"/>
    <w:rsid w:val="003026E0"/>
    <w:rsid w:val="00302DC9"/>
    <w:rsid w:val="00306742"/>
    <w:rsid w:val="00312902"/>
    <w:rsid w:val="0031378D"/>
    <w:rsid w:val="00313C54"/>
    <w:rsid w:val="003175FF"/>
    <w:rsid w:val="00317AA6"/>
    <w:rsid w:val="00325F40"/>
    <w:rsid w:val="00330A0E"/>
    <w:rsid w:val="003316D5"/>
    <w:rsid w:val="003327D2"/>
    <w:rsid w:val="00334E4B"/>
    <w:rsid w:val="00344A73"/>
    <w:rsid w:val="0034585D"/>
    <w:rsid w:val="00345A4E"/>
    <w:rsid w:val="003466C0"/>
    <w:rsid w:val="003506B2"/>
    <w:rsid w:val="00352D31"/>
    <w:rsid w:val="0036363B"/>
    <w:rsid w:val="00380326"/>
    <w:rsid w:val="00383DDD"/>
    <w:rsid w:val="003854FB"/>
    <w:rsid w:val="003900B7"/>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860"/>
    <w:rsid w:val="00411393"/>
    <w:rsid w:val="00415ED5"/>
    <w:rsid w:val="00425D6F"/>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82CC5"/>
    <w:rsid w:val="00485865"/>
    <w:rsid w:val="00486118"/>
    <w:rsid w:val="00486501"/>
    <w:rsid w:val="0049344B"/>
    <w:rsid w:val="00496908"/>
    <w:rsid w:val="00496E20"/>
    <w:rsid w:val="004A4F35"/>
    <w:rsid w:val="004A7538"/>
    <w:rsid w:val="004A7A8F"/>
    <w:rsid w:val="004B05E3"/>
    <w:rsid w:val="004B0C75"/>
    <w:rsid w:val="004B2500"/>
    <w:rsid w:val="004B41E6"/>
    <w:rsid w:val="004B61AF"/>
    <w:rsid w:val="004C0920"/>
    <w:rsid w:val="004C5083"/>
    <w:rsid w:val="004C59C1"/>
    <w:rsid w:val="004D51A9"/>
    <w:rsid w:val="004D683A"/>
    <w:rsid w:val="004E2CD5"/>
    <w:rsid w:val="004E7A49"/>
    <w:rsid w:val="004F1DD8"/>
    <w:rsid w:val="004F2256"/>
    <w:rsid w:val="004F7035"/>
    <w:rsid w:val="004F7860"/>
    <w:rsid w:val="00503D92"/>
    <w:rsid w:val="0051421D"/>
    <w:rsid w:val="0051516F"/>
    <w:rsid w:val="00525199"/>
    <w:rsid w:val="005255A2"/>
    <w:rsid w:val="00525F28"/>
    <w:rsid w:val="00536932"/>
    <w:rsid w:val="0053713B"/>
    <w:rsid w:val="005446B2"/>
    <w:rsid w:val="00544B42"/>
    <w:rsid w:val="00552B99"/>
    <w:rsid w:val="0055345F"/>
    <w:rsid w:val="005570BE"/>
    <w:rsid w:val="0056144F"/>
    <w:rsid w:val="00561460"/>
    <w:rsid w:val="00561AAF"/>
    <w:rsid w:val="0056505D"/>
    <w:rsid w:val="00565267"/>
    <w:rsid w:val="00573E2C"/>
    <w:rsid w:val="00583E5E"/>
    <w:rsid w:val="00585B98"/>
    <w:rsid w:val="00591058"/>
    <w:rsid w:val="00595775"/>
    <w:rsid w:val="00597D14"/>
    <w:rsid w:val="005A2F45"/>
    <w:rsid w:val="005B0A66"/>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20B4E"/>
    <w:rsid w:val="006313E1"/>
    <w:rsid w:val="006317FF"/>
    <w:rsid w:val="00632A29"/>
    <w:rsid w:val="00637AB7"/>
    <w:rsid w:val="00641121"/>
    <w:rsid w:val="00643E80"/>
    <w:rsid w:val="00651A96"/>
    <w:rsid w:val="00651E3F"/>
    <w:rsid w:val="0067006B"/>
    <w:rsid w:val="006707A9"/>
    <w:rsid w:val="006746F6"/>
    <w:rsid w:val="00674FAB"/>
    <w:rsid w:val="00677115"/>
    <w:rsid w:val="00681AAB"/>
    <w:rsid w:val="006822AF"/>
    <w:rsid w:val="00684869"/>
    <w:rsid w:val="00685858"/>
    <w:rsid w:val="00686578"/>
    <w:rsid w:val="006876BB"/>
    <w:rsid w:val="006907A8"/>
    <w:rsid w:val="00691EDB"/>
    <w:rsid w:val="00695D89"/>
    <w:rsid w:val="0069793C"/>
    <w:rsid w:val="006A03D4"/>
    <w:rsid w:val="006A0C2A"/>
    <w:rsid w:val="006A16EF"/>
    <w:rsid w:val="006A25BC"/>
    <w:rsid w:val="006A5EDE"/>
    <w:rsid w:val="006A615A"/>
    <w:rsid w:val="006A7C85"/>
    <w:rsid w:val="006B3638"/>
    <w:rsid w:val="006C35D8"/>
    <w:rsid w:val="006C7119"/>
    <w:rsid w:val="006D2256"/>
    <w:rsid w:val="006D4290"/>
    <w:rsid w:val="006D50F6"/>
    <w:rsid w:val="006D7AF3"/>
    <w:rsid w:val="006E38D0"/>
    <w:rsid w:val="006E3E8F"/>
    <w:rsid w:val="006E4A52"/>
    <w:rsid w:val="006E6A4A"/>
    <w:rsid w:val="00707292"/>
    <w:rsid w:val="007124A9"/>
    <w:rsid w:val="0071342B"/>
    <w:rsid w:val="00717C2D"/>
    <w:rsid w:val="0072092D"/>
    <w:rsid w:val="00724947"/>
    <w:rsid w:val="00734AA4"/>
    <w:rsid w:val="00741991"/>
    <w:rsid w:val="007435FF"/>
    <w:rsid w:val="00743B6B"/>
    <w:rsid w:val="0076289F"/>
    <w:rsid w:val="007700FA"/>
    <w:rsid w:val="00771597"/>
    <w:rsid w:val="00772673"/>
    <w:rsid w:val="007772EF"/>
    <w:rsid w:val="00777AEA"/>
    <w:rsid w:val="007834C8"/>
    <w:rsid w:val="00791304"/>
    <w:rsid w:val="007922EF"/>
    <w:rsid w:val="00793BC4"/>
    <w:rsid w:val="007A3B9F"/>
    <w:rsid w:val="007A4D0F"/>
    <w:rsid w:val="007B0187"/>
    <w:rsid w:val="007B38BB"/>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49EC"/>
    <w:rsid w:val="00837E57"/>
    <w:rsid w:val="008415AF"/>
    <w:rsid w:val="008442DE"/>
    <w:rsid w:val="00850CF8"/>
    <w:rsid w:val="00852E81"/>
    <w:rsid w:val="00854FF4"/>
    <w:rsid w:val="00864495"/>
    <w:rsid w:val="00866276"/>
    <w:rsid w:val="00866F4E"/>
    <w:rsid w:val="0087574D"/>
    <w:rsid w:val="00883D17"/>
    <w:rsid w:val="00884155"/>
    <w:rsid w:val="00884A9A"/>
    <w:rsid w:val="0088697A"/>
    <w:rsid w:val="00886A05"/>
    <w:rsid w:val="00890D05"/>
    <w:rsid w:val="0089232F"/>
    <w:rsid w:val="008A0DDC"/>
    <w:rsid w:val="008A2435"/>
    <w:rsid w:val="008A2C9D"/>
    <w:rsid w:val="008A74F5"/>
    <w:rsid w:val="008B3312"/>
    <w:rsid w:val="008B4B0B"/>
    <w:rsid w:val="008B5455"/>
    <w:rsid w:val="008B5B64"/>
    <w:rsid w:val="008C4238"/>
    <w:rsid w:val="008D0186"/>
    <w:rsid w:val="008E0BDF"/>
    <w:rsid w:val="008E4B74"/>
    <w:rsid w:val="008E4C19"/>
    <w:rsid w:val="008E4D75"/>
    <w:rsid w:val="008E7FB7"/>
    <w:rsid w:val="008F0FAD"/>
    <w:rsid w:val="008F1627"/>
    <w:rsid w:val="008F5482"/>
    <w:rsid w:val="008F6A3E"/>
    <w:rsid w:val="0090087B"/>
    <w:rsid w:val="009079E3"/>
    <w:rsid w:val="00907D61"/>
    <w:rsid w:val="009100BA"/>
    <w:rsid w:val="009114CD"/>
    <w:rsid w:val="009214FF"/>
    <w:rsid w:val="00922B9F"/>
    <w:rsid w:val="009302E9"/>
    <w:rsid w:val="00931BC7"/>
    <w:rsid w:val="009332B5"/>
    <w:rsid w:val="00940479"/>
    <w:rsid w:val="00947B15"/>
    <w:rsid w:val="00950116"/>
    <w:rsid w:val="00953D77"/>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27E5"/>
    <w:rsid w:val="009B7221"/>
    <w:rsid w:val="009C2E50"/>
    <w:rsid w:val="009C44C0"/>
    <w:rsid w:val="009D3D9E"/>
    <w:rsid w:val="009D74C4"/>
    <w:rsid w:val="009D7D95"/>
    <w:rsid w:val="009E4617"/>
    <w:rsid w:val="009E5725"/>
    <w:rsid w:val="009E748A"/>
    <w:rsid w:val="009E7E1B"/>
    <w:rsid w:val="009F41F3"/>
    <w:rsid w:val="009F52EC"/>
    <w:rsid w:val="00A0011A"/>
    <w:rsid w:val="00A07329"/>
    <w:rsid w:val="00A07F19"/>
    <w:rsid w:val="00A25866"/>
    <w:rsid w:val="00A261B3"/>
    <w:rsid w:val="00A27E73"/>
    <w:rsid w:val="00A302B1"/>
    <w:rsid w:val="00A314F2"/>
    <w:rsid w:val="00A36D30"/>
    <w:rsid w:val="00A418E1"/>
    <w:rsid w:val="00A41C3B"/>
    <w:rsid w:val="00A46097"/>
    <w:rsid w:val="00A47885"/>
    <w:rsid w:val="00A5699B"/>
    <w:rsid w:val="00A63304"/>
    <w:rsid w:val="00A63847"/>
    <w:rsid w:val="00A65703"/>
    <w:rsid w:val="00A741AB"/>
    <w:rsid w:val="00A75F78"/>
    <w:rsid w:val="00A77F3F"/>
    <w:rsid w:val="00A80F3C"/>
    <w:rsid w:val="00A82A9F"/>
    <w:rsid w:val="00A850E3"/>
    <w:rsid w:val="00A85457"/>
    <w:rsid w:val="00A86581"/>
    <w:rsid w:val="00AA7A36"/>
    <w:rsid w:val="00AB3236"/>
    <w:rsid w:val="00AC3357"/>
    <w:rsid w:val="00AC6C39"/>
    <w:rsid w:val="00AD4A46"/>
    <w:rsid w:val="00AD5867"/>
    <w:rsid w:val="00AE2109"/>
    <w:rsid w:val="00AE65C0"/>
    <w:rsid w:val="00AF0B98"/>
    <w:rsid w:val="00AF2ABF"/>
    <w:rsid w:val="00B05B5B"/>
    <w:rsid w:val="00B14441"/>
    <w:rsid w:val="00B14D00"/>
    <w:rsid w:val="00B17730"/>
    <w:rsid w:val="00B227CF"/>
    <w:rsid w:val="00B26627"/>
    <w:rsid w:val="00B272F3"/>
    <w:rsid w:val="00B31C82"/>
    <w:rsid w:val="00B33FD1"/>
    <w:rsid w:val="00B34115"/>
    <w:rsid w:val="00B41DC2"/>
    <w:rsid w:val="00B446AA"/>
    <w:rsid w:val="00B508C7"/>
    <w:rsid w:val="00B53FAB"/>
    <w:rsid w:val="00B5555A"/>
    <w:rsid w:val="00B62424"/>
    <w:rsid w:val="00B71AE5"/>
    <w:rsid w:val="00B72248"/>
    <w:rsid w:val="00B74AEE"/>
    <w:rsid w:val="00B752B8"/>
    <w:rsid w:val="00B837D9"/>
    <w:rsid w:val="00B90F65"/>
    <w:rsid w:val="00B91E57"/>
    <w:rsid w:val="00B91E68"/>
    <w:rsid w:val="00B97D0E"/>
    <w:rsid w:val="00BA2209"/>
    <w:rsid w:val="00BA3AB4"/>
    <w:rsid w:val="00BA5BC0"/>
    <w:rsid w:val="00BA6EA2"/>
    <w:rsid w:val="00BA7D71"/>
    <w:rsid w:val="00BB0FCA"/>
    <w:rsid w:val="00BB2F7F"/>
    <w:rsid w:val="00BC1FF6"/>
    <w:rsid w:val="00BC6107"/>
    <w:rsid w:val="00BD243A"/>
    <w:rsid w:val="00BE1B63"/>
    <w:rsid w:val="00BE57D0"/>
    <w:rsid w:val="00BE7B43"/>
    <w:rsid w:val="00BF4262"/>
    <w:rsid w:val="00C028B0"/>
    <w:rsid w:val="00C03D09"/>
    <w:rsid w:val="00C051D6"/>
    <w:rsid w:val="00C13933"/>
    <w:rsid w:val="00C16CE6"/>
    <w:rsid w:val="00C22F9F"/>
    <w:rsid w:val="00C238BC"/>
    <w:rsid w:val="00C24E0C"/>
    <w:rsid w:val="00C34BA4"/>
    <w:rsid w:val="00C40AF1"/>
    <w:rsid w:val="00C42C88"/>
    <w:rsid w:val="00C43853"/>
    <w:rsid w:val="00C44BAC"/>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0FD6"/>
    <w:rsid w:val="00CB1B2E"/>
    <w:rsid w:val="00CB2DFC"/>
    <w:rsid w:val="00CB3A4A"/>
    <w:rsid w:val="00CB4C76"/>
    <w:rsid w:val="00CB64A5"/>
    <w:rsid w:val="00CD22EA"/>
    <w:rsid w:val="00CD23A0"/>
    <w:rsid w:val="00CF19F1"/>
    <w:rsid w:val="00CF5902"/>
    <w:rsid w:val="00D002C4"/>
    <w:rsid w:val="00D037B6"/>
    <w:rsid w:val="00D04822"/>
    <w:rsid w:val="00D05F66"/>
    <w:rsid w:val="00D07DBF"/>
    <w:rsid w:val="00D16095"/>
    <w:rsid w:val="00D16A51"/>
    <w:rsid w:val="00D202B9"/>
    <w:rsid w:val="00D25415"/>
    <w:rsid w:val="00D42064"/>
    <w:rsid w:val="00D42F44"/>
    <w:rsid w:val="00D43E2C"/>
    <w:rsid w:val="00D45508"/>
    <w:rsid w:val="00D52B61"/>
    <w:rsid w:val="00D54381"/>
    <w:rsid w:val="00D543CF"/>
    <w:rsid w:val="00D574F5"/>
    <w:rsid w:val="00D76F83"/>
    <w:rsid w:val="00D80E52"/>
    <w:rsid w:val="00D811EE"/>
    <w:rsid w:val="00D85511"/>
    <w:rsid w:val="00D86918"/>
    <w:rsid w:val="00D908DC"/>
    <w:rsid w:val="00D93828"/>
    <w:rsid w:val="00D95713"/>
    <w:rsid w:val="00D972F0"/>
    <w:rsid w:val="00DB7C64"/>
    <w:rsid w:val="00DC035A"/>
    <w:rsid w:val="00DC3E15"/>
    <w:rsid w:val="00DC4A4A"/>
    <w:rsid w:val="00DC6B56"/>
    <w:rsid w:val="00DD66F8"/>
    <w:rsid w:val="00DD73BA"/>
    <w:rsid w:val="00DE49B9"/>
    <w:rsid w:val="00DF663D"/>
    <w:rsid w:val="00DF7D14"/>
    <w:rsid w:val="00E00A99"/>
    <w:rsid w:val="00E07913"/>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70031"/>
    <w:rsid w:val="00E7065F"/>
    <w:rsid w:val="00E83AEE"/>
    <w:rsid w:val="00E852D3"/>
    <w:rsid w:val="00E91144"/>
    <w:rsid w:val="00E947B4"/>
    <w:rsid w:val="00EA1390"/>
    <w:rsid w:val="00EA3F2D"/>
    <w:rsid w:val="00EA3F32"/>
    <w:rsid w:val="00EA499D"/>
    <w:rsid w:val="00EA7823"/>
    <w:rsid w:val="00EB043A"/>
    <w:rsid w:val="00EB240E"/>
    <w:rsid w:val="00EB37FF"/>
    <w:rsid w:val="00EB67E7"/>
    <w:rsid w:val="00EC13B4"/>
    <w:rsid w:val="00EC60C1"/>
    <w:rsid w:val="00ED3D91"/>
    <w:rsid w:val="00ED5F51"/>
    <w:rsid w:val="00EE2767"/>
    <w:rsid w:val="00EE453D"/>
    <w:rsid w:val="00EE5EDC"/>
    <w:rsid w:val="00EE7265"/>
    <w:rsid w:val="00EE7BC6"/>
    <w:rsid w:val="00EF135A"/>
    <w:rsid w:val="00EF2B88"/>
    <w:rsid w:val="00EF3C0A"/>
    <w:rsid w:val="00EF45EA"/>
    <w:rsid w:val="00EF7FCB"/>
    <w:rsid w:val="00F03619"/>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53CDB"/>
    <w:rsid w:val="00F5429D"/>
    <w:rsid w:val="00F54E11"/>
    <w:rsid w:val="00F60A50"/>
    <w:rsid w:val="00F60CFD"/>
    <w:rsid w:val="00F72364"/>
    <w:rsid w:val="00F820E5"/>
    <w:rsid w:val="00F8243B"/>
    <w:rsid w:val="00F8272D"/>
    <w:rsid w:val="00F85A82"/>
    <w:rsid w:val="00F97A90"/>
    <w:rsid w:val="00FA0938"/>
    <w:rsid w:val="00FA1DA8"/>
    <w:rsid w:val="00FA2880"/>
    <w:rsid w:val="00FB1ED4"/>
    <w:rsid w:val="00FB3A64"/>
    <w:rsid w:val="00FB3BCA"/>
    <w:rsid w:val="00FB47AF"/>
    <w:rsid w:val="00FB78CE"/>
    <w:rsid w:val="00FD32FA"/>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A270AC70-6101-4C04-B487-6BF617950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1652</Words>
  <Characters>9087</Characters>
  <Application>Microsoft Office Word</Application>
  <DocSecurity>0</DocSecurity>
  <Lines>75</Lines>
  <Paragraphs>21</Paragraphs>
  <ScaleCrop>false</ScaleCrop>
  <Company/>
  <LinksUpToDate>false</LinksUpToDate>
  <CharactersWithSpaces>10718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2024-09-25T08:12:00Z</dcterms:created>
  <dcterms:modified xsi:type="dcterms:W3CDTF">2024-09-27T14:12:00Z</dcterms:modified>
</cp:coreProperties>
</file>