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5B0FC" w14:textId="77777777" w:rsidR="005D0064" w:rsidRPr="008D5188" w:rsidRDefault="005D0064" w:rsidP="005D0064">
      <w:pPr>
        <w:rPr>
          <w:rFonts w:ascii="Times New Roman" w:hAnsi="Times New Roman" w:cs="Times New Roman"/>
          <w:b/>
          <w:sz w:val="20"/>
        </w:rPr>
      </w:pPr>
      <w:r w:rsidRPr="008D5188">
        <w:rPr>
          <w:rFonts w:ascii="Times New Roman" w:hAnsi="Times New Roman" w:cs="Times New Roman"/>
          <w:noProof/>
          <w:lang w:bidi="ar-SA"/>
        </w:rPr>
        <w:drawing>
          <wp:inline distT="0" distB="0" distL="0" distR="0" wp14:anchorId="480A401E" wp14:editId="4C4A9AE9">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D238A17" w14:textId="77777777" w:rsidR="005D0064" w:rsidRPr="008D5188" w:rsidDel="00160A5F" w:rsidRDefault="005D0064" w:rsidP="005D0064">
      <w:pPr>
        <w:jc w:val="center"/>
        <w:rPr>
          <w:rFonts w:ascii="Times New Roman" w:hAnsi="Times New Roman" w:cs="Times New Roman"/>
          <w:b/>
          <w:color w:val="003B8E"/>
          <w:sz w:val="32"/>
          <w:szCs w:val="32"/>
        </w:rPr>
      </w:pPr>
      <w:r w:rsidRPr="008D5188" w:rsidDel="00160A5F">
        <w:rPr>
          <w:rFonts w:ascii="Times New Roman" w:hAnsi="Times New Roman" w:cs="Times New Roman"/>
          <w:b/>
          <w:color w:val="003B8E"/>
          <w:sz w:val="32"/>
          <w:szCs w:val="32"/>
        </w:rPr>
        <w:t>Guide méthodologique</w:t>
      </w:r>
    </w:p>
    <w:p w14:paraId="67756653" w14:textId="23B24300" w:rsidR="005D0064" w:rsidRPr="008D5188" w:rsidRDefault="005D0064" w:rsidP="005D0064">
      <w:pPr>
        <w:jc w:val="center"/>
        <w:rPr>
          <w:rFonts w:ascii="Times New Roman" w:hAnsi="Times New Roman" w:cs="Times New Roman"/>
          <w:b/>
          <w:color w:val="003B8E"/>
          <w:sz w:val="28"/>
          <w:szCs w:val="32"/>
        </w:rPr>
      </w:pPr>
      <w:r w:rsidRPr="008D5188">
        <w:rPr>
          <w:rFonts w:ascii="Times New Roman" w:hAnsi="Times New Roman" w:cs="Times New Roman"/>
          <w:b/>
          <w:color w:val="003B8E"/>
          <w:sz w:val="28"/>
          <w:szCs w:val="32"/>
        </w:rPr>
        <w:t>Modèle des états « Programme de cession en réassurance » (RP.30.0X.01) :</w:t>
      </w:r>
    </w:p>
    <w:p w14:paraId="1DE3736B" w14:textId="77777777" w:rsidR="005D0064" w:rsidRPr="008D5188" w:rsidRDefault="005D0064" w:rsidP="005D0064">
      <w:pPr>
        <w:rPr>
          <w:rFonts w:ascii="Times New Roman" w:hAnsi="Times New Roman" w:cs="Times New Roman"/>
          <w:b/>
          <w:color w:val="003B8E"/>
          <w:szCs w:val="32"/>
        </w:rPr>
      </w:pPr>
      <w:bookmarkStart w:id="0" w:name="_GoBack"/>
      <w:bookmarkEnd w:id="0"/>
    </w:p>
    <w:p w14:paraId="39CF8D9D" w14:textId="4BC13668" w:rsidR="005D0064" w:rsidRPr="008D5188" w:rsidRDefault="005D0064" w:rsidP="005D0064">
      <w:pPr>
        <w:rPr>
          <w:rFonts w:ascii="Times New Roman" w:hAnsi="Times New Roman" w:cs="Times New Roman"/>
          <w:b/>
          <w:color w:val="003B8E"/>
          <w:szCs w:val="32"/>
        </w:rPr>
      </w:pPr>
      <w:r w:rsidRPr="008D5188">
        <w:rPr>
          <w:rFonts w:ascii="Times New Roman" w:hAnsi="Times New Roman" w:cs="Times New Roman"/>
          <w:b/>
          <w:color w:val="003B8E"/>
          <w:szCs w:val="32"/>
        </w:rPr>
        <w:t>- « Programme de cession en réassurance – Données de base » (RP.30.03.01)</w:t>
      </w:r>
    </w:p>
    <w:p w14:paraId="6A788D49" w14:textId="59B84960" w:rsidR="005D0064" w:rsidRPr="008D5188" w:rsidRDefault="005D0064" w:rsidP="005D0064">
      <w:pPr>
        <w:rPr>
          <w:rFonts w:ascii="Times New Roman" w:hAnsi="Times New Roman" w:cs="Times New Roman"/>
          <w:b/>
          <w:color w:val="003B8E"/>
          <w:szCs w:val="32"/>
        </w:rPr>
      </w:pPr>
      <w:r w:rsidRPr="008D5188">
        <w:rPr>
          <w:rFonts w:ascii="Times New Roman" w:hAnsi="Times New Roman" w:cs="Times New Roman"/>
          <w:b/>
          <w:color w:val="003B8E"/>
          <w:szCs w:val="32"/>
        </w:rPr>
        <w:t>- « Programme de cession en réassurance – Données sur les parts » (RP.30.04.01)</w:t>
      </w:r>
    </w:p>
    <w:p w14:paraId="2DD10DC6" w14:textId="79991EE0" w:rsidR="005D0064" w:rsidRPr="008D5188" w:rsidRDefault="005D0064" w:rsidP="005D0064">
      <w:pPr>
        <w:rPr>
          <w:rFonts w:ascii="Times New Roman" w:hAnsi="Times New Roman" w:cs="Times New Roman"/>
          <w:b/>
          <w:color w:val="003B8E"/>
          <w:szCs w:val="32"/>
        </w:rPr>
      </w:pPr>
    </w:p>
    <w:p w14:paraId="45120E9E" w14:textId="74DCF776" w:rsidR="000A55AA" w:rsidRPr="008D5188" w:rsidRDefault="00126B85">
      <w:pPr>
        <w:rPr>
          <w:rFonts w:ascii="Times New Roman" w:hAnsi="Times New Roman" w:cs="Times New Roman"/>
          <w:sz w:val="20"/>
          <w:szCs w:val="20"/>
        </w:rPr>
      </w:pPr>
      <w:r w:rsidRPr="008D5188">
        <w:rPr>
          <w:rFonts w:ascii="Times New Roman" w:hAnsi="Times New Roman"/>
          <w:b/>
          <w:sz w:val="20"/>
        </w:rPr>
        <w:t>RP.3</w:t>
      </w:r>
      <w:r w:rsidR="000A55AA" w:rsidRPr="008D5188">
        <w:rPr>
          <w:rFonts w:ascii="Times New Roman" w:hAnsi="Times New Roman"/>
          <w:b/>
          <w:sz w:val="20"/>
        </w:rPr>
        <w:t>0.03</w:t>
      </w:r>
      <w:r w:rsidR="0013206F" w:rsidRPr="008D5188">
        <w:rPr>
          <w:rFonts w:ascii="Times New Roman" w:hAnsi="Times New Roman"/>
          <w:b/>
          <w:sz w:val="20"/>
        </w:rPr>
        <w:t>.01</w:t>
      </w:r>
      <w:r w:rsidR="000A55AA" w:rsidRPr="008D5188">
        <w:rPr>
          <w:rFonts w:ascii="Times New Roman" w:hAnsi="Times New Roman"/>
          <w:b/>
          <w:sz w:val="20"/>
        </w:rPr>
        <w:t xml:space="preserve"> – Programme de cession en réassurance – Données de base</w:t>
      </w:r>
    </w:p>
    <w:p w14:paraId="60C7A793" w14:textId="77777777" w:rsidR="000A55AA" w:rsidRPr="008D5188" w:rsidRDefault="000A55AA" w:rsidP="00950116">
      <w:pPr>
        <w:jc w:val="both"/>
        <w:rPr>
          <w:rFonts w:ascii="Times New Roman" w:hAnsi="Times New Roman" w:cs="Times New Roman"/>
          <w:b/>
          <w:sz w:val="20"/>
          <w:szCs w:val="20"/>
        </w:rPr>
      </w:pPr>
      <w:r w:rsidRPr="008D5188">
        <w:rPr>
          <w:rFonts w:ascii="Times New Roman" w:hAnsi="Times New Roman"/>
          <w:b/>
          <w:sz w:val="20"/>
        </w:rPr>
        <w:t>Observations générales</w:t>
      </w:r>
    </w:p>
    <w:p w14:paraId="251D1FAF" w14:textId="401856D9" w:rsidR="000A55AA" w:rsidRPr="008D5188" w:rsidRDefault="00D05F66" w:rsidP="00950116">
      <w:pPr>
        <w:jc w:val="both"/>
        <w:rPr>
          <w:rFonts w:ascii="Times New Roman" w:hAnsi="Times New Roman"/>
          <w:sz w:val="20"/>
        </w:rPr>
      </w:pPr>
      <w:r w:rsidRPr="008D5188">
        <w:rPr>
          <w:rFonts w:ascii="Times New Roman" w:hAnsi="Times New Roman"/>
          <w:sz w:val="20"/>
        </w:rPr>
        <w:t xml:space="preserve">Ce modèle concerne les </w:t>
      </w:r>
      <w:r w:rsidR="005D0064" w:rsidRPr="008D5188">
        <w:rPr>
          <w:rFonts w:ascii="Times New Roman" w:hAnsi="Times New Roman"/>
          <w:sz w:val="20"/>
        </w:rPr>
        <w:t>O</w:t>
      </w:r>
      <w:r w:rsidR="00BE57D0" w:rsidRPr="008D5188">
        <w:rPr>
          <w:rFonts w:ascii="Times New Roman" w:hAnsi="Times New Roman"/>
          <w:sz w:val="20"/>
        </w:rPr>
        <w:t>RPS</w:t>
      </w:r>
      <w:r w:rsidRPr="008D5188">
        <w:rPr>
          <w:rFonts w:ascii="Times New Roman" w:hAnsi="Times New Roman"/>
          <w:sz w:val="20"/>
        </w:rPr>
        <w:t xml:space="preserve"> ayant un programme de cession en réassurance et/ou de rétrocession, y compris toute couverture fournie par des pools de réassurance bénéficiant du soutien des pouvoirs publics, à l’exclusion des couvertures facultatives.</w:t>
      </w:r>
    </w:p>
    <w:p w14:paraId="695531C5" w14:textId="3C136912" w:rsidR="00F820E5" w:rsidRPr="008D5188" w:rsidRDefault="00F820E5" w:rsidP="00950116">
      <w:pPr>
        <w:jc w:val="both"/>
        <w:rPr>
          <w:rFonts w:ascii="Times New Roman" w:hAnsi="Times New Roman" w:cs="Times New Roman"/>
          <w:sz w:val="20"/>
          <w:szCs w:val="20"/>
        </w:rPr>
      </w:pPr>
      <w:r w:rsidRPr="008D5188">
        <w:rPr>
          <w:rFonts w:ascii="Times New Roman" w:hAnsi="Times New Roman"/>
          <w:sz w:val="20"/>
        </w:rPr>
        <w:t>Aux fins du remplissage du présent modèle,</w:t>
      </w:r>
      <w:r w:rsidR="005D0064" w:rsidRPr="008D5188">
        <w:rPr>
          <w:rFonts w:ascii="Times New Roman" w:hAnsi="Times New Roman"/>
          <w:sz w:val="20"/>
        </w:rPr>
        <w:t xml:space="preserve"> le transfert de risques entre O</w:t>
      </w:r>
      <w:r w:rsidRPr="008D5188">
        <w:rPr>
          <w:rFonts w:ascii="Times New Roman" w:hAnsi="Times New Roman"/>
          <w:sz w:val="20"/>
        </w:rPr>
        <w:t>RPS visés au troisième alinéa de l’article L. 381-1 du code des assurances, est assimilé à de la cession en réassurance.</w:t>
      </w:r>
    </w:p>
    <w:p w14:paraId="0463516D" w14:textId="341F972B" w:rsidR="000A55AA" w:rsidRPr="008D5188" w:rsidRDefault="000A55AA" w:rsidP="00950116">
      <w:pPr>
        <w:jc w:val="both"/>
        <w:rPr>
          <w:rFonts w:ascii="Times New Roman" w:hAnsi="Times New Roman" w:cs="Times New Roman"/>
          <w:sz w:val="20"/>
          <w:szCs w:val="20"/>
        </w:rPr>
      </w:pPr>
      <w:r w:rsidRPr="008D5188">
        <w:rPr>
          <w:rFonts w:ascii="Times New Roman" w:hAnsi="Times New Roman"/>
          <w:sz w:val="20"/>
        </w:rPr>
        <w:t xml:space="preserve">Ce modèle est à compléter par </w:t>
      </w:r>
      <w:r w:rsidR="005D0064" w:rsidRPr="008D5188">
        <w:rPr>
          <w:rFonts w:ascii="Times New Roman" w:hAnsi="Times New Roman"/>
          <w:sz w:val="20"/>
        </w:rPr>
        <w:t>l’O</w:t>
      </w:r>
      <w:r w:rsidR="00BE57D0" w:rsidRPr="008D5188">
        <w:rPr>
          <w:rFonts w:ascii="Times New Roman" w:hAnsi="Times New Roman"/>
          <w:sz w:val="20"/>
        </w:rPr>
        <w:t>RPS</w:t>
      </w:r>
      <w:r w:rsidRPr="008D5188">
        <w:rPr>
          <w:rFonts w:ascii="Times New Roman" w:hAnsi="Times New Roman"/>
          <w:sz w:val="20"/>
        </w:rPr>
        <w:t xml:space="preserve"> qui transfère un risque de souscription à des réassureurs</w:t>
      </w:r>
      <w:r w:rsidR="005D0064" w:rsidRPr="008D5188">
        <w:rPr>
          <w:rFonts w:ascii="Times New Roman" w:hAnsi="Times New Roman"/>
          <w:sz w:val="20"/>
        </w:rPr>
        <w:t xml:space="preserve"> ou d’autres O</w:t>
      </w:r>
      <w:r w:rsidR="00BE57D0" w:rsidRPr="008D5188">
        <w:rPr>
          <w:rFonts w:ascii="Times New Roman" w:hAnsi="Times New Roman"/>
          <w:sz w:val="20"/>
        </w:rPr>
        <w:t>RPS</w:t>
      </w:r>
      <w:r w:rsidRPr="008D5188">
        <w:rPr>
          <w:rFonts w:ascii="Times New Roman" w:hAnsi="Times New Roman"/>
          <w:sz w:val="20"/>
        </w:rPr>
        <w:t xml:space="preserve"> au moyen d’un traité de réassurance dont la période de validité comprend ou chevauche l’année de référence suivante, et sont connus lorsque le modèle est complété. Si la stratégie de réassurance change de manière significative après cette date ou si la rénovation des contrats de réassurance est effectuée après la date de déclaration et avant le 1</w:t>
      </w:r>
      <w:r w:rsidRPr="008D5188">
        <w:rPr>
          <w:rFonts w:ascii="Times New Roman" w:hAnsi="Times New Roman"/>
          <w:sz w:val="20"/>
          <w:vertAlign w:val="superscript"/>
        </w:rPr>
        <w:t>er</w:t>
      </w:r>
      <w:r w:rsidRPr="008D5188">
        <w:rPr>
          <w:rFonts w:ascii="Times New Roman" w:hAnsi="Times New Roman"/>
          <w:sz w:val="20"/>
        </w:rPr>
        <w:t xml:space="preserve"> janvier suivant, les informations de ce modèle doivent être transmises à nouveau le moment venu.</w:t>
      </w:r>
    </w:p>
    <w:tbl>
      <w:tblPr>
        <w:tblStyle w:val="Grilledutableau"/>
        <w:tblW w:w="9464" w:type="dxa"/>
        <w:tblLook w:val="04A0" w:firstRow="1" w:lastRow="0" w:firstColumn="1" w:lastColumn="0" w:noHBand="0" w:noVBand="1"/>
      </w:tblPr>
      <w:tblGrid>
        <w:gridCol w:w="1019"/>
        <w:gridCol w:w="1716"/>
        <w:gridCol w:w="6729"/>
      </w:tblGrid>
      <w:tr w:rsidR="000A55AA" w:rsidRPr="008D5188" w14:paraId="678BDFD5" w14:textId="77777777" w:rsidTr="00536579">
        <w:trPr>
          <w:trHeight w:val="417"/>
        </w:trPr>
        <w:tc>
          <w:tcPr>
            <w:tcW w:w="1019" w:type="dxa"/>
          </w:tcPr>
          <w:p w14:paraId="71376390" w14:textId="77777777" w:rsidR="000A55AA" w:rsidRPr="008D5188" w:rsidRDefault="000A55AA" w:rsidP="00950116">
            <w:pPr>
              <w:jc w:val="center"/>
              <w:rPr>
                <w:rFonts w:ascii="Times New Roman" w:hAnsi="Times New Roman" w:cs="Times New Roman"/>
                <w:sz w:val="20"/>
                <w:szCs w:val="20"/>
              </w:rPr>
            </w:pPr>
          </w:p>
        </w:tc>
        <w:tc>
          <w:tcPr>
            <w:tcW w:w="1716" w:type="dxa"/>
          </w:tcPr>
          <w:p w14:paraId="74F38884" w14:textId="77777777" w:rsidR="000A55AA" w:rsidRPr="008D5188" w:rsidRDefault="000A55AA" w:rsidP="00950116">
            <w:pPr>
              <w:jc w:val="center"/>
              <w:rPr>
                <w:rFonts w:ascii="Times New Roman" w:hAnsi="Times New Roman" w:cs="Times New Roman"/>
                <w:sz w:val="20"/>
                <w:szCs w:val="20"/>
              </w:rPr>
            </w:pPr>
            <w:r w:rsidRPr="008D5188">
              <w:rPr>
                <w:rFonts w:ascii="Times New Roman" w:hAnsi="Times New Roman"/>
                <w:b/>
                <w:sz w:val="20"/>
              </w:rPr>
              <w:t>ÉLÉMENT À DÉCLARER</w:t>
            </w:r>
          </w:p>
        </w:tc>
        <w:tc>
          <w:tcPr>
            <w:tcW w:w="6729" w:type="dxa"/>
          </w:tcPr>
          <w:p w14:paraId="3DC91DE0" w14:textId="77777777" w:rsidR="000A55AA" w:rsidRPr="008D5188" w:rsidRDefault="000A55AA" w:rsidP="00950116">
            <w:pPr>
              <w:jc w:val="center"/>
              <w:rPr>
                <w:rFonts w:ascii="Times New Roman" w:hAnsi="Times New Roman" w:cs="Times New Roman"/>
                <w:sz w:val="20"/>
                <w:szCs w:val="20"/>
              </w:rPr>
            </w:pPr>
            <w:r w:rsidRPr="008D5188">
              <w:rPr>
                <w:rFonts w:ascii="Times New Roman" w:hAnsi="Times New Roman"/>
                <w:b/>
                <w:sz w:val="20"/>
              </w:rPr>
              <w:t>INSTRUCTIONS</w:t>
            </w:r>
          </w:p>
        </w:tc>
      </w:tr>
      <w:tr w:rsidR="000A55AA" w:rsidRPr="008D5188" w14:paraId="3856DC1B" w14:textId="77777777" w:rsidTr="00536579">
        <w:trPr>
          <w:trHeight w:val="615"/>
        </w:trPr>
        <w:tc>
          <w:tcPr>
            <w:tcW w:w="1019" w:type="dxa"/>
            <w:hideMark/>
          </w:tcPr>
          <w:p w14:paraId="7C16D6D3"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C0010</w:t>
            </w:r>
          </w:p>
        </w:tc>
        <w:tc>
          <w:tcPr>
            <w:tcW w:w="1716" w:type="dxa"/>
            <w:hideMark/>
          </w:tcPr>
          <w:p w14:paraId="133C64CD"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du programme de réassurance</w:t>
            </w:r>
          </w:p>
        </w:tc>
        <w:tc>
          <w:tcPr>
            <w:tcW w:w="6729" w:type="dxa"/>
            <w:hideMark/>
          </w:tcPr>
          <w:p w14:paraId="0EF3C19A" w14:textId="48C0A23E" w:rsidR="000A55AA" w:rsidRPr="008D5188" w:rsidRDefault="000A55AA" w:rsidP="00BE57D0">
            <w:pPr>
              <w:rPr>
                <w:rFonts w:ascii="Times New Roman" w:hAnsi="Times New Roman" w:cs="Times New Roman"/>
                <w:sz w:val="20"/>
                <w:szCs w:val="20"/>
              </w:rPr>
            </w:pPr>
            <w:r w:rsidRPr="008D5188">
              <w:rPr>
                <w:rFonts w:ascii="Times New Roman" w:hAnsi="Times New Roman"/>
                <w:sz w:val="20"/>
              </w:rPr>
              <w:t xml:space="preserve">Code unique (propre </w:t>
            </w:r>
            <w:r w:rsidR="00C2410F" w:rsidRPr="008D5188">
              <w:rPr>
                <w:rFonts w:ascii="Times New Roman" w:hAnsi="Times New Roman"/>
                <w:sz w:val="20"/>
              </w:rPr>
              <w:t>à l’O</w:t>
            </w:r>
            <w:r w:rsidR="00BE57D0" w:rsidRPr="008D5188">
              <w:rPr>
                <w:rFonts w:ascii="Times New Roman" w:hAnsi="Times New Roman"/>
                <w:sz w:val="20"/>
              </w:rPr>
              <w:t>RPS</w:t>
            </w:r>
            <w:r w:rsidRPr="008D5188">
              <w:rPr>
                <w:rFonts w:ascii="Times New Roman" w:hAnsi="Times New Roman"/>
                <w:sz w:val="20"/>
              </w:rPr>
              <w:t xml:space="preserve">) couvrant tous les placements et/ou traités de réassurance faisant partie du même programme de réassurance. </w:t>
            </w:r>
          </w:p>
        </w:tc>
      </w:tr>
      <w:tr w:rsidR="000A55AA" w:rsidRPr="008D5188" w14:paraId="18F49CBB" w14:textId="77777777" w:rsidTr="00536579">
        <w:trPr>
          <w:trHeight w:val="630"/>
        </w:trPr>
        <w:tc>
          <w:tcPr>
            <w:tcW w:w="1019" w:type="dxa"/>
            <w:hideMark/>
          </w:tcPr>
          <w:p w14:paraId="7746C342"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C0020</w:t>
            </w:r>
          </w:p>
        </w:tc>
        <w:tc>
          <w:tcPr>
            <w:tcW w:w="1716" w:type="dxa"/>
            <w:hideMark/>
          </w:tcPr>
          <w:p w14:paraId="70BDB7CE"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d’identification du traité</w:t>
            </w:r>
          </w:p>
        </w:tc>
        <w:tc>
          <w:tcPr>
            <w:tcW w:w="6729" w:type="dxa"/>
            <w:hideMark/>
          </w:tcPr>
          <w:p w14:paraId="39414B5A"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Code d’identification du traité qui identifie celui-ci de manière exclusive, qui doit être réutilisé dans les déclarations suivantes. Il s’agit généralement le numéro initial du traité enregistré dans les livres comptables de l’entreprise.</w:t>
            </w:r>
          </w:p>
        </w:tc>
      </w:tr>
      <w:tr w:rsidR="000A55AA" w:rsidRPr="008D5188" w14:paraId="322025D7" w14:textId="77777777" w:rsidTr="00536579">
        <w:trPr>
          <w:trHeight w:val="2639"/>
        </w:trPr>
        <w:tc>
          <w:tcPr>
            <w:tcW w:w="1019" w:type="dxa"/>
            <w:hideMark/>
          </w:tcPr>
          <w:p w14:paraId="7B2D6E06"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C0030</w:t>
            </w:r>
          </w:p>
        </w:tc>
        <w:tc>
          <w:tcPr>
            <w:tcW w:w="1716" w:type="dxa"/>
            <w:hideMark/>
          </w:tcPr>
          <w:p w14:paraId="18E2CFF2"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Numéro de section progressif dans le traité</w:t>
            </w:r>
          </w:p>
        </w:tc>
        <w:tc>
          <w:tcPr>
            <w:tcW w:w="6729" w:type="dxa"/>
            <w:hideMark/>
          </w:tcPr>
          <w:p w14:paraId="505042D1" w14:textId="2967E2C2" w:rsidR="000A55AA" w:rsidRPr="008D5188" w:rsidRDefault="000A55AA" w:rsidP="001D643E">
            <w:pPr>
              <w:rPr>
                <w:rFonts w:ascii="Times New Roman" w:hAnsi="Times New Roman" w:cs="Times New Roman"/>
                <w:sz w:val="20"/>
                <w:szCs w:val="20"/>
              </w:rPr>
            </w:pPr>
            <w:r w:rsidRPr="008D5188">
              <w:rPr>
                <w:rFonts w:ascii="Times New Roman" w:hAnsi="Times New Roman"/>
                <w:sz w:val="20"/>
              </w:rPr>
              <w:t xml:space="preserve">Le numéro de section progressif attribué par </w:t>
            </w:r>
            <w:r w:rsidR="00C2410F" w:rsidRPr="008D5188">
              <w:rPr>
                <w:rFonts w:ascii="Times New Roman" w:hAnsi="Times New Roman"/>
                <w:sz w:val="20"/>
              </w:rPr>
              <w:t>l’O</w:t>
            </w:r>
            <w:r w:rsidR="00A07329" w:rsidRPr="008D5188">
              <w:rPr>
                <w:rFonts w:ascii="Times New Roman" w:hAnsi="Times New Roman"/>
                <w:sz w:val="20"/>
              </w:rPr>
              <w:t xml:space="preserve">RPS </w:t>
            </w:r>
            <w:r w:rsidRPr="008D5188">
              <w:rPr>
                <w:rFonts w:ascii="Times New Roman" w:hAnsi="Times New Roman"/>
                <w:sz w:val="20"/>
              </w:rPr>
              <w:t xml:space="preserve">aux différentes sections du traité, lorsque le traité couvre </w:t>
            </w:r>
            <w:r w:rsidR="00A07329" w:rsidRPr="008D5188">
              <w:rPr>
                <w:rFonts w:ascii="Times New Roman" w:hAnsi="Times New Roman"/>
                <w:sz w:val="20"/>
              </w:rPr>
              <w:t xml:space="preserve">plusieurs risques </w:t>
            </w:r>
            <w:r w:rsidR="00486118" w:rsidRPr="008D5188">
              <w:rPr>
                <w:rFonts w:ascii="Times New Roman" w:hAnsi="Times New Roman"/>
                <w:sz w:val="20"/>
              </w:rPr>
              <w:t>(</w:t>
            </w:r>
            <w:r w:rsidR="00F820E5" w:rsidRPr="008D5188">
              <w:rPr>
                <w:rFonts w:ascii="Times New Roman" w:hAnsi="Times New Roman"/>
                <w:sz w:val="20"/>
              </w:rPr>
              <w:t>au sens de la colonne C007</w:t>
            </w:r>
            <w:r w:rsidR="001D643E" w:rsidRPr="008D5188">
              <w:rPr>
                <w:rFonts w:ascii="Times New Roman" w:hAnsi="Times New Roman"/>
                <w:sz w:val="20"/>
              </w:rPr>
              <w:t>0</w:t>
            </w:r>
            <w:r w:rsidR="00486118" w:rsidRPr="008D5188">
              <w:rPr>
                <w:rFonts w:ascii="Times New Roman" w:hAnsi="Times New Roman"/>
                <w:sz w:val="20"/>
              </w:rPr>
              <w:t>)</w:t>
            </w:r>
            <w:r w:rsidR="00F820E5" w:rsidRPr="008D5188">
              <w:rPr>
                <w:rFonts w:ascii="Times New Roman" w:hAnsi="Times New Roman"/>
                <w:sz w:val="20"/>
              </w:rPr>
              <w:t xml:space="preserve"> </w:t>
            </w:r>
            <w:r w:rsidRPr="008D5188">
              <w:rPr>
                <w:rFonts w:ascii="Times New Roman" w:hAnsi="Times New Roman"/>
                <w:sz w:val="20"/>
              </w:rPr>
              <w:t xml:space="preserve">ou couvre différents </w:t>
            </w:r>
            <w:r w:rsidR="00A07329" w:rsidRPr="008D5188">
              <w:rPr>
                <w:rFonts w:ascii="Times New Roman" w:hAnsi="Times New Roman"/>
                <w:sz w:val="20"/>
              </w:rPr>
              <w:t xml:space="preserve">risques </w:t>
            </w:r>
            <w:r w:rsidRPr="008D5188">
              <w:rPr>
                <w:rFonts w:ascii="Times New Roman" w:hAnsi="Times New Roman"/>
                <w:sz w:val="20"/>
              </w:rPr>
              <w:t xml:space="preserve">avec différentes limites. Les traités avec des conditions différentes sont considérés comme des traités différents aux fins de la déclaration des informations, et doivent être déclarés dans des sections distinctes. Lorsque différents </w:t>
            </w:r>
            <w:r w:rsidR="00486118" w:rsidRPr="008D5188">
              <w:rPr>
                <w:rFonts w:ascii="Times New Roman" w:hAnsi="Times New Roman"/>
                <w:sz w:val="20"/>
              </w:rPr>
              <w:t>risques</w:t>
            </w:r>
            <w:r w:rsidRPr="008D5188">
              <w:rPr>
                <w:rFonts w:ascii="Times New Roman" w:hAnsi="Times New Roman"/>
                <w:sz w:val="20"/>
              </w:rPr>
              <w:t xml:space="preserve"> sont couverts par le même traité, les conditions relatives à </w:t>
            </w:r>
            <w:r w:rsidR="00486118" w:rsidRPr="008D5188">
              <w:rPr>
                <w:rFonts w:ascii="Times New Roman" w:hAnsi="Times New Roman"/>
                <w:sz w:val="20"/>
              </w:rPr>
              <w:t>chaque risque</w:t>
            </w:r>
            <w:r w:rsidRPr="008D5188">
              <w:rPr>
                <w:rFonts w:ascii="Times New Roman" w:hAnsi="Times New Roman"/>
                <w:sz w:val="20"/>
              </w:rPr>
              <w:t xml:space="preserve"> doivent être précisées séparément sous chaque numéro de section. Les traités couvrant différents types de réassurance (par exemple, une section en excédent de plein et une autre en excédent de sinistre) dans un même traité sont déclarés dans les différentes sections. Les traités couvrant différentes tranches d’un même programme doivent être déclarés dans les différentes sections.</w:t>
            </w:r>
          </w:p>
        </w:tc>
      </w:tr>
      <w:tr w:rsidR="000A55AA" w:rsidRPr="008D5188" w14:paraId="7CE5D714" w14:textId="77777777" w:rsidTr="00536579">
        <w:trPr>
          <w:trHeight w:val="930"/>
        </w:trPr>
        <w:tc>
          <w:tcPr>
            <w:tcW w:w="1019" w:type="dxa"/>
            <w:hideMark/>
          </w:tcPr>
          <w:p w14:paraId="165881C0"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lastRenderedPageBreak/>
              <w:t>C0040</w:t>
            </w:r>
          </w:p>
        </w:tc>
        <w:tc>
          <w:tcPr>
            <w:tcW w:w="1716" w:type="dxa"/>
            <w:hideMark/>
          </w:tcPr>
          <w:p w14:paraId="5C7651A7"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Numéro progressif de l’excédent/de la tranche du programme</w:t>
            </w:r>
          </w:p>
        </w:tc>
        <w:tc>
          <w:tcPr>
            <w:tcW w:w="6729" w:type="dxa"/>
            <w:hideMark/>
          </w:tcPr>
          <w:p w14:paraId="422768A2"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Le numéro progressif de l’excédent/de la tranche, lorsque le traité fait partie d’un programme plus vaste.</w:t>
            </w:r>
          </w:p>
        </w:tc>
      </w:tr>
      <w:tr w:rsidR="000A55AA" w:rsidRPr="008D5188" w14:paraId="77E73486" w14:textId="77777777" w:rsidTr="00536579">
        <w:trPr>
          <w:trHeight w:val="915"/>
        </w:trPr>
        <w:tc>
          <w:tcPr>
            <w:tcW w:w="1019" w:type="dxa"/>
            <w:hideMark/>
          </w:tcPr>
          <w:p w14:paraId="18791E5E"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C0050</w:t>
            </w:r>
          </w:p>
        </w:tc>
        <w:tc>
          <w:tcPr>
            <w:tcW w:w="1716" w:type="dxa"/>
            <w:hideMark/>
          </w:tcPr>
          <w:p w14:paraId="798EB89D"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Nombre d’excédents/de tranches du programme</w:t>
            </w:r>
          </w:p>
        </w:tc>
        <w:tc>
          <w:tcPr>
            <w:tcW w:w="6729" w:type="dxa"/>
            <w:hideMark/>
          </w:tcPr>
          <w:p w14:paraId="734D4F46"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Le nombre total d’excédents ou de tranches du programme qui comprend le traité qui fait l’objet de la déclaration.</w:t>
            </w:r>
          </w:p>
        </w:tc>
      </w:tr>
      <w:tr w:rsidR="000A55AA" w:rsidRPr="008D5188" w14:paraId="3ED5BDD3" w14:textId="77777777" w:rsidTr="00536579">
        <w:trPr>
          <w:trHeight w:val="346"/>
        </w:trPr>
        <w:tc>
          <w:tcPr>
            <w:tcW w:w="1019" w:type="dxa"/>
            <w:hideMark/>
          </w:tcPr>
          <w:p w14:paraId="7BD701DF"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C0060</w:t>
            </w:r>
          </w:p>
        </w:tc>
        <w:tc>
          <w:tcPr>
            <w:tcW w:w="1716" w:type="dxa"/>
            <w:hideMark/>
          </w:tcPr>
          <w:p w14:paraId="026FB855"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Réassurance finite ou arrangement similaire</w:t>
            </w:r>
          </w:p>
        </w:tc>
        <w:tc>
          <w:tcPr>
            <w:tcW w:w="6729" w:type="dxa"/>
            <w:noWrap/>
            <w:hideMark/>
          </w:tcPr>
          <w:p w14:paraId="12FF5326"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Identification du contrat de réassurance. Choisir impérativement l’une des options suivantes: </w:t>
            </w:r>
          </w:p>
          <w:p w14:paraId="68258A1C"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1 – Réassurance non traditionnelle ou finite</w:t>
            </w:r>
          </w:p>
          <w:p w14:paraId="03303296" w14:textId="711CAE81"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w:t>
            </w:r>
            <w:r w:rsidR="00BA3A0B" w:rsidRPr="008D5188">
              <w:rPr>
                <w:rFonts w:ascii="Times New Roman" w:hAnsi="Times New Roman"/>
                <w:sz w:val="20"/>
              </w:rPr>
              <w:t>’il</w:t>
            </w:r>
            <w:r w:rsidRPr="008D5188">
              <w:rPr>
                <w:rFonts w:ascii="Times New Roman" w:hAnsi="Times New Roman"/>
                <w:sz w:val="20"/>
              </w:rPr>
              <w:t xml:space="preserve"> s’agit d’un contrat de réassurance ou d’un instrument financier qui n’est pas directement fondé sur le principe de l’indemnisation ou si le libellé du contrat qui fonde la réassurance ne comporte pas, ou de manière limitée seulement, un mécanisme de transfert de risque démontrable)</w:t>
            </w:r>
          </w:p>
          <w:p w14:paraId="6B1152DF"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2 – Autre que réassurance non traditionnelle ou finite </w:t>
            </w:r>
          </w:p>
          <w:p w14:paraId="12A51F91" w14:textId="77777777" w:rsidR="000A55AA" w:rsidRPr="008D5188" w:rsidRDefault="000A55AA" w:rsidP="00950116">
            <w:pPr>
              <w:rPr>
                <w:rFonts w:ascii="Times New Roman" w:hAnsi="Times New Roman" w:cs="Times New Roman"/>
                <w:sz w:val="20"/>
                <w:szCs w:val="20"/>
              </w:rPr>
            </w:pPr>
          </w:p>
          <w:p w14:paraId="63B8AD1B"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En cas de réassurance finite ou d’arrangement similaire, seuls les éléments faisables doivent être complétés. </w:t>
            </w:r>
          </w:p>
        </w:tc>
      </w:tr>
      <w:tr w:rsidR="000A55AA" w:rsidRPr="008D5188" w14:paraId="24FEC433" w14:textId="77777777" w:rsidTr="00536579">
        <w:trPr>
          <w:trHeight w:val="330"/>
        </w:trPr>
        <w:tc>
          <w:tcPr>
            <w:tcW w:w="1019" w:type="dxa"/>
            <w:hideMark/>
          </w:tcPr>
          <w:p w14:paraId="28E01967" w14:textId="2FFEAFF0"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C007</w:t>
            </w:r>
            <w:r w:rsidR="0009119A" w:rsidRPr="008D5188">
              <w:rPr>
                <w:rFonts w:ascii="Times New Roman" w:hAnsi="Times New Roman"/>
                <w:sz w:val="20"/>
              </w:rPr>
              <w:t>0</w:t>
            </w:r>
          </w:p>
        </w:tc>
        <w:tc>
          <w:tcPr>
            <w:tcW w:w="1716" w:type="dxa"/>
            <w:hideMark/>
          </w:tcPr>
          <w:p w14:paraId="383B3E6A" w14:textId="61753F02" w:rsidR="000A55AA" w:rsidRPr="008D5188" w:rsidRDefault="00A07329">
            <w:pPr>
              <w:rPr>
                <w:rFonts w:ascii="Times New Roman" w:hAnsi="Times New Roman" w:cs="Times New Roman"/>
                <w:sz w:val="20"/>
                <w:szCs w:val="20"/>
              </w:rPr>
            </w:pPr>
            <w:r w:rsidRPr="008D5188">
              <w:rPr>
                <w:rFonts w:ascii="Times New Roman" w:hAnsi="Times New Roman"/>
                <w:sz w:val="20"/>
              </w:rPr>
              <w:t>Nature du risque transféré</w:t>
            </w:r>
          </w:p>
        </w:tc>
        <w:tc>
          <w:tcPr>
            <w:tcW w:w="6729" w:type="dxa"/>
            <w:hideMark/>
          </w:tcPr>
          <w:p w14:paraId="53D6329C" w14:textId="69FF2D3B" w:rsidR="000A55AA" w:rsidRPr="008D5188" w:rsidRDefault="000A55AA" w:rsidP="00950116">
            <w:pPr>
              <w:rPr>
                <w:rFonts w:ascii="Times New Roman" w:hAnsi="Times New Roman" w:cs="Times New Roman"/>
                <w:sz w:val="20"/>
                <w:szCs w:val="20"/>
              </w:rPr>
            </w:pPr>
            <w:bookmarkStart w:id="1" w:name="OLE_LINK33"/>
            <w:r w:rsidRPr="008D5188">
              <w:rPr>
                <w:rFonts w:ascii="Times New Roman" w:hAnsi="Times New Roman"/>
                <w:sz w:val="20"/>
              </w:rPr>
              <w:t>Choisir impérativement l’une des options suivantes:</w:t>
            </w:r>
          </w:p>
          <w:p w14:paraId="5B607D29" w14:textId="7D7713C9"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1 – </w:t>
            </w:r>
            <w:r w:rsidR="00A07329" w:rsidRPr="008D5188">
              <w:rPr>
                <w:rFonts w:ascii="Times New Roman" w:hAnsi="Times New Roman"/>
                <w:sz w:val="20"/>
              </w:rPr>
              <w:t>Vie – euro</w:t>
            </w:r>
          </w:p>
          <w:p w14:paraId="1FAE7CB7" w14:textId="5C3F00AD"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2 – </w:t>
            </w:r>
            <w:r w:rsidR="00A07329" w:rsidRPr="008D5188">
              <w:rPr>
                <w:rFonts w:ascii="Times New Roman" w:hAnsi="Times New Roman"/>
                <w:sz w:val="20"/>
              </w:rPr>
              <w:t>Vie –  UC</w:t>
            </w:r>
          </w:p>
          <w:p w14:paraId="03F344C3" w14:textId="7809D405"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3 – </w:t>
            </w:r>
            <w:r w:rsidR="00A07329" w:rsidRPr="008D5188">
              <w:rPr>
                <w:rFonts w:ascii="Times New Roman" w:hAnsi="Times New Roman"/>
                <w:sz w:val="20"/>
              </w:rPr>
              <w:t xml:space="preserve">Vie – </w:t>
            </w:r>
            <w:r w:rsidR="00097A27" w:rsidRPr="008D5188">
              <w:rPr>
                <w:rFonts w:ascii="Times New Roman" w:hAnsi="Times New Roman"/>
                <w:sz w:val="20"/>
              </w:rPr>
              <w:t>E</w:t>
            </w:r>
            <w:r w:rsidR="00A07329" w:rsidRPr="008D5188">
              <w:rPr>
                <w:rFonts w:ascii="Times New Roman" w:hAnsi="Times New Roman"/>
                <w:sz w:val="20"/>
              </w:rPr>
              <w:t>urocroissance</w:t>
            </w:r>
          </w:p>
          <w:p w14:paraId="26A19CDF" w14:textId="2C17C89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4 – </w:t>
            </w:r>
            <w:r w:rsidR="00A07329" w:rsidRPr="008D5188">
              <w:rPr>
                <w:rFonts w:ascii="Times New Roman" w:hAnsi="Times New Roman"/>
                <w:sz w:val="20"/>
              </w:rPr>
              <w:t>Vie – branche 26</w:t>
            </w:r>
          </w:p>
          <w:p w14:paraId="210BDB0C" w14:textId="27771D9A"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5 – </w:t>
            </w:r>
            <w:r w:rsidR="00A07329" w:rsidRPr="008D5188">
              <w:rPr>
                <w:rFonts w:ascii="Times New Roman" w:hAnsi="Times New Roman"/>
                <w:sz w:val="20"/>
              </w:rPr>
              <w:t>Incapacité</w:t>
            </w:r>
          </w:p>
          <w:p w14:paraId="5EDF3280" w14:textId="1FB76122"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6 – </w:t>
            </w:r>
            <w:r w:rsidR="00A07329" w:rsidRPr="008D5188">
              <w:rPr>
                <w:rFonts w:ascii="Times New Roman" w:hAnsi="Times New Roman"/>
                <w:sz w:val="20"/>
              </w:rPr>
              <w:t>Invalidité</w:t>
            </w:r>
          </w:p>
          <w:p w14:paraId="33A13BDB" w14:textId="59161411"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7 – </w:t>
            </w:r>
            <w:r w:rsidR="00A07329" w:rsidRPr="008D5188">
              <w:rPr>
                <w:rFonts w:ascii="Times New Roman" w:hAnsi="Times New Roman"/>
                <w:sz w:val="20"/>
              </w:rPr>
              <w:t>Rente conjoint survivant</w:t>
            </w:r>
          </w:p>
          <w:p w14:paraId="4B8214DA" w14:textId="3F0CAB4A"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8 – </w:t>
            </w:r>
            <w:r w:rsidR="00A07329" w:rsidRPr="008D5188">
              <w:rPr>
                <w:rFonts w:ascii="Times New Roman" w:hAnsi="Times New Roman"/>
                <w:sz w:val="20"/>
              </w:rPr>
              <w:t>Rente d’éducation ou d’orphelin</w:t>
            </w:r>
          </w:p>
          <w:p w14:paraId="5866D64C" w14:textId="64140AED"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9 – </w:t>
            </w:r>
            <w:r w:rsidR="00A07329" w:rsidRPr="008D5188">
              <w:rPr>
                <w:rFonts w:ascii="Times New Roman" w:hAnsi="Times New Roman"/>
                <w:sz w:val="20"/>
              </w:rPr>
              <w:t>Dépendance</w:t>
            </w:r>
          </w:p>
          <w:p w14:paraId="7C37F90C" w14:textId="6FF40627" w:rsidR="000A55AA" w:rsidRPr="008D5188" w:rsidRDefault="000A55AA" w:rsidP="00950116">
            <w:pPr>
              <w:rPr>
                <w:rFonts w:ascii="Times New Roman" w:hAnsi="Times New Roman"/>
                <w:sz w:val="20"/>
              </w:rPr>
            </w:pPr>
            <w:r w:rsidRPr="008D5188">
              <w:rPr>
                <w:rFonts w:ascii="Times New Roman" w:hAnsi="Times New Roman"/>
                <w:sz w:val="20"/>
              </w:rPr>
              <w:t xml:space="preserve">10 – </w:t>
            </w:r>
            <w:r w:rsidR="00A07329" w:rsidRPr="008D5188">
              <w:rPr>
                <w:rFonts w:ascii="Times New Roman" w:hAnsi="Times New Roman"/>
                <w:sz w:val="20"/>
              </w:rPr>
              <w:t>Décès</w:t>
            </w:r>
          </w:p>
          <w:p w14:paraId="0A5A4097" w14:textId="77777777" w:rsidR="00F820E5" w:rsidRPr="008D5188" w:rsidRDefault="00F820E5" w:rsidP="00950116">
            <w:pPr>
              <w:rPr>
                <w:rFonts w:ascii="Times New Roman" w:hAnsi="Times New Roman" w:cs="Times New Roman"/>
                <w:sz w:val="20"/>
                <w:szCs w:val="20"/>
              </w:rPr>
            </w:pPr>
            <w:r w:rsidRPr="008D5188">
              <w:rPr>
                <w:rFonts w:ascii="Times New Roman" w:hAnsi="Times New Roman"/>
                <w:sz w:val="20"/>
              </w:rPr>
              <w:t xml:space="preserve">11 – Multi-risques </w:t>
            </w:r>
          </w:p>
          <w:p w14:paraId="436CA4D1" w14:textId="45410550" w:rsidR="000A55AA" w:rsidRPr="008D5188" w:rsidRDefault="00F820E5" w:rsidP="00950116">
            <w:pPr>
              <w:rPr>
                <w:rFonts w:ascii="Times New Roman" w:hAnsi="Times New Roman" w:cs="Times New Roman"/>
                <w:sz w:val="20"/>
                <w:szCs w:val="20"/>
              </w:rPr>
            </w:pPr>
            <w:r w:rsidRPr="008D5188">
              <w:rPr>
                <w:rFonts w:ascii="Times New Roman" w:hAnsi="Times New Roman"/>
                <w:sz w:val="20"/>
              </w:rPr>
              <w:t xml:space="preserve">12 </w:t>
            </w:r>
            <w:r w:rsidR="000A55AA" w:rsidRPr="008D5188">
              <w:rPr>
                <w:rFonts w:ascii="Times New Roman" w:hAnsi="Times New Roman"/>
                <w:sz w:val="20"/>
              </w:rPr>
              <w:t xml:space="preserve">– </w:t>
            </w:r>
            <w:r w:rsidR="00A07329" w:rsidRPr="008D5188">
              <w:rPr>
                <w:rFonts w:ascii="Times New Roman" w:hAnsi="Times New Roman"/>
                <w:sz w:val="20"/>
              </w:rPr>
              <w:t>Autre (à préciser dans le rapport régulier au contrôleur)</w:t>
            </w:r>
          </w:p>
          <w:p w14:paraId="36D49310"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Remarques complémentaires: </w:t>
            </w:r>
          </w:p>
          <w:p w14:paraId="141A94AC" w14:textId="1491BDD8"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1) Lorsque le traité de réassurance couvre plusieurs</w:t>
            </w:r>
            <w:r w:rsidR="00A07329" w:rsidRPr="008D5188">
              <w:rPr>
                <w:rFonts w:ascii="Times New Roman" w:hAnsi="Times New Roman"/>
                <w:sz w:val="20"/>
              </w:rPr>
              <w:t xml:space="preserve"> risques</w:t>
            </w:r>
            <w:r w:rsidRPr="008D5188">
              <w:rPr>
                <w:rFonts w:ascii="Times New Roman" w:hAnsi="Times New Roman"/>
                <w:sz w:val="20"/>
              </w:rPr>
              <w:t xml:space="preserve"> et que les modalités de la couverture diffèrent selon ces </w:t>
            </w:r>
            <w:r w:rsidR="00A07329" w:rsidRPr="008D5188">
              <w:rPr>
                <w:rFonts w:ascii="Times New Roman" w:hAnsi="Times New Roman"/>
                <w:sz w:val="20"/>
              </w:rPr>
              <w:t>risques</w:t>
            </w:r>
            <w:r w:rsidRPr="008D5188">
              <w:rPr>
                <w:rFonts w:ascii="Times New Roman" w:hAnsi="Times New Roman"/>
                <w:sz w:val="20"/>
              </w:rPr>
              <w:t>, le traité doit être déclaré sur plusieurs lignes. La première ligne pour le traité doit être encodée comme «</w:t>
            </w:r>
            <w:r w:rsidR="00270A08" w:rsidRPr="008D5188">
              <w:rPr>
                <w:rFonts w:ascii="Times New Roman" w:hAnsi="Times New Roman"/>
                <w:sz w:val="20"/>
              </w:rPr>
              <w:t xml:space="preserve"> </w:t>
            </w:r>
            <w:r w:rsidRPr="008D5188">
              <w:rPr>
                <w:rFonts w:ascii="Times New Roman" w:hAnsi="Times New Roman"/>
                <w:sz w:val="20"/>
              </w:rPr>
              <w:t>Multi-</w:t>
            </w:r>
            <w:r w:rsidR="00F820E5" w:rsidRPr="008D5188">
              <w:rPr>
                <w:rFonts w:ascii="Times New Roman" w:hAnsi="Times New Roman"/>
                <w:sz w:val="20"/>
              </w:rPr>
              <w:t>risques</w:t>
            </w:r>
            <w:r w:rsidR="00270A08" w:rsidRPr="008D5188">
              <w:rPr>
                <w:rFonts w:ascii="Times New Roman" w:hAnsi="Times New Roman"/>
                <w:sz w:val="20"/>
              </w:rPr>
              <w:t xml:space="preserve"> </w:t>
            </w:r>
            <w:r w:rsidRPr="008D5188">
              <w:rPr>
                <w:rFonts w:ascii="Times New Roman" w:hAnsi="Times New Roman"/>
                <w:sz w:val="20"/>
              </w:rPr>
              <w:t xml:space="preserve">», et fournir des informations sur les termes du traité dans son ensemble (tels que les franchises ou les primes de reconstitution), les lignes suivantes fournissant des informations sur les modalités du traité de réassurance spécifiquement applicables à chacun des </w:t>
            </w:r>
            <w:r w:rsidR="00F820E5" w:rsidRPr="008D5188">
              <w:rPr>
                <w:rFonts w:ascii="Times New Roman" w:hAnsi="Times New Roman"/>
                <w:sz w:val="20"/>
              </w:rPr>
              <w:t>risques spécifiques</w:t>
            </w:r>
            <w:r w:rsidRPr="008D5188">
              <w:rPr>
                <w:rFonts w:ascii="Times New Roman" w:hAnsi="Times New Roman"/>
                <w:sz w:val="20"/>
              </w:rPr>
              <w:t>.</w:t>
            </w:r>
          </w:p>
          <w:p w14:paraId="5AC64560" w14:textId="64281540"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2) Lorsque les termes de la couverture ne diffèrent pas selon </w:t>
            </w:r>
            <w:r w:rsidR="00A07329" w:rsidRPr="008D5188">
              <w:rPr>
                <w:rFonts w:ascii="Times New Roman" w:hAnsi="Times New Roman"/>
                <w:sz w:val="20"/>
              </w:rPr>
              <w:t xml:space="preserve">le risque, seul le risque dominant </w:t>
            </w:r>
            <w:r w:rsidRPr="008D5188">
              <w:rPr>
                <w:rFonts w:ascii="Times New Roman" w:hAnsi="Times New Roman"/>
                <w:sz w:val="20"/>
              </w:rPr>
              <w:t>(sur la base de l’encaissement de primes brut estimé du traité) est requis</w:t>
            </w:r>
            <w:bookmarkEnd w:id="1"/>
          </w:p>
          <w:p w14:paraId="03606B3D" w14:textId="77777777" w:rsidR="000A55AA" w:rsidRPr="008D5188" w:rsidRDefault="000A55AA" w:rsidP="00950116">
            <w:pPr>
              <w:rPr>
                <w:rFonts w:ascii="Times New Roman" w:hAnsi="Times New Roman"/>
              </w:rPr>
            </w:pPr>
            <w:r w:rsidRPr="008D5188">
              <w:rPr>
                <w:rFonts w:ascii="Times New Roman" w:hAnsi="Times New Roman"/>
                <w:sz w:val="20"/>
              </w:rPr>
              <w:t>3) Les traités portant sur plusieurs années et dont les conditions sont fixes peuvent être exprimés par les colonnes utilisées pour la période de validité.</w:t>
            </w:r>
          </w:p>
        </w:tc>
      </w:tr>
      <w:tr w:rsidR="000A55AA" w:rsidRPr="008D5188" w14:paraId="09722A33" w14:textId="77777777" w:rsidTr="00536579">
        <w:trPr>
          <w:trHeight w:val="2427"/>
        </w:trPr>
        <w:tc>
          <w:tcPr>
            <w:tcW w:w="1019" w:type="dxa"/>
            <w:hideMark/>
          </w:tcPr>
          <w:p w14:paraId="5CB9A57A"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C0080</w:t>
            </w:r>
          </w:p>
        </w:tc>
        <w:tc>
          <w:tcPr>
            <w:tcW w:w="1716" w:type="dxa"/>
            <w:hideMark/>
          </w:tcPr>
          <w:p w14:paraId="590E2810"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Description catégorie de risques couverts</w:t>
            </w:r>
          </w:p>
        </w:tc>
        <w:tc>
          <w:tcPr>
            <w:tcW w:w="6729" w:type="dxa"/>
            <w:hideMark/>
          </w:tcPr>
          <w:p w14:paraId="0F23D97D" w14:textId="2947A406" w:rsidR="000A55AA" w:rsidRPr="008D5188" w:rsidRDefault="000A55AA">
            <w:pPr>
              <w:rPr>
                <w:rFonts w:ascii="Times New Roman" w:hAnsi="Times New Roman" w:cs="Times New Roman"/>
                <w:sz w:val="20"/>
                <w:szCs w:val="20"/>
              </w:rPr>
            </w:pPr>
            <w:r w:rsidRPr="008D5188">
              <w:rPr>
                <w:rFonts w:ascii="Times New Roman" w:hAnsi="Times New Roman"/>
                <w:sz w:val="20"/>
              </w:rPr>
              <w:t>Une description du champ principal de la couverture du traité. Cette description se réfère au portefeuille principal sur lequel porte le traité, et fait généralement partie de la description du traité (par exemple</w:t>
            </w:r>
            <w:r w:rsidR="00BA3A0B" w:rsidRPr="008D5188">
              <w:rPr>
                <w:rFonts w:ascii="Times New Roman" w:hAnsi="Times New Roman"/>
                <w:sz w:val="20"/>
              </w:rPr>
              <w:t xml:space="preserve"> « propriété</w:t>
            </w:r>
            <w:r w:rsidRPr="008D5188">
              <w:rPr>
                <w:rFonts w:ascii="Times New Roman" w:hAnsi="Times New Roman"/>
                <w:sz w:val="20"/>
              </w:rPr>
              <w:t xml:space="preserve"> </w:t>
            </w:r>
            <w:r w:rsidR="00BA3A0B" w:rsidRPr="008D5188">
              <w:rPr>
                <w:rFonts w:ascii="Times New Roman" w:hAnsi="Times New Roman"/>
                <w:sz w:val="20"/>
              </w:rPr>
              <w:t>industrielle »</w:t>
            </w:r>
            <w:r w:rsidRPr="008D5188">
              <w:rPr>
                <w:rFonts w:ascii="Times New Roman" w:hAnsi="Times New Roman"/>
                <w:sz w:val="20"/>
              </w:rPr>
              <w:t xml:space="preserve"> ou</w:t>
            </w:r>
            <w:r w:rsidR="00BA3A0B" w:rsidRPr="008D5188">
              <w:rPr>
                <w:rFonts w:ascii="Times New Roman" w:hAnsi="Times New Roman"/>
                <w:sz w:val="20"/>
              </w:rPr>
              <w:t xml:space="preserve"> « responsabilité</w:t>
            </w:r>
            <w:r w:rsidRPr="008D5188">
              <w:rPr>
                <w:rFonts w:ascii="Times New Roman" w:hAnsi="Times New Roman"/>
                <w:sz w:val="20"/>
              </w:rPr>
              <w:t xml:space="preserve"> des administrateurs et dirigeants </w:t>
            </w:r>
            <w:r w:rsidR="00BA3A0B" w:rsidRPr="008D5188">
              <w:rPr>
                <w:rFonts w:ascii="Times New Roman" w:hAnsi="Times New Roman"/>
                <w:sz w:val="20"/>
              </w:rPr>
              <w:t>d’entreprise »</w:t>
            </w:r>
            <w:r w:rsidRPr="008D5188">
              <w:rPr>
                <w:rFonts w:ascii="Times New Roman" w:hAnsi="Times New Roman"/>
                <w:sz w:val="20"/>
              </w:rPr>
              <w:t xml:space="preserve">). Les </w:t>
            </w:r>
            <w:r w:rsidR="00BA3A0B" w:rsidRPr="008D5188">
              <w:rPr>
                <w:rFonts w:ascii="Times New Roman" w:hAnsi="Times New Roman"/>
                <w:sz w:val="20"/>
              </w:rPr>
              <w:t>ORPS</w:t>
            </w:r>
            <w:r w:rsidR="00A07329" w:rsidRPr="008D5188">
              <w:rPr>
                <w:rFonts w:ascii="Times New Roman" w:hAnsi="Times New Roman"/>
                <w:sz w:val="20"/>
              </w:rPr>
              <w:t xml:space="preserve"> </w:t>
            </w:r>
            <w:r w:rsidRPr="008D5188">
              <w:rPr>
                <w:rFonts w:ascii="Times New Roman" w:hAnsi="Times New Roman"/>
                <w:sz w:val="20"/>
              </w:rPr>
              <w:t>peuvent également inclure une description se référant à l’unité opérationnelle qui a accepté le risque, si cela a eu une incidence sur les conditions du traité (par exemple</w:t>
            </w:r>
            <w:r w:rsidR="00BA3A0B" w:rsidRPr="008D5188">
              <w:rPr>
                <w:rFonts w:ascii="Times New Roman" w:hAnsi="Times New Roman"/>
                <w:sz w:val="20"/>
              </w:rPr>
              <w:t xml:space="preserve"> « label</w:t>
            </w:r>
            <w:r w:rsidRPr="008D5188">
              <w:rPr>
                <w:rFonts w:ascii="Times New Roman" w:hAnsi="Times New Roman"/>
                <w:sz w:val="20"/>
              </w:rPr>
              <w:t xml:space="preserve"> de distribution </w:t>
            </w:r>
            <w:r w:rsidR="00BA3A0B" w:rsidRPr="008D5188">
              <w:rPr>
                <w:rFonts w:ascii="Times New Roman" w:hAnsi="Times New Roman"/>
                <w:sz w:val="20"/>
              </w:rPr>
              <w:t>A »</w:t>
            </w:r>
            <w:r w:rsidRPr="008D5188">
              <w:rPr>
                <w:rFonts w:ascii="Times New Roman" w:hAnsi="Times New Roman"/>
                <w:sz w:val="20"/>
              </w:rPr>
              <w:t>).</w:t>
            </w:r>
          </w:p>
          <w:p w14:paraId="6D5B448F" w14:textId="77777777" w:rsidR="000A55AA" w:rsidRPr="008D5188" w:rsidRDefault="000A55AA">
            <w:pPr>
              <w:rPr>
                <w:rFonts w:ascii="Times New Roman" w:hAnsi="Times New Roman" w:cs="Times New Roman"/>
                <w:sz w:val="20"/>
                <w:szCs w:val="20"/>
              </w:rPr>
            </w:pPr>
          </w:p>
          <w:p w14:paraId="61620BF9"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La description de la catégorie de risques couverts est spécifique à l’entité et n’est pas obligatoire. Par ailleurs, le terme «catégorie de risques» n’est pas fondé sur la terminologie de niveau 1 ou 2 mais peut être considéré comme une possibilité supplémentaire de fournir des informations complémentaires sur le(s) risque(s) de souscription.</w:t>
            </w:r>
          </w:p>
        </w:tc>
      </w:tr>
      <w:tr w:rsidR="000A55AA" w:rsidRPr="008D5188" w14:paraId="6CA48859" w14:textId="77777777" w:rsidTr="00536579">
        <w:trPr>
          <w:trHeight w:val="274"/>
        </w:trPr>
        <w:tc>
          <w:tcPr>
            <w:tcW w:w="1019" w:type="dxa"/>
            <w:hideMark/>
          </w:tcPr>
          <w:p w14:paraId="7BC998BA"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lastRenderedPageBreak/>
              <w:t>C0090</w:t>
            </w:r>
          </w:p>
        </w:tc>
        <w:tc>
          <w:tcPr>
            <w:tcW w:w="1716" w:type="dxa"/>
            <w:hideMark/>
          </w:tcPr>
          <w:p w14:paraId="7FF50C3B"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traité de réassurance</w:t>
            </w:r>
          </w:p>
        </w:tc>
        <w:tc>
          <w:tcPr>
            <w:tcW w:w="6729" w:type="dxa"/>
            <w:hideMark/>
          </w:tcPr>
          <w:p w14:paraId="76E32C97" w14:textId="77777777" w:rsidR="000A55AA" w:rsidRPr="008D5188" w:rsidRDefault="000A55AA">
            <w:pPr>
              <w:rPr>
                <w:rFonts w:ascii="Times New Roman" w:hAnsi="Times New Roman" w:cs="Times New Roman"/>
                <w:sz w:val="20"/>
                <w:szCs w:val="20"/>
              </w:rPr>
            </w:pPr>
            <w:bookmarkStart w:id="2" w:name="OLE_LINK34"/>
            <w:r w:rsidRPr="008D5188">
              <w:rPr>
                <w:rFonts w:ascii="Times New Roman" w:hAnsi="Times New Roman"/>
                <w:sz w:val="20"/>
              </w:rPr>
              <w:t xml:space="preserve">Le code du type de traité de réassurance. Choisir impérativement l’une des options suivantes: </w:t>
            </w:r>
          </w:p>
          <w:bookmarkEnd w:id="2"/>
          <w:p w14:paraId="0432921F"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1 – Quote-part</w:t>
            </w:r>
          </w:p>
          <w:p w14:paraId="231C6D14"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2 – Quote-part variable</w:t>
            </w:r>
          </w:p>
          <w:p w14:paraId="14916C7D"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3 – Excédent de plein</w:t>
            </w:r>
          </w:p>
          <w:p w14:paraId="29FBB12E" w14:textId="77777777" w:rsidR="000A55AA" w:rsidRPr="008D5188" w:rsidRDefault="000A55AA" w:rsidP="00950116">
            <w:pPr>
              <w:rPr>
                <w:rFonts w:ascii="Times New Roman" w:hAnsi="Times New Roman"/>
              </w:rPr>
            </w:pPr>
            <w:r w:rsidRPr="008D5188">
              <w:rPr>
                <w:rFonts w:ascii="Times New Roman" w:hAnsi="Times New Roman"/>
                <w:sz w:val="20"/>
              </w:rPr>
              <w:t xml:space="preserve">       </w:t>
            </w:r>
            <w:r w:rsidRPr="008D5188">
              <w:rPr>
                <w:rFonts w:ascii="Times New Roman" w:hAnsi="Times New Roman"/>
              </w:rPr>
              <w:t>4 – Excédent de sinistre (par événement et par risque)</w:t>
            </w:r>
          </w:p>
          <w:p w14:paraId="37C90D46"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5 – Excédent de sinistre (par risque)</w:t>
            </w:r>
          </w:p>
          <w:p w14:paraId="370F0EEC"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6 – Excédent de sinistre (par événement)</w:t>
            </w:r>
          </w:p>
          <w:p w14:paraId="57BC3B11" w14:textId="70C06AFF"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7 –</w:t>
            </w:r>
            <w:r w:rsidR="00C10A0B" w:rsidRPr="008D5188">
              <w:rPr>
                <w:rFonts w:ascii="Times New Roman" w:hAnsi="Times New Roman"/>
                <w:sz w:val="20"/>
              </w:rPr>
              <w:t xml:space="preserve"> « Complémentaire »</w:t>
            </w:r>
            <w:r w:rsidRPr="008D5188">
              <w:rPr>
                <w:rFonts w:ascii="Times New Roman" w:hAnsi="Times New Roman"/>
                <w:sz w:val="20"/>
              </w:rPr>
              <w:t xml:space="preserve"> excédent de sinistre (protection contre des événements faisant suite à certaines catastrophes telles que les inondations ou les incendies)</w:t>
            </w:r>
          </w:p>
          <w:p w14:paraId="6B32D204"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8 – Excédent de sinistre avec risque de base</w:t>
            </w:r>
          </w:p>
          <w:p w14:paraId="17AFD14D"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9 – Reconstitution de la garantie</w:t>
            </w:r>
          </w:p>
          <w:p w14:paraId="4EFD358A"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10 – Excédent de sinistre global</w:t>
            </w:r>
          </w:p>
          <w:p w14:paraId="62FBBC4F"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11 – Excédent de sinistre illimité</w:t>
            </w:r>
          </w:p>
          <w:p w14:paraId="6E73FFFC"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 xml:space="preserve">12 – Excédent de perte </w:t>
            </w:r>
          </w:p>
          <w:p w14:paraId="733045DA"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13 – Autres traités proportionnels</w:t>
            </w:r>
          </w:p>
          <w:p w14:paraId="1DF4BE33" w14:textId="77777777" w:rsidR="000A55AA" w:rsidRPr="008D5188" w:rsidRDefault="000A55AA" w:rsidP="00950116">
            <w:pPr>
              <w:ind w:left="360"/>
              <w:rPr>
                <w:rFonts w:ascii="Times New Roman" w:hAnsi="Times New Roman" w:cs="Times New Roman"/>
                <w:sz w:val="20"/>
                <w:szCs w:val="20"/>
              </w:rPr>
            </w:pPr>
            <w:r w:rsidRPr="008D5188">
              <w:rPr>
                <w:rFonts w:ascii="Times New Roman" w:hAnsi="Times New Roman"/>
                <w:sz w:val="20"/>
              </w:rPr>
              <w:t>14 – Autres traités non proportionnels</w:t>
            </w:r>
          </w:p>
          <w:p w14:paraId="513163B2" w14:textId="77777777" w:rsidR="000A55AA" w:rsidRPr="008D5188" w:rsidRDefault="000A55AA" w:rsidP="00950116">
            <w:pPr>
              <w:rPr>
                <w:rFonts w:ascii="Times New Roman" w:hAnsi="Times New Roman" w:cs="Times New Roman"/>
                <w:sz w:val="20"/>
                <w:szCs w:val="20"/>
              </w:rPr>
            </w:pPr>
          </w:p>
          <w:p w14:paraId="6ECA943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Les codes 13 (Autres traités proportionnels) et 14 (Autres traités non proportionnels) peuvent être utilisés pour les traités de réassurance hybrides.</w:t>
            </w:r>
          </w:p>
        </w:tc>
      </w:tr>
      <w:tr w:rsidR="00536579" w:rsidRPr="008D5188" w14:paraId="58592B96" w14:textId="77777777" w:rsidTr="00536579">
        <w:trPr>
          <w:trHeight w:val="594"/>
        </w:trPr>
        <w:tc>
          <w:tcPr>
            <w:tcW w:w="1019" w:type="dxa"/>
          </w:tcPr>
          <w:p w14:paraId="22E5BAF0" w14:textId="54EF5F7E" w:rsidR="00536579" w:rsidRPr="008D5188" w:rsidRDefault="00536579" w:rsidP="00950116">
            <w:pPr>
              <w:rPr>
                <w:rFonts w:ascii="Times New Roman" w:hAnsi="Times New Roman"/>
                <w:sz w:val="20"/>
              </w:rPr>
            </w:pPr>
            <w:r w:rsidRPr="008D5188">
              <w:rPr>
                <w:rFonts w:ascii="Times New Roman" w:hAnsi="Times New Roman"/>
                <w:sz w:val="20"/>
              </w:rPr>
              <w:t>C0100</w:t>
            </w:r>
          </w:p>
        </w:tc>
        <w:tc>
          <w:tcPr>
            <w:tcW w:w="1716" w:type="dxa"/>
          </w:tcPr>
          <w:p w14:paraId="62415E14" w14:textId="1AB672AE" w:rsidR="00536579" w:rsidRPr="008D5188" w:rsidRDefault="00536579">
            <w:pPr>
              <w:rPr>
                <w:rFonts w:ascii="Times New Roman" w:hAnsi="Times New Roman"/>
                <w:sz w:val="20"/>
              </w:rPr>
            </w:pPr>
            <w:r w:rsidRPr="008D5188">
              <w:rPr>
                <w:rFonts w:ascii="Times New Roman" w:hAnsi="Times New Roman"/>
                <w:sz w:val="20"/>
              </w:rPr>
              <w:t>Période de validité (date de début)</w:t>
            </w:r>
          </w:p>
        </w:tc>
        <w:tc>
          <w:tcPr>
            <w:tcW w:w="6729" w:type="dxa"/>
          </w:tcPr>
          <w:p w14:paraId="00C31DC1" w14:textId="70B37649" w:rsidR="00536579" w:rsidRPr="008D5188" w:rsidRDefault="00536579">
            <w:pPr>
              <w:rPr>
                <w:rFonts w:ascii="Times New Roman" w:hAnsi="Times New Roman"/>
                <w:sz w:val="20"/>
              </w:rPr>
            </w:pPr>
            <w:r w:rsidRPr="008D5188">
              <w:rPr>
                <w:rFonts w:ascii="Times New Roman" w:hAnsi="Times New Roman"/>
                <w:sz w:val="20"/>
              </w:rPr>
              <w:t>Le code ISO 8601 (aaaa-mm-jj) de la date de début du traité de réassurance en question.</w:t>
            </w:r>
          </w:p>
        </w:tc>
      </w:tr>
      <w:tr w:rsidR="00536579" w:rsidRPr="008D5188" w14:paraId="601CA932" w14:textId="77777777" w:rsidTr="00536579">
        <w:trPr>
          <w:trHeight w:val="615"/>
        </w:trPr>
        <w:tc>
          <w:tcPr>
            <w:tcW w:w="1019" w:type="dxa"/>
            <w:hideMark/>
          </w:tcPr>
          <w:p w14:paraId="2DFB6F3F"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C0110</w:t>
            </w:r>
          </w:p>
        </w:tc>
        <w:tc>
          <w:tcPr>
            <w:tcW w:w="1716" w:type="dxa"/>
            <w:hideMark/>
          </w:tcPr>
          <w:p w14:paraId="21E7842D" w14:textId="772B5F10" w:rsidR="00536579" w:rsidRPr="008D5188" w:rsidRDefault="00536579">
            <w:pPr>
              <w:rPr>
                <w:rFonts w:ascii="Times New Roman" w:hAnsi="Times New Roman" w:cs="Times New Roman"/>
                <w:sz w:val="20"/>
                <w:szCs w:val="20"/>
              </w:rPr>
            </w:pPr>
            <w:r w:rsidRPr="008D5188">
              <w:rPr>
                <w:rFonts w:ascii="Times New Roman" w:hAnsi="Times New Roman"/>
                <w:sz w:val="20"/>
              </w:rPr>
              <w:t>Période de validité (date d’expiration)</w:t>
            </w:r>
          </w:p>
        </w:tc>
        <w:tc>
          <w:tcPr>
            <w:tcW w:w="6729" w:type="dxa"/>
            <w:hideMark/>
          </w:tcPr>
          <w:p w14:paraId="03C894D2"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code ISO 8601 (aaaa-mm-jj) de la date de la date d’expiration finale du traité de réassurance en question.</w:t>
            </w:r>
          </w:p>
          <w:p w14:paraId="4101E799" w14:textId="77777777" w:rsidR="00536579" w:rsidRPr="008D5188" w:rsidRDefault="00536579" w:rsidP="00950116">
            <w:pPr>
              <w:rPr>
                <w:rFonts w:ascii="Times New Roman" w:hAnsi="Times New Roman" w:cs="Times New Roman"/>
                <w:sz w:val="20"/>
                <w:szCs w:val="20"/>
              </w:rPr>
            </w:pPr>
          </w:p>
          <w:p w14:paraId="49C68658" w14:textId="011EB1FA"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Si les conditions du traité restent inchangées lorsque le modèle est complété et que l’entreprise ne fait pas usage de la clause de résiliation, la date d’expiration est la prochaine date d’expiration possible.</w:t>
            </w:r>
          </w:p>
        </w:tc>
      </w:tr>
      <w:tr w:rsidR="00536579" w:rsidRPr="008D5188" w14:paraId="15B5CD58" w14:textId="77777777" w:rsidTr="00536579">
        <w:trPr>
          <w:trHeight w:val="300"/>
        </w:trPr>
        <w:tc>
          <w:tcPr>
            <w:tcW w:w="1019" w:type="dxa"/>
            <w:vMerge w:val="restart"/>
            <w:hideMark/>
          </w:tcPr>
          <w:p w14:paraId="4693CB17"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C0120</w:t>
            </w:r>
          </w:p>
        </w:tc>
        <w:tc>
          <w:tcPr>
            <w:tcW w:w="1716" w:type="dxa"/>
            <w:vMerge w:val="restart"/>
            <w:hideMark/>
          </w:tcPr>
          <w:p w14:paraId="2EE308B9" w14:textId="3BBDEDE1" w:rsidR="00536579" w:rsidRPr="008D5188" w:rsidRDefault="00536579">
            <w:pPr>
              <w:rPr>
                <w:rFonts w:ascii="Times New Roman" w:hAnsi="Times New Roman" w:cs="Times New Roman"/>
                <w:sz w:val="20"/>
                <w:szCs w:val="20"/>
              </w:rPr>
            </w:pPr>
            <w:r w:rsidRPr="008D5188">
              <w:rPr>
                <w:rFonts w:ascii="Times New Roman" w:hAnsi="Times New Roman"/>
                <w:sz w:val="20"/>
              </w:rPr>
              <w:t>Monnaie</w:t>
            </w:r>
          </w:p>
        </w:tc>
        <w:tc>
          <w:tcPr>
            <w:tcW w:w="6729" w:type="dxa"/>
            <w:vMerge w:val="restart"/>
            <w:hideMark/>
          </w:tcPr>
          <w:p w14:paraId="56D2731A"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code ISO 8601 (aaaa-mm-jj) de la date de la date d’expiration finale du traité de réassurance en question.</w:t>
            </w:r>
          </w:p>
          <w:p w14:paraId="62969ABD" w14:textId="77777777" w:rsidR="00536579" w:rsidRPr="008D5188" w:rsidRDefault="00536579" w:rsidP="00950116">
            <w:pPr>
              <w:rPr>
                <w:rFonts w:ascii="Times New Roman" w:hAnsi="Times New Roman" w:cs="Times New Roman"/>
                <w:sz w:val="20"/>
                <w:szCs w:val="20"/>
              </w:rPr>
            </w:pPr>
          </w:p>
          <w:p w14:paraId="0595E455"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Si les conditions du traité restent inchangées lorsque le modèle est complété et que l’entreprise ne fait pas usage de la clause de résiliation, la date d’expiration est la prochaine date d’expiration possible.</w:t>
            </w:r>
          </w:p>
          <w:p w14:paraId="46BB2CE3" w14:textId="626541FE"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Indiquer le code alphabétique ISO 4217 de la monnaie utilisée lors du placement du traité de réassurance. Tous les montants doivent être libellés dans cette monnaie pour la couverture en question, sauf exigence contraire de l’autorité de contrôle prudentiel et de résolution. Si le traité est placé dans deux monnaies différentes, déclarer la monnaie principale.</w:t>
            </w:r>
          </w:p>
        </w:tc>
      </w:tr>
      <w:tr w:rsidR="00536579" w:rsidRPr="008D5188" w14:paraId="4AAF5F8A" w14:textId="77777777" w:rsidTr="00536579">
        <w:trPr>
          <w:trHeight w:val="509"/>
        </w:trPr>
        <w:tc>
          <w:tcPr>
            <w:tcW w:w="1019" w:type="dxa"/>
            <w:vMerge/>
            <w:hideMark/>
          </w:tcPr>
          <w:p w14:paraId="7A936A61" w14:textId="77777777" w:rsidR="00536579" w:rsidRPr="008D5188" w:rsidRDefault="00536579">
            <w:pPr>
              <w:rPr>
                <w:rFonts w:ascii="Times New Roman" w:hAnsi="Times New Roman" w:cs="Times New Roman"/>
                <w:sz w:val="20"/>
                <w:szCs w:val="20"/>
              </w:rPr>
            </w:pPr>
          </w:p>
        </w:tc>
        <w:tc>
          <w:tcPr>
            <w:tcW w:w="1716" w:type="dxa"/>
            <w:vMerge/>
            <w:hideMark/>
          </w:tcPr>
          <w:p w14:paraId="0464FB09" w14:textId="77777777" w:rsidR="00536579" w:rsidRPr="008D5188" w:rsidRDefault="00536579">
            <w:pPr>
              <w:rPr>
                <w:rFonts w:ascii="Times New Roman" w:hAnsi="Times New Roman" w:cs="Times New Roman"/>
                <w:sz w:val="20"/>
                <w:szCs w:val="20"/>
              </w:rPr>
            </w:pPr>
          </w:p>
        </w:tc>
        <w:tc>
          <w:tcPr>
            <w:tcW w:w="6729" w:type="dxa"/>
            <w:vMerge/>
            <w:hideMark/>
          </w:tcPr>
          <w:p w14:paraId="30FF3C0C" w14:textId="77777777" w:rsidR="00536579" w:rsidRPr="008D5188" w:rsidRDefault="00536579">
            <w:pPr>
              <w:rPr>
                <w:rFonts w:ascii="Times New Roman" w:hAnsi="Times New Roman" w:cs="Times New Roman"/>
                <w:sz w:val="20"/>
                <w:szCs w:val="20"/>
              </w:rPr>
            </w:pPr>
          </w:p>
        </w:tc>
      </w:tr>
      <w:tr w:rsidR="00536579" w:rsidRPr="008D5188" w14:paraId="65F19487" w14:textId="77777777" w:rsidTr="00536579">
        <w:trPr>
          <w:trHeight w:val="615"/>
        </w:trPr>
        <w:tc>
          <w:tcPr>
            <w:tcW w:w="1019" w:type="dxa"/>
            <w:hideMark/>
          </w:tcPr>
          <w:p w14:paraId="44F12067"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C0130</w:t>
            </w:r>
          </w:p>
        </w:tc>
        <w:tc>
          <w:tcPr>
            <w:tcW w:w="1716" w:type="dxa"/>
            <w:hideMark/>
          </w:tcPr>
          <w:p w14:paraId="7174DF24" w14:textId="0DB4CFE5" w:rsidR="00536579" w:rsidRPr="008D5188" w:rsidRDefault="00536579">
            <w:pPr>
              <w:rPr>
                <w:rFonts w:ascii="Times New Roman" w:hAnsi="Times New Roman" w:cs="Times New Roman"/>
                <w:sz w:val="20"/>
                <w:szCs w:val="20"/>
              </w:rPr>
            </w:pPr>
            <w:r w:rsidRPr="008D5188">
              <w:rPr>
                <w:rFonts w:ascii="Times New Roman" w:hAnsi="Times New Roman"/>
                <w:sz w:val="20"/>
              </w:rPr>
              <w:t>Type de modèle de souscription</w:t>
            </w:r>
          </w:p>
        </w:tc>
        <w:tc>
          <w:tcPr>
            <w:tcW w:w="6729" w:type="dxa"/>
            <w:hideMark/>
          </w:tcPr>
          <w:p w14:paraId="10095FCF"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Le type de modèle de souscription qui est utilisé pour estimer l’exposition du risque de souscription et les besoins de protection par la réassurance. Choisir impérativement l’une des options suivantes:</w:t>
            </w:r>
          </w:p>
          <w:p w14:paraId="52AD3AED"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1 – Somme assurée:</w:t>
            </w:r>
          </w:p>
          <w:p w14:paraId="5ABA6ED0"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montant le plus élevé que l’ORPS peut être tenu de payer en vertu de la police d’origine. La somme assurée doit aussi être indiquée quand le type de modèle de souscription n’est pas applicable.</w:t>
            </w:r>
          </w:p>
          <w:p w14:paraId="3D39FDCD"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2 – Sinistre maximum possible:</w:t>
            </w:r>
          </w:p>
          <w:p w14:paraId="74CA6BF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sinistre qui peut survenir lorsque, les circonstances les plus défavorables étant plus ou moins exceptionnellement réunies, l’incendie ne s’arrête qu’en cas d’obstacles infranchissables ou de manque de combustible.</w:t>
            </w:r>
          </w:p>
          <w:p w14:paraId="149C3840"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3 – Sinistre maximum probable:</w:t>
            </w:r>
          </w:p>
          <w:p w14:paraId="4826A32D"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défini comme l’estimation du sinistre le plus important que l’on puisse attendre en conséquence d’un incendie ou danger individuel si l’on fait l’hypothèse du plus grave dysfonctionnement individuel possible des systèmes privés de protection incendie primaires mais d’un fonctionnement normal des systèmes ou organisations de protection secondaires (tels que les organisations de secours d’urgence et les services de sécurité incendie privés et/ou publics). Cette définition est une forme hybride du sinistre maximum possible et du sinistre </w:t>
            </w:r>
            <w:r w:rsidRPr="008D5188">
              <w:rPr>
                <w:rFonts w:ascii="Times New Roman" w:hAnsi="Times New Roman"/>
                <w:sz w:val="20"/>
              </w:rPr>
              <w:lastRenderedPageBreak/>
              <w:t>maximum estimé qui est généralement acceptée et fréquemment utilisée par les assureurs, les réassureurs et les courtiers en réassurance.</w:t>
            </w:r>
          </w:p>
          <w:p w14:paraId="0D4ECA78"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4 – Sinistre maximum estimé:</w:t>
            </w:r>
          </w:p>
          <w:p w14:paraId="22BA1E42"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sinistre qui pourrait raisonnablement être subi dans les circonstances considérées, en conséquence d’un incident individuel considéré comme relevant du domaine du probable, en tenant compte de tous les facteurs susceptibles d’accroître ou de réduire l’étendue du sinistre, mais en excluant les coïncidences et les catastrophes qui pourraient être possibles mais demeurent peu probables.</w:t>
            </w:r>
          </w:p>
          <w:p w14:paraId="59279A7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5 – Autre :</w:t>
            </w:r>
          </w:p>
          <w:p w14:paraId="2BA14C1C" w14:textId="5F5D0AC3" w:rsidR="00536579" w:rsidRPr="008D5188" w:rsidRDefault="00536579" w:rsidP="00907D61">
            <w:pPr>
              <w:rPr>
                <w:rFonts w:ascii="Times New Roman" w:hAnsi="Times New Roman" w:cs="Times New Roman"/>
                <w:sz w:val="20"/>
                <w:szCs w:val="20"/>
              </w:rPr>
            </w:pPr>
            <w:r w:rsidRPr="008D5188">
              <w:rPr>
                <w:rFonts w:ascii="Times New Roman" w:hAnsi="Times New Roman"/>
                <w:sz w:val="20"/>
              </w:rPr>
              <w:t>les autres modèles de souscription possibles utilisés.  Le type d’«autre» modèle de souscription appliqué doit être expliqué dans le rapport régulier au contrôleur.</w:t>
            </w:r>
          </w:p>
        </w:tc>
      </w:tr>
      <w:tr w:rsidR="00536579" w:rsidRPr="008D5188" w14:paraId="43E747D0" w14:textId="77777777" w:rsidTr="00536579">
        <w:trPr>
          <w:trHeight w:val="1369"/>
        </w:trPr>
        <w:tc>
          <w:tcPr>
            <w:tcW w:w="1019" w:type="dxa"/>
            <w:hideMark/>
          </w:tcPr>
          <w:p w14:paraId="7FDBEE62"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lastRenderedPageBreak/>
              <w:t>C0140</w:t>
            </w:r>
          </w:p>
        </w:tc>
        <w:tc>
          <w:tcPr>
            <w:tcW w:w="1716" w:type="dxa"/>
            <w:hideMark/>
          </w:tcPr>
          <w:p w14:paraId="335522A8" w14:textId="1AD207ED" w:rsidR="00536579" w:rsidRPr="008D5188" w:rsidRDefault="00536579" w:rsidP="00950116">
            <w:pPr>
              <w:rPr>
                <w:rFonts w:ascii="Times New Roman" w:hAnsi="Times New Roman" w:cs="Times New Roman"/>
                <w:sz w:val="20"/>
                <w:szCs w:val="20"/>
              </w:rPr>
            </w:pPr>
            <w:r w:rsidRPr="008D5188">
              <w:rPr>
                <w:rFonts w:ascii="Times New Roman" w:hAnsi="Times New Roman" w:cs="Times New Roman"/>
                <w:sz w:val="20"/>
                <w:szCs w:val="20"/>
              </w:rPr>
              <w:t>Chiffre d'affaires estimé prime de base (excédent de sinistre – ESPI)</w:t>
            </w:r>
          </w:p>
        </w:tc>
        <w:tc>
          <w:tcPr>
            <w:tcW w:w="6729" w:type="dxa"/>
            <w:hideMark/>
          </w:tcPr>
          <w:p w14:paraId="3E2F9EAE" w14:textId="40EE8D56" w:rsidR="00536579" w:rsidRPr="008D5188" w:rsidRDefault="00536579">
            <w:pPr>
              <w:rPr>
                <w:rFonts w:ascii="Times New Roman" w:hAnsi="Times New Roman" w:cs="Times New Roman"/>
                <w:sz w:val="20"/>
                <w:szCs w:val="20"/>
              </w:rPr>
            </w:pPr>
            <w:r w:rsidRPr="008D5188">
              <w:rPr>
                <w:rFonts w:ascii="Times New Roman" w:hAnsi="Times New Roman"/>
                <w:sz w:val="20"/>
              </w:rPr>
              <w:t>Le montant du chiffre d’affaires estimé des primes de base (« ESPI ») sur la durée du contrat. Il s’agit en général du montant de la prime du portefeuille protégé par des traités en excédent de sinistre; dans tous les cas, il s’agit du montant par rapport auquel la prime de réassurance est calculée en appliquant le taux. Cette ligne n’est déclarée que pour les traités en excédent de sinistre.</w:t>
            </w:r>
          </w:p>
        </w:tc>
      </w:tr>
      <w:tr w:rsidR="00536579" w:rsidRPr="008D5188" w14:paraId="607B25F6" w14:textId="77777777" w:rsidTr="00536579">
        <w:trPr>
          <w:trHeight w:val="930"/>
        </w:trPr>
        <w:tc>
          <w:tcPr>
            <w:tcW w:w="1019" w:type="dxa"/>
            <w:hideMark/>
          </w:tcPr>
          <w:p w14:paraId="1ABABECC"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C0150</w:t>
            </w:r>
          </w:p>
        </w:tc>
        <w:tc>
          <w:tcPr>
            <w:tcW w:w="1716" w:type="dxa"/>
            <w:hideMark/>
          </w:tcPr>
          <w:p w14:paraId="09364F7C" w14:textId="21FF5944" w:rsidR="00536579" w:rsidRPr="008D5188" w:rsidRDefault="00536579">
            <w:pPr>
              <w:rPr>
                <w:rFonts w:ascii="Times New Roman" w:hAnsi="Times New Roman" w:cs="Times New Roman"/>
                <w:sz w:val="20"/>
                <w:szCs w:val="20"/>
              </w:rPr>
            </w:pPr>
            <w:r w:rsidRPr="008D5188">
              <w:rPr>
                <w:rFonts w:ascii="Times New Roman" w:hAnsi="Times New Roman"/>
                <w:sz w:val="20"/>
              </w:rPr>
              <w:t>Chiffre d'affaires brut estimé de la prime du traité (proportionnel et non proportionnel)</w:t>
            </w:r>
          </w:p>
        </w:tc>
        <w:tc>
          <w:tcPr>
            <w:tcW w:w="6729" w:type="dxa"/>
            <w:hideMark/>
          </w:tcPr>
          <w:p w14:paraId="03940471" w14:textId="127B6E31" w:rsidR="00536579" w:rsidRPr="008D5188" w:rsidRDefault="00536579">
            <w:pPr>
              <w:rPr>
                <w:rFonts w:ascii="Times New Roman" w:hAnsi="Times New Roman" w:cs="Times New Roman"/>
                <w:sz w:val="20"/>
                <w:szCs w:val="20"/>
              </w:rPr>
            </w:pPr>
            <w:r w:rsidRPr="008D5188">
              <w:rPr>
                <w:rFonts w:ascii="Times New Roman" w:hAnsi="Times New Roman"/>
                <w:sz w:val="20"/>
              </w:rPr>
              <w:t>Le montant de la prime pour 100 % du traité sur la durée du contrat. Ce montant équivaut à 100 % de la prime de réassurance à payer à tous les réassureurs sur la durée du traité, y compris la prime correspondant à des parts non placées.</w:t>
            </w:r>
          </w:p>
        </w:tc>
      </w:tr>
      <w:tr w:rsidR="00536579" w:rsidRPr="008D5188" w14:paraId="7CB231CB" w14:textId="77777777" w:rsidTr="00536579">
        <w:trPr>
          <w:trHeight w:val="1215"/>
        </w:trPr>
        <w:tc>
          <w:tcPr>
            <w:tcW w:w="1019" w:type="dxa"/>
            <w:hideMark/>
          </w:tcPr>
          <w:p w14:paraId="6F6C3012"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C0160</w:t>
            </w:r>
          </w:p>
        </w:tc>
        <w:tc>
          <w:tcPr>
            <w:tcW w:w="1716" w:type="dxa"/>
            <w:hideMark/>
          </w:tcPr>
          <w:p w14:paraId="247D1D59" w14:textId="1084FFDD" w:rsidR="00536579" w:rsidRPr="008D5188" w:rsidRDefault="00536579">
            <w:pPr>
              <w:rPr>
                <w:rFonts w:ascii="Times New Roman" w:hAnsi="Times New Roman" w:cs="Times New Roman"/>
                <w:sz w:val="20"/>
                <w:szCs w:val="20"/>
              </w:rPr>
            </w:pPr>
            <w:r w:rsidRPr="008D5188">
              <w:rPr>
                <w:rFonts w:ascii="Times New Roman" w:hAnsi="Times New Roman"/>
                <w:sz w:val="20"/>
              </w:rPr>
              <w:t>Franchise globale (montant)</w:t>
            </w:r>
          </w:p>
        </w:tc>
        <w:tc>
          <w:tcPr>
            <w:tcW w:w="6729" w:type="dxa"/>
            <w:hideMark/>
          </w:tcPr>
          <w:p w14:paraId="6EDBAE14" w14:textId="2096AD2A" w:rsidR="00536579" w:rsidRPr="008D5188" w:rsidRDefault="00536579">
            <w:pPr>
              <w:rPr>
                <w:rFonts w:ascii="Times New Roman" w:hAnsi="Times New Roman" w:cs="Times New Roman"/>
                <w:sz w:val="20"/>
                <w:szCs w:val="20"/>
              </w:rPr>
            </w:pPr>
            <w:r w:rsidRPr="008D5188">
              <w:rPr>
                <w:rFonts w:ascii="Times New Roman" w:hAnsi="Times New Roman"/>
                <w:sz w:val="20"/>
              </w:rPr>
              <w:t>Le montant de la franchise, autrement dit une rétention supplémentaire lorsque les pertes ne sont couvertes par le réassureur qu’à partir d’un certain montant de pertes cumulées. Cet élément n’est à déclarer, lorsque cela est applicable, que si l’élément C0180 n’est pas déclaré.</w:t>
            </w:r>
          </w:p>
        </w:tc>
      </w:tr>
      <w:tr w:rsidR="00536579" w:rsidRPr="008D5188" w14:paraId="7C6B0F07" w14:textId="77777777" w:rsidTr="00536579">
        <w:trPr>
          <w:trHeight w:val="771"/>
        </w:trPr>
        <w:tc>
          <w:tcPr>
            <w:tcW w:w="1019" w:type="dxa"/>
            <w:hideMark/>
          </w:tcPr>
          <w:p w14:paraId="5B2D34C0"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C0170</w:t>
            </w:r>
          </w:p>
        </w:tc>
        <w:tc>
          <w:tcPr>
            <w:tcW w:w="1716" w:type="dxa"/>
            <w:hideMark/>
          </w:tcPr>
          <w:p w14:paraId="704D9B44" w14:textId="1C297480"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Franchise globale (%)</w:t>
            </w:r>
          </w:p>
        </w:tc>
        <w:tc>
          <w:tcPr>
            <w:tcW w:w="6729" w:type="dxa"/>
            <w:hideMark/>
          </w:tcPr>
          <w:p w14:paraId="2D25924D"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pourcentage de la franchise, autrement dit un pourcentage de rétention supplémentaire lorsque les pertes ne sont couvertes par le réassureur qu’à partir d’un certain montant de pertes cumulées. Cet élément n’est à déclarer, lorsque cela est applicable, que si l’élément C0170 n’est pas déclaré.</w:t>
            </w:r>
          </w:p>
          <w:p w14:paraId="6C4A60A8" w14:textId="156A68CB"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tc>
      </w:tr>
      <w:tr w:rsidR="00536579" w:rsidRPr="008D5188" w14:paraId="3880729F" w14:textId="77777777" w:rsidTr="00536579">
        <w:trPr>
          <w:trHeight w:val="945"/>
        </w:trPr>
        <w:tc>
          <w:tcPr>
            <w:tcW w:w="1019" w:type="dxa"/>
            <w:hideMark/>
          </w:tcPr>
          <w:p w14:paraId="322C8571"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C0180</w:t>
            </w:r>
          </w:p>
        </w:tc>
        <w:tc>
          <w:tcPr>
            <w:tcW w:w="1716" w:type="dxa"/>
            <w:hideMark/>
          </w:tcPr>
          <w:p w14:paraId="71080A4D" w14:textId="74D17A09" w:rsidR="00536579" w:rsidRPr="008D5188" w:rsidRDefault="00536579">
            <w:pPr>
              <w:rPr>
                <w:rFonts w:ascii="Times New Roman" w:hAnsi="Times New Roman" w:cs="Times New Roman"/>
                <w:sz w:val="20"/>
                <w:szCs w:val="20"/>
              </w:rPr>
            </w:pPr>
            <w:r w:rsidRPr="008D5188">
              <w:rPr>
                <w:rFonts w:ascii="Times New Roman" w:hAnsi="Times New Roman"/>
                <w:sz w:val="20"/>
              </w:rPr>
              <w:t>Rétention ou priorité (montant)</w:t>
            </w:r>
          </w:p>
        </w:tc>
        <w:tc>
          <w:tcPr>
            <w:tcW w:w="6729" w:type="dxa"/>
            <w:hideMark/>
          </w:tcPr>
          <w:p w14:paraId="3C342BC8" w14:textId="5B399E83"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Pour les traités en excédent de plein, en excédent de sinistres par risque et en excédent de sinistres catastrophe, le montant prévu dans le traité en tant que rétention ou en tant que priorité. Fournir des informations distinctes pour les différents risques.</w:t>
            </w:r>
          </w:p>
        </w:tc>
      </w:tr>
      <w:tr w:rsidR="00536579" w:rsidRPr="008D5188" w14:paraId="29A7AEEB" w14:textId="77777777" w:rsidTr="00536579">
        <w:trPr>
          <w:trHeight w:val="915"/>
        </w:trPr>
        <w:tc>
          <w:tcPr>
            <w:tcW w:w="1019" w:type="dxa"/>
            <w:hideMark/>
          </w:tcPr>
          <w:p w14:paraId="32BA04DF"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C0190</w:t>
            </w:r>
          </w:p>
        </w:tc>
        <w:tc>
          <w:tcPr>
            <w:tcW w:w="1716" w:type="dxa"/>
            <w:hideMark/>
          </w:tcPr>
          <w:p w14:paraId="2559A0F3" w14:textId="1704AC0E"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Rétention ou priorité (%)</w:t>
            </w:r>
          </w:p>
        </w:tc>
        <w:tc>
          <w:tcPr>
            <w:tcW w:w="6729" w:type="dxa"/>
            <w:hideMark/>
          </w:tcPr>
          <w:p w14:paraId="544E47C9"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Pour les traités en quote-part et en excédent de perte, le pourcentage prévu dans le traité en tant que rétention ou en tant que priorité. Fournir des informations distinctes pour les différents risques.</w:t>
            </w:r>
          </w:p>
          <w:p w14:paraId="7A805E1E" w14:textId="5A24DBD6" w:rsidR="00536579" w:rsidRPr="008D5188" w:rsidRDefault="00536579" w:rsidP="00E54DF8">
            <w:pPr>
              <w:rPr>
                <w:rFonts w:ascii="Times New Roman" w:hAnsi="Times New Roman" w:cs="Times New Roman"/>
                <w:sz w:val="20"/>
                <w:szCs w:val="20"/>
              </w:rPr>
            </w:pPr>
            <w:r w:rsidRPr="008D5188">
              <w:rPr>
                <w:rFonts w:ascii="Times New Roman" w:hAnsi="Times New Roman"/>
                <w:sz w:val="20"/>
              </w:rPr>
              <w:t>À déclarer en valeur décimale.</w:t>
            </w:r>
          </w:p>
        </w:tc>
      </w:tr>
      <w:tr w:rsidR="00536579" w:rsidRPr="008D5188" w14:paraId="7613B180" w14:textId="77777777" w:rsidTr="00536579">
        <w:trPr>
          <w:trHeight w:val="885"/>
        </w:trPr>
        <w:tc>
          <w:tcPr>
            <w:tcW w:w="1019" w:type="dxa"/>
            <w:hideMark/>
          </w:tcPr>
          <w:p w14:paraId="20EE3754"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C0200</w:t>
            </w:r>
          </w:p>
        </w:tc>
        <w:tc>
          <w:tcPr>
            <w:tcW w:w="1716" w:type="dxa"/>
            <w:hideMark/>
          </w:tcPr>
          <w:p w14:paraId="6DCD4FB4" w14:textId="313A71CA" w:rsidR="00536579" w:rsidRPr="008D5188" w:rsidRDefault="00536579">
            <w:pPr>
              <w:rPr>
                <w:rFonts w:ascii="Times New Roman" w:hAnsi="Times New Roman" w:cs="Times New Roman"/>
                <w:sz w:val="20"/>
                <w:szCs w:val="20"/>
              </w:rPr>
            </w:pPr>
            <w:r w:rsidRPr="008D5188">
              <w:rPr>
                <w:rFonts w:ascii="Times New Roman" w:hAnsi="Times New Roman"/>
                <w:sz w:val="20"/>
              </w:rPr>
              <w:t>Limite (montant)</w:t>
            </w:r>
          </w:p>
        </w:tc>
        <w:tc>
          <w:tcPr>
            <w:tcW w:w="6729" w:type="dxa"/>
            <w:hideMark/>
          </w:tcPr>
          <w:p w14:paraId="06741DA0"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montant qui est indiqué comme limite dans le traité de réassurance. Fournir des informations distinctes pour les différents risques (au sens de la colonne C0070). </w:t>
            </w:r>
          </w:p>
          <w:p w14:paraId="20C664BF" w14:textId="2FA12FC9" w:rsidR="00536579" w:rsidRPr="008D5188" w:rsidRDefault="00536579">
            <w:pPr>
              <w:rPr>
                <w:rFonts w:ascii="Times New Roman" w:hAnsi="Times New Roman" w:cs="Times New Roman"/>
                <w:sz w:val="20"/>
                <w:szCs w:val="20"/>
              </w:rPr>
            </w:pPr>
            <w:r w:rsidRPr="008D5188">
              <w:rPr>
                <w:rFonts w:ascii="Times New Roman" w:hAnsi="Times New Roman"/>
                <w:sz w:val="20"/>
              </w:rPr>
              <w:t>Dans le cas d’une couverture illimitée, indiquer «-1».</w:t>
            </w:r>
          </w:p>
        </w:tc>
      </w:tr>
      <w:tr w:rsidR="00536579" w:rsidRPr="008D5188" w14:paraId="3A4D4235" w14:textId="77777777" w:rsidTr="00536579">
        <w:trPr>
          <w:trHeight w:val="570"/>
        </w:trPr>
        <w:tc>
          <w:tcPr>
            <w:tcW w:w="1019" w:type="dxa"/>
            <w:hideMark/>
          </w:tcPr>
          <w:p w14:paraId="6C8D6B97"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C0210</w:t>
            </w:r>
          </w:p>
        </w:tc>
        <w:tc>
          <w:tcPr>
            <w:tcW w:w="1716" w:type="dxa"/>
            <w:hideMark/>
          </w:tcPr>
          <w:p w14:paraId="086575DF" w14:textId="4AE8121D"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Limite (%)</w:t>
            </w:r>
          </w:p>
        </w:tc>
        <w:tc>
          <w:tcPr>
            <w:tcW w:w="6729" w:type="dxa"/>
            <w:hideMark/>
          </w:tcPr>
          <w:p w14:paraId="4C9679BD" w14:textId="77777777" w:rsidR="00536579" w:rsidRPr="008D5188" w:rsidRDefault="00536579" w:rsidP="00A07329">
            <w:pPr>
              <w:rPr>
                <w:rFonts w:ascii="Times New Roman" w:hAnsi="Times New Roman" w:cs="Times New Roman"/>
                <w:sz w:val="20"/>
                <w:szCs w:val="20"/>
              </w:rPr>
            </w:pPr>
            <w:r w:rsidRPr="008D5188">
              <w:rPr>
                <w:rFonts w:ascii="Times New Roman" w:hAnsi="Times New Roman"/>
                <w:sz w:val="20"/>
              </w:rPr>
              <w:t>Pour les traités en excédent de perte, le pourcentage prévu dans le traité en tant que rétention ou en tant que priorité. Fournir des informations distinctes pour les différents risques.</w:t>
            </w:r>
          </w:p>
          <w:p w14:paraId="43C91A28"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Dans le cas d’une couverture illimitée, indiquer « -1 ».</w:t>
            </w:r>
          </w:p>
          <w:p w14:paraId="1DDCCA65" w14:textId="14FD49D9" w:rsidR="00536579" w:rsidRPr="008D5188" w:rsidRDefault="00536579">
            <w:pPr>
              <w:rPr>
                <w:rFonts w:ascii="Times New Roman" w:hAnsi="Times New Roman" w:cs="Times New Roman"/>
                <w:sz w:val="20"/>
                <w:szCs w:val="20"/>
              </w:rPr>
            </w:pPr>
            <w:r w:rsidRPr="008D5188">
              <w:rPr>
                <w:rFonts w:ascii="Times New Roman" w:hAnsi="Times New Roman"/>
                <w:sz w:val="20"/>
              </w:rPr>
              <w:t>À déclarer en valeur décimale.</w:t>
            </w:r>
          </w:p>
        </w:tc>
      </w:tr>
      <w:tr w:rsidR="00536579" w:rsidRPr="008D5188" w14:paraId="394F91A1" w14:textId="77777777" w:rsidTr="00536579">
        <w:trPr>
          <w:trHeight w:val="630"/>
        </w:trPr>
        <w:tc>
          <w:tcPr>
            <w:tcW w:w="1019" w:type="dxa"/>
            <w:hideMark/>
          </w:tcPr>
          <w:p w14:paraId="40F1C9F7"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C0220</w:t>
            </w:r>
          </w:p>
        </w:tc>
        <w:tc>
          <w:tcPr>
            <w:tcW w:w="1716" w:type="dxa"/>
            <w:hideMark/>
          </w:tcPr>
          <w:p w14:paraId="16DDD2FD" w14:textId="71942649" w:rsidR="00536579" w:rsidRPr="008D5188" w:rsidRDefault="00536579">
            <w:pPr>
              <w:rPr>
                <w:rFonts w:ascii="Times New Roman" w:hAnsi="Times New Roman" w:cs="Times New Roman"/>
                <w:sz w:val="20"/>
                <w:szCs w:val="20"/>
              </w:rPr>
            </w:pPr>
            <w:r w:rsidRPr="008D5188">
              <w:rPr>
                <w:rFonts w:ascii="Times New Roman" w:hAnsi="Times New Roman"/>
                <w:sz w:val="20"/>
              </w:rPr>
              <w:t>Couverture maximale par risque ou événement</w:t>
            </w:r>
          </w:p>
        </w:tc>
        <w:tc>
          <w:tcPr>
            <w:tcW w:w="6729" w:type="dxa"/>
            <w:hideMark/>
          </w:tcPr>
          <w:p w14:paraId="24902F3B"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 xml:space="preserve">La couverture maximale par risque ou événement. Si, pour une quote-part ou un excédent de perte, un montant maximum a été convenu pour un événement (par exemple, tempête), déclarer 100 % du montant. Dans tous les autres cas, déclarer la limite moins la priorité. </w:t>
            </w:r>
          </w:p>
          <w:p w14:paraId="7A340924" w14:textId="4A70B609" w:rsidR="00536579" w:rsidRPr="008D5188" w:rsidRDefault="00536579">
            <w:pPr>
              <w:rPr>
                <w:rFonts w:ascii="Times New Roman" w:hAnsi="Times New Roman" w:cs="Times New Roman"/>
                <w:sz w:val="20"/>
                <w:szCs w:val="20"/>
              </w:rPr>
            </w:pPr>
            <w:r w:rsidRPr="008D5188">
              <w:rPr>
                <w:rFonts w:ascii="Times New Roman" w:hAnsi="Times New Roman"/>
                <w:sz w:val="20"/>
              </w:rPr>
              <w:t>Dans le cas d’une couverture illimitée, indiquer «-1».</w:t>
            </w:r>
          </w:p>
        </w:tc>
      </w:tr>
      <w:tr w:rsidR="00536579" w:rsidRPr="008D5188" w14:paraId="73EF2C2D" w14:textId="77777777" w:rsidTr="00536579">
        <w:trPr>
          <w:trHeight w:val="915"/>
        </w:trPr>
        <w:tc>
          <w:tcPr>
            <w:tcW w:w="1019" w:type="dxa"/>
            <w:hideMark/>
          </w:tcPr>
          <w:p w14:paraId="3C92A887"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C0230</w:t>
            </w:r>
          </w:p>
        </w:tc>
        <w:tc>
          <w:tcPr>
            <w:tcW w:w="1716" w:type="dxa"/>
            <w:hideMark/>
          </w:tcPr>
          <w:p w14:paraId="6158111E" w14:textId="6A908949" w:rsidR="00536579" w:rsidRPr="008D5188" w:rsidRDefault="00536579">
            <w:pPr>
              <w:rPr>
                <w:rFonts w:ascii="Times New Roman" w:hAnsi="Times New Roman" w:cs="Times New Roman"/>
                <w:sz w:val="20"/>
                <w:szCs w:val="20"/>
              </w:rPr>
            </w:pPr>
            <w:r w:rsidRPr="008D5188">
              <w:rPr>
                <w:rFonts w:ascii="Times New Roman" w:hAnsi="Times New Roman"/>
                <w:sz w:val="20"/>
              </w:rPr>
              <w:t>Couverture maximale par traité</w:t>
            </w:r>
          </w:p>
        </w:tc>
        <w:tc>
          <w:tcPr>
            <w:tcW w:w="6729" w:type="dxa"/>
            <w:hideMark/>
          </w:tcPr>
          <w:p w14:paraId="26C5237D" w14:textId="7F3DBE9B" w:rsidR="00536579" w:rsidRPr="008D5188" w:rsidRDefault="00536579">
            <w:pPr>
              <w:rPr>
                <w:rFonts w:ascii="Times New Roman" w:hAnsi="Times New Roman" w:cs="Times New Roman"/>
                <w:sz w:val="20"/>
                <w:szCs w:val="20"/>
              </w:rPr>
            </w:pPr>
            <w:r w:rsidRPr="008D5188">
              <w:rPr>
                <w:rFonts w:ascii="Times New Roman" w:hAnsi="Times New Roman"/>
                <w:sz w:val="20"/>
              </w:rPr>
              <w:t xml:space="preserve">La couverture maximale par traité. Si, pour une quote-part ou un excédent de perte, un montant maximum a été convenu pour l’ensemble du contrat, déclarer 100 % du montant. Dans le cas d’une couverture illimitée, indiquer « -1 ». Pour les traités en excédent de plein ou en excédent de perte, indiquer la capacité </w:t>
            </w:r>
            <w:r w:rsidRPr="008D5188">
              <w:rPr>
                <w:rFonts w:ascii="Times New Roman" w:hAnsi="Times New Roman"/>
                <w:sz w:val="20"/>
              </w:rPr>
              <w:lastRenderedPageBreak/>
              <w:t>initiale (par exemple les limites annuelles globales); la couverture totale peut également résulter des informations fournies en C0250.</w:t>
            </w:r>
          </w:p>
        </w:tc>
      </w:tr>
      <w:tr w:rsidR="00536579" w:rsidRPr="008D5188" w14:paraId="7E0410CC" w14:textId="77777777" w:rsidTr="003551B5">
        <w:trPr>
          <w:trHeight w:val="628"/>
        </w:trPr>
        <w:tc>
          <w:tcPr>
            <w:tcW w:w="1019" w:type="dxa"/>
            <w:hideMark/>
          </w:tcPr>
          <w:p w14:paraId="397EBC46"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lastRenderedPageBreak/>
              <w:t>C0240</w:t>
            </w:r>
          </w:p>
        </w:tc>
        <w:tc>
          <w:tcPr>
            <w:tcW w:w="1716" w:type="dxa"/>
            <w:hideMark/>
          </w:tcPr>
          <w:p w14:paraId="4E09A212" w14:textId="61B4F08B" w:rsidR="00536579" w:rsidRPr="008D5188" w:rsidRDefault="00536579">
            <w:pPr>
              <w:rPr>
                <w:rFonts w:ascii="Times New Roman" w:hAnsi="Times New Roman" w:cs="Times New Roman"/>
                <w:sz w:val="20"/>
                <w:szCs w:val="20"/>
              </w:rPr>
            </w:pPr>
            <w:r w:rsidRPr="008D5188">
              <w:rPr>
                <w:rFonts w:ascii="Times New Roman" w:hAnsi="Times New Roman"/>
                <w:sz w:val="20"/>
              </w:rPr>
              <w:t>Nombre de reconstitutions</w:t>
            </w:r>
          </w:p>
        </w:tc>
        <w:tc>
          <w:tcPr>
            <w:tcW w:w="6729" w:type="dxa"/>
            <w:hideMark/>
          </w:tcPr>
          <w:p w14:paraId="629B61CE" w14:textId="15BCDDE4"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nombre de possibilités de reconstituer la couverture de réassurance. </w:t>
            </w:r>
          </w:p>
        </w:tc>
      </w:tr>
      <w:tr w:rsidR="00536579" w:rsidRPr="008D5188" w14:paraId="3CFBE762" w14:textId="77777777" w:rsidTr="00536579">
        <w:trPr>
          <w:trHeight w:val="300"/>
        </w:trPr>
        <w:tc>
          <w:tcPr>
            <w:tcW w:w="1019" w:type="dxa"/>
            <w:vMerge w:val="restart"/>
            <w:hideMark/>
          </w:tcPr>
          <w:p w14:paraId="7D0550B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C0250</w:t>
            </w:r>
          </w:p>
        </w:tc>
        <w:tc>
          <w:tcPr>
            <w:tcW w:w="1716" w:type="dxa"/>
            <w:vMerge w:val="restart"/>
            <w:hideMark/>
          </w:tcPr>
          <w:p w14:paraId="4FF5E720" w14:textId="7BF412B9"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Description des reconstitutions</w:t>
            </w:r>
          </w:p>
        </w:tc>
        <w:tc>
          <w:tcPr>
            <w:tcW w:w="6729" w:type="dxa"/>
            <w:vMerge w:val="restart"/>
            <w:hideMark/>
          </w:tcPr>
          <w:p w14:paraId="53D6296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nombre de possibilités de reconstituer la couverture de réassurance. </w:t>
            </w:r>
          </w:p>
          <w:p w14:paraId="27B09975" w14:textId="59FE940E" w:rsidR="00536579" w:rsidRPr="008D5188" w:rsidRDefault="00536579" w:rsidP="00950116">
            <w:pPr>
              <w:rPr>
                <w:rFonts w:ascii="Times New Roman" w:hAnsi="Times New Roman" w:cs="Times New Roman"/>
                <w:sz w:val="20"/>
                <w:szCs w:val="20"/>
              </w:rPr>
            </w:pPr>
            <w:bookmarkStart w:id="3" w:name="OLE_LINK39"/>
            <w:r w:rsidRPr="008D5188">
              <w:rPr>
                <w:rFonts w:ascii="Times New Roman" w:hAnsi="Times New Roman"/>
                <w:sz w:val="20"/>
              </w:rPr>
              <w:t>La description des reconstitutions permettant de rétablir la couverture de réassurance. Cet élément pourra par exemple contenir des informations telles que «2 à 100 % plus 1 à 150 %» ou «Toutes gratuites</w:t>
            </w:r>
            <w:bookmarkEnd w:id="3"/>
            <w:r w:rsidRPr="008D5188">
              <w:rPr>
                <w:rFonts w:ascii="Times New Roman" w:hAnsi="Times New Roman"/>
                <w:sz w:val="20"/>
              </w:rPr>
              <w:t>».</w:t>
            </w:r>
          </w:p>
        </w:tc>
      </w:tr>
      <w:tr w:rsidR="00536579" w:rsidRPr="008D5188" w14:paraId="1DBA73F3" w14:textId="77777777" w:rsidTr="00536579">
        <w:trPr>
          <w:trHeight w:val="509"/>
        </w:trPr>
        <w:tc>
          <w:tcPr>
            <w:tcW w:w="1019" w:type="dxa"/>
            <w:vMerge/>
            <w:hideMark/>
          </w:tcPr>
          <w:p w14:paraId="26E87830" w14:textId="77777777" w:rsidR="00536579" w:rsidRPr="008D5188" w:rsidRDefault="00536579">
            <w:pPr>
              <w:rPr>
                <w:rFonts w:ascii="Times New Roman" w:hAnsi="Times New Roman" w:cs="Times New Roman"/>
                <w:sz w:val="20"/>
                <w:szCs w:val="20"/>
              </w:rPr>
            </w:pPr>
          </w:p>
        </w:tc>
        <w:tc>
          <w:tcPr>
            <w:tcW w:w="1716" w:type="dxa"/>
            <w:vMerge/>
            <w:hideMark/>
          </w:tcPr>
          <w:p w14:paraId="3F579E42" w14:textId="77777777" w:rsidR="00536579" w:rsidRPr="008D5188" w:rsidRDefault="00536579">
            <w:pPr>
              <w:rPr>
                <w:rFonts w:ascii="Times New Roman" w:hAnsi="Times New Roman" w:cs="Times New Roman"/>
                <w:sz w:val="20"/>
                <w:szCs w:val="20"/>
              </w:rPr>
            </w:pPr>
          </w:p>
        </w:tc>
        <w:tc>
          <w:tcPr>
            <w:tcW w:w="6729" w:type="dxa"/>
            <w:vMerge/>
            <w:hideMark/>
          </w:tcPr>
          <w:p w14:paraId="1F5F1522" w14:textId="77777777" w:rsidR="00536579" w:rsidRPr="008D5188" w:rsidRDefault="00536579">
            <w:pPr>
              <w:rPr>
                <w:rFonts w:ascii="Times New Roman" w:hAnsi="Times New Roman" w:cs="Times New Roman"/>
                <w:sz w:val="20"/>
                <w:szCs w:val="20"/>
              </w:rPr>
            </w:pPr>
          </w:p>
        </w:tc>
      </w:tr>
      <w:tr w:rsidR="00536579" w:rsidRPr="008D5188" w14:paraId="41805FD5" w14:textId="77777777" w:rsidTr="003551B5">
        <w:trPr>
          <w:trHeight w:val="509"/>
        </w:trPr>
        <w:tc>
          <w:tcPr>
            <w:tcW w:w="1019" w:type="dxa"/>
            <w:vMerge/>
            <w:hideMark/>
          </w:tcPr>
          <w:p w14:paraId="14FEE668" w14:textId="77777777" w:rsidR="00536579" w:rsidRPr="008D5188" w:rsidRDefault="00536579">
            <w:pPr>
              <w:rPr>
                <w:rFonts w:ascii="Times New Roman" w:hAnsi="Times New Roman" w:cs="Times New Roman"/>
                <w:sz w:val="20"/>
                <w:szCs w:val="20"/>
              </w:rPr>
            </w:pPr>
          </w:p>
        </w:tc>
        <w:tc>
          <w:tcPr>
            <w:tcW w:w="1716" w:type="dxa"/>
            <w:vMerge/>
            <w:hideMark/>
          </w:tcPr>
          <w:p w14:paraId="11D9CEF1" w14:textId="77777777" w:rsidR="00536579" w:rsidRPr="008D5188" w:rsidRDefault="00536579">
            <w:pPr>
              <w:rPr>
                <w:rFonts w:ascii="Times New Roman" w:hAnsi="Times New Roman" w:cs="Times New Roman"/>
                <w:sz w:val="20"/>
                <w:szCs w:val="20"/>
              </w:rPr>
            </w:pPr>
          </w:p>
        </w:tc>
        <w:tc>
          <w:tcPr>
            <w:tcW w:w="6729" w:type="dxa"/>
            <w:vMerge/>
            <w:hideMark/>
          </w:tcPr>
          <w:p w14:paraId="6BE4BF00" w14:textId="77777777" w:rsidR="00536579" w:rsidRPr="008D5188" w:rsidRDefault="00536579">
            <w:pPr>
              <w:rPr>
                <w:rFonts w:ascii="Times New Roman" w:hAnsi="Times New Roman" w:cs="Times New Roman"/>
                <w:sz w:val="20"/>
                <w:szCs w:val="20"/>
              </w:rPr>
            </w:pPr>
          </w:p>
        </w:tc>
      </w:tr>
      <w:tr w:rsidR="00536579" w:rsidRPr="008D5188" w14:paraId="7EE7BCB1" w14:textId="77777777" w:rsidTr="00536579">
        <w:trPr>
          <w:trHeight w:val="671"/>
        </w:trPr>
        <w:tc>
          <w:tcPr>
            <w:tcW w:w="1019" w:type="dxa"/>
          </w:tcPr>
          <w:p w14:paraId="74E93987"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C0260</w:t>
            </w:r>
          </w:p>
        </w:tc>
        <w:tc>
          <w:tcPr>
            <w:tcW w:w="1716" w:type="dxa"/>
            <w:tcBorders>
              <w:bottom w:val="single" w:sz="4" w:space="0" w:color="auto"/>
            </w:tcBorders>
          </w:tcPr>
          <w:p w14:paraId="3250F75D" w14:textId="01656E5D" w:rsidR="00536579" w:rsidRPr="008D5188" w:rsidRDefault="00536579">
            <w:pPr>
              <w:rPr>
                <w:rFonts w:ascii="Times New Roman" w:hAnsi="Times New Roman" w:cs="Times New Roman"/>
                <w:sz w:val="20"/>
                <w:szCs w:val="20"/>
              </w:rPr>
            </w:pPr>
            <w:r w:rsidRPr="008D5188">
              <w:rPr>
                <w:rFonts w:ascii="Times New Roman" w:hAnsi="Times New Roman"/>
                <w:sz w:val="20"/>
              </w:rPr>
              <w:t>Commission de réassurance maximale</w:t>
            </w:r>
          </w:p>
        </w:tc>
        <w:tc>
          <w:tcPr>
            <w:tcW w:w="6729" w:type="dxa"/>
          </w:tcPr>
          <w:p w14:paraId="2F8555B6"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pourcentage maximal de la commission. S’il est fixe, les éléments C0270, C0280 et C0290 sont identiques. </w:t>
            </w:r>
          </w:p>
          <w:p w14:paraId="2935F199"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672E866C" w14:textId="15824331"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2BC77C0E" w14:textId="77777777" w:rsidTr="00536579">
        <w:trPr>
          <w:trHeight w:val="980"/>
        </w:trPr>
        <w:tc>
          <w:tcPr>
            <w:tcW w:w="1019" w:type="dxa"/>
            <w:hideMark/>
          </w:tcPr>
          <w:p w14:paraId="1B3EBBE1"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C0270</w:t>
            </w:r>
          </w:p>
        </w:tc>
        <w:tc>
          <w:tcPr>
            <w:tcW w:w="1716" w:type="dxa"/>
            <w:tcBorders>
              <w:bottom w:val="single" w:sz="4" w:space="0" w:color="auto"/>
            </w:tcBorders>
            <w:hideMark/>
          </w:tcPr>
          <w:p w14:paraId="50BA57AA" w14:textId="2C42C85D"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Commission de réassurance minimale</w:t>
            </w:r>
          </w:p>
        </w:tc>
        <w:tc>
          <w:tcPr>
            <w:tcW w:w="6729" w:type="dxa"/>
            <w:tcBorders>
              <w:bottom w:val="single" w:sz="4" w:space="0" w:color="auto"/>
            </w:tcBorders>
            <w:hideMark/>
          </w:tcPr>
          <w:p w14:paraId="76CD6ED1"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pourcentage minimal de la commission. S’il est fixe, les éléments C0270, C0280 et C0290 sont identiques. </w:t>
            </w:r>
          </w:p>
          <w:p w14:paraId="4221331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7F7E4FC7" w14:textId="0EB1302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51F0F118" w14:textId="77777777" w:rsidTr="00536579">
        <w:trPr>
          <w:trHeight w:val="832"/>
        </w:trPr>
        <w:tc>
          <w:tcPr>
            <w:tcW w:w="1019" w:type="dxa"/>
            <w:tcBorders>
              <w:bottom w:val="single" w:sz="4" w:space="0" w:color="auto"/>
            </w:tcBorders>
          </w:tcPr>
          <w:p w14:paraId="1EEEFB2E"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C0280</w:t>
            </w:r>
          </w:p>
        </w:tc>
        <w:tc>
          <w:tcPr>
            <w:tcW w:w="1716" w:type="dxa"/>
            <w:tcBorders>
              <w:bottom w:val="single" w:sz="4" w:space="0" w:color="auto"/>
            </w:tcBorders>
          </w:tcPr>
          <w:p w14:paraId="5126E23C" w14:textId="1502F61B" w:rsidR="00536579" w:rsidRPr="008D5188" w:rsidRDefault="00536579">
            <w:pPr>
              <w:rPr>
                <w:rFonts w:ascii="Times New Roman" w:hAnsi="Times New Roman" w:cs="Times New Roman"/>
                <w:sz w:val="20"/>
                <w:szCs w:val="20"/>
              </w:rPr>
            </w:pPr>
            <w:r w:rsidRPr="008D5188">
              <w:rPr>
                <w:rFonts w:ascii="Times New Roman" w:hAnsi="Times New Roman"/>
                <w:sz w:val="20"/>
              </w:rPr>
              <w:t>Commission de réassurance attendue</w:t>
            </w:r>
          </w:p>
        </w:tc>
        <w:tc>
          <w:tcPr>
            <w:tcW w:w="6729" w:type="dxa"/>
            <w:tcBorders>
              <w:bottom w:val="single" w:sz="4" w:space="0" w:color="auto"/>
            </w:tcBorders>
          </w:tcPr>
          <w:p w14:paraId="5E29370C"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Le pourcentage de commission attendu. S’il est fixe, les éléments C0270, C0280 et C0290 sont identiques. </w:t>
            </w:r>
          </w:p>
          <w:p w14:paraId="6E31B25B"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4AB9B8BC" w14:textId="03943596"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508610BE" w14:textId="77777777" w:rsidTr="00536579">
        <w:trPr>
          <w:trHeight w:val="844"/>
        </w:trPr>
        <w:tc>
          <w:tcPr>
            <w:tcW w:w="1019" w:type="dxa"/>
            <w:tcBorders>
              <w:bottom w:val="single" w:sz="4" w:space="0" w:color="auto"/>
            </w:tcBorders>
          </w:tcPr>
          <w:p w14:paraId="235DF5AB"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C0290</w:t>
            </w:r>
          </w:p>
        </w:tc>
        <w:tc>
          <w:tcPr>
            <w:tcW w:w="1716" w:type="dxa"/>
            <w:tcBorders>
              <w:bottom w:val="single" w:sz="4" w:space="0" w:color="auto"/>
            </w:tcBorders>
          </w:tcPr>
          <w:p w14:paraId="66A673B1" w14:textId="0553E3D6" w:rsidR="00536579" w:rsidRPr="008D5188" w:rsidRDefault="00536579">
            <w:pPr>
              <w:rPr>
                <w:rFonts w:ascii="Times New Roman" w:hAnsi="Times New Roman" w:cs="Times New Roman"/>
                <w:sz w:val="20"/>
                <w:szCs w:val="20"/>
              </w:rPr>
            </w:pPr>
            <w:r w:rsidRPr="008D5188">
              <w:rPr>
                <w:rFonts w:ascii="Times New Roman" w:hAnsi="Times New Roman"/>
                <w:sz w:val="20"/>
              </w:rPr>
              <w:t>Commission maximale pour rétrocession</w:t>
            </w:r>
          </w:p>
        </w:tc>
        <w:tc>
          <w:tcPr>
            <w:tcW w:w="6729" w:type="dxa"/>
            <w:tcBorders>
              <w:bottom w:val="single" w:sz="4" w:space="0" w:color="auto"/>
            </w:tcBorders>
          </w:tcPr>
          <w:p w14:paraId="7764D7E6"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Le pourcentage maximal de la commission pour rétrocession. S’il est fixe, les éléments C0300, C0310 et C0320 sont identiques.</w:t>
            </w:r>
          </w:p>
          <w:p w14:paraId="72BB7FB9"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08556EBD" w14:textId="1E1FCF13"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7F3E8223" w14:textId="77777777" w:rsidTr="00536579">
        <w:trPr>
          <w:trHeight w:val="848"/>
        </w:trPr>
        <w:tc>
          <w:tcPr>
            <w:tcW w:w="1019" w:type="dxa"/>
            <w:tcBorders>
              <w:bottom w:val="single" w:sz="4" w:space="0" w:color="auto"/>
            </w:tcBorders>
            <w:hideMark/>
          </w:tcPr>
          <w:p w14:paraId="423D18D2"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C0300</w:t>
            </w:r>
          </w:p>
        </w:tc>
        <w:tc>
          <w:tcPr>
            <w:tcW w:w="1716" w:type="dxa"/>
            <w:tcBorders>
              <w:bottom w:val="single" w:sz="4" w:space="0" w:color="auto"/>
            </w:tcBorders>
            <w:hideMark/>
          </w:tcPr>
          <w:p w14:paraId="3CEE1B4A" w14:textId="694746F5"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Commission minimale pour rétrocession</w:t>
            </w:r>
          </w:p>
        </w:tc>
        <w:tc>
          <w:tcPr>
            <w:tcW w:w="6729" w:type="dxa"/>
            <w:tcBorders>
              <w:bottom w:val="single" w:sz="4" w:space="0" w:color="auto"/>
            </w:tcBorders>
            <w:hideMark/>
          </w:tcPr>
          <w:p w14:paraId="54F65FA6"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pourcentage minimal de la commission pour rétrocession. S’il est fixe, les éléments C0300, C0310 et C0320 sont identiques.</w:t>
            </w:r>
          </w:p>
          <w:p w14:paraId="0AC03774"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5733F4AD" w14:textId="0B1C0FF2"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000A3B27" w14:textId="77777777" w:rsidTr="00536579">
        <w:trPr>
          <w:trHeight w:val="838"/>
        </w:trPr>
        <w:tc>
          <w:tcPr>
            <w:tcW w:w="1019" w:type="dxa"/>
            <w:tcBorders>
              <w:bottom w:val="single" w:sz="4" w:space="0" w:color="auto"/>
            </w:tcBorders>
          </w:tcPr>
          <w:p w14:paraId="1C136B22"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C0310</w:t>
            </w:r>
          </w:p>
        </w:tc>
        <w:tc>
          <w:tcPr>
            <w:tcW w:w="1716" w:type="dxa"/>
            <w:tcBorders>
              <w:bottom w:val="single" w:sz="4" w:space="0" w:color="auto"/>
            </w:tcBorders>
          </w:tcPr>
          <w:p w14:paraId="3001B8EA" w14:textId="1F875E31" w:rsidR="00536579" w:rsidRPr="008D5188" w:rsidRDefault="00536579">
            <w:pPr>
              <w:rPr>
                <w:rFonts w:ascii="Times New Roman" w:hAnsi="Times New Roman" w:cs="Times New Roman"/>
                <w:sz w:val="20"/>
                <w:szCs w:val="20"/>
              </w:rPr>
            </w:pPr>
            <w:r w:rsidRPr="008D5188">
              <w:rPr>
                <w:rFonts w:ascii="Times New Roman" w:hAnsi="Times New Roman"/>
                <w:sz w:val="20"/>
              </w:rPr>
              <w:t>Commission pour rétrocession attendue</w:t>
            </w:r>
          </w:p>
        </w:tc>
        <w:tc>
          <w:tcPr>
            <w:tcW w:w="6729" w:type="dxa"/>
            <w:tcBorders>
              <w:bottom w:val="single" w:sz="4" w:space="0" w:color="auto"/>
            </w:tcBorders>
          </w:tcPr>
          <w:p w14:paraId="628A85E9"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pourcentage de la commission pour rétrocession attendu. S’il est fixe, les éléments C0300, C0310 et C0320 sont identiques.</w:t>
            </w:r>
          </w:p>
          <w:p w14:paraId="77402CDC"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3C7217DD" w14:textId="7405DF5E"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3E4FF9D9" w14:textId="77777777" w:rsidTr="00536579">
        <w:trPr>
          <w:trHeight w:val="818"/>
        </w:trPr>
        <w:tc>
          <w:tcPr>
            <w:tcW w:w="1019" w:type="dxa"/>
            <w:tcBorders>
              <w:bottom w:val="single" w:sz="4" w:space="0" w:color="auto"/>
            </w:tcBorders>
          </w:tcPr>
          <w:p w14:paraId="238BEDAF"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C0320</w:t>
            </w:r>
          </w:p>
        </w:tc>
        <w:tc>
          <w:tcPr>
            <w:tcW w:w="1716" w:type="dxa"/>
            <w:tcBorders>
              <w:bottom w:val="single" w:sz="4" w:space="0" w:color="auto"/>
            </w:tcBorders>
          </w:tcPr>
          <w:p w14:paraId="4A2A13FD" w14:textId="6FFBCF42" w:rsidR="00536579" w:rsidRPr="008D5188" w:rsidRDefault="00536579">
            <w:pPr>
              <w:rPr>
                <w:rFonts w:ascii="Times New Roman" w:hAnsi="Times New Roman" w:cs="Times New Roman"/>
                <w:sz w:val="20"/>
                <w:szCs w:val="20"/>
              </w:rPr>
            </w:pPr>
            <w:r w:rsidRPr="008D5188">
              <w:rPr>
                <w:rFonts w:ascii="Times New Roman" w:hAnsi="Times New Roman"/>
                <w:sz w:val="20"/>
              </w:rPr>
              <w:t>Participation aux bénéfices maximale</w:t>
            </w:r>
          </w:p>
        </w:tc>
        <w:tc>
          <w:tcPr>
            <w:tcW w:w="6729" w:type="dxa"/>
            <w:tcBorders>
              <w:bottom w:val="single" w:sz="4" w:space="0" w:color="auto"/>
            </w:tcBorders>
          </w:tcPr>
          <w:p w14:paraId="4572061A"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Le pourcentage maximal de la commission pour participations aux bénéfices. S’il est fixe, les éléments C0330, C0340 et C0350 sont identiques.</w:t>
            </w:r>
          </w:p>
          <w:p w14:paraId="4260EBB6"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01F20FAC" w14:textId="1B3F7DE9"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6910D701" w14:textId="77777777" w:rsidTr="00536579">
        <w:trPr>
          <w:trHeight w:val="841"/>
        </w:trPr>
        <w:tc>
          <w:tcPr>
            <w:tcW w:w="1019" w:type="dxa"/>
            <w:tcBorders>
              <w:bottom w:val="single" w:sz="4" w:space="0" w:color="auto"/>
            </w:tcBorders>
            <w:hideMark/>
          </w:tcPr>
          <w:p w14:paraId="1D30D4CD"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C0330</w:t>
            </w:r>
          </w:p>
        </w:tc>
        <w:tc>
          <w:tcPr>
            <w:tcW w:w="1716" w:type="dxa"/>
            <w:tcBorders>
              <w:bottom w:val="single" w:sz="4" w:space="0" w:color="auto"/>
            </w:tcBorders>
            <w:hideMark/>
          </w:tcPr>
          <w:p w14:paraId="75607437" w14:textId="0BE01B20"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Participation aux bénéfices minimale</w:t>
            </w:r>
          </w:p>
        </w:tc>
        <w:tc>
          <w:tcPr>
            <w:tcW w:w="6729" w:type="dxa"/>
            <w:hideMark/>
          </w:tcPr>
          <w:p w14:paraId="155B51C5"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pourcentage minimal de la commission pour participations aux bénéfices. S’il est fixe, les éléments C0330, C0340 et C0350 sont identiques.</w:t>
            </w:r>
          </w:p>
          <w:p w14:paraId="6B5CBB9F"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5DCEFEC6" w14:textId="5F96A06C"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0B8895A8" w14:textId="77777777" w:rsidTr="00536579">
        <w:trPr>
          <w:trHeight w:val="315"/>
        </w:trPr>
        <w:tc>
          <w:tcPr>
            <w:tcW w:w="1019" w:type="dxa"/>
          </w:tcPr>
          <w:p w14:paraId="461542D7"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C0340</w:t>
            </w:r>
          </w:p>
        </w:tc>
        <w:tc>
          <w:tcPr>
            <w:tcW w:w="1716" w:type="dxa"/>
            <w:tcBorders>
              <w:top w:val="single" w:sz="4" w:space="0" w:color="auto"/>
            </w:tcBorders>
          </w:tcPr>
          <w:p w14:paraId="38B20726" w14:textId="40B24A04" w:rsidR="00536579" w:rsidRPr="008D5188" w:rsidRDefault="00536579">
            <w:pPr>
              <w:rPr>
                <w:rFonts w:ascii="Times New Roman" w:hAnsi="Times New Roman" w:cs="Times New Roman"/>
                <w:sz w:val="20"/>
                <w:szCs w:val="20"/>
              </w:rPr>
            </w:pPr>
            <w:r w:rsidRPr="008D5188">
              <w:rPr>
                <w:rFonts w:ascii="Times New Roman" w:hAnsi="Times New Roman"/>
                <w:sz w:val="20"/>
              </w:rPr>
              <w:t>Participation aux bénéfices attendue</w:t>
            </w:r>
          </w:p>
        </w:tc>
        <w:tc>
          <w:tcPr>
            <w:tcW w:w="6729" w:type="dxa"/>
          </w:tcPr>
          <w:p w14:paraId="65A60BF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Le pourcentage attendu de la commission pour participations aux bénéfices. S’il est fixe, les éléments C0330, C0340 et C0350 sont identiques.</w:t>
            </w:r>
          </w:p>
          <w:p w14:paraId="2E2568BB"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À déclarer en valeur décimale.</w:t>
            </w:r>
          </w:p>
          <w:p w14:paraId="685E7A59" w14:textId="6C2FA6A5"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Ne s’applique qu’aux traités proportionnels.</w:t>
            </w:r>
          </w:p>
        </w:tc>
      </w:tr>
      <w:tr w:rsidR="00536579" w:rsidRPr="008D5188" w14:paraId="67DAA6B3" w14:textId="77777777" w:rsidTr="00536579">
        <w:trPr>
          <w:trHeight w:val="315"/>
        </w:trPr>
        <w:tc>
          <w:tcPr>
            <w:tcW w:w="1019" w:type="dxa"/>
          </w:tcPr>
          <w:p w14:paraId="11E20209"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C0350</w:t>
            </w:r>
          </w:p>
        </w:tc>
        <w:tc>
          <w:tcPr>
            <w:tcW w:w="1716" w:type="dxa"/>
            <w:tcBorders>
              <w:top w:val="single" w:sz="4" w:space="0" w:color="auto"/>
            </w:tcBorders>
          </w:tcPr>
          <w:p w14:paraId="2674C8FF" w14:textId="10B4F38B" w:rsidR="00536579" w:rsidRPr="008D5188" w:rsidRDefault="00536579">
            <w:pPr>
              <w:rPr>
                <w:rFonts w:ascii="Times New Roman" w:hAnsi="Times New Roman" w:cs="Times New Roman"/>
                <w:sz w:val="20"/>
                <w:szCs w:val="20"/>
              </w:rPr>
            </w:pPr>
            <w:r w:rsidRPr="008D5188">
              <w:rPr>
                <w:rFonts w:ascii="Times New Roman" w:hAnsi="Times New Roman"/>
                <w:sz w:val="20"/>
              </w:rPr>
              <w:t>Excédent de plein taux 1</w:t>
            </w:r>
          </w:p>
        </w:tc>
        <w:tc>
          <w:tcPr>
            <w:tcW w:w="6729" w:type="dxa"/>
          </w:tcPr>
          <w:p w14:paraId="0AB6410E"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Le taux fixe ou, en cas de taux glissant, le taux de départ.</w:t>
            </w:r>
          </w:p>
          <w:p w14:paraId="0CEA5F60"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À déclarer en valeur décimale. </w:t>
            </w:r>
          </w:p>
          <w:p w14:paraId="7818BB69" w14:textId="16599C93"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Cette ligne n’est déclarée que pour les traités en excédent de sinistre.</w:t>
            </w:r>
          </w:p>
        </w:tc>
      </w:tr>
      <w:tr w:rsidR="00536579" w:rsidRPr="008D5188" w14:paraId="6602CD44" w14:textId="77777777" w:rsidTr="00536579">
        <w:trPr>
          <w:trHeight w:val="315"/>
        </w:trPr>
        <w:tc>
          <w:tcPr>
            <w:tcW w:w="1019" w:type="dxa"/>
            <w:hideMark/>
          </w:tcPr>
          <w:p w14:paraId="4A3A0F19"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C0360</w:t>
            </w:r>
          </w:p>
        </w:tc>
        <w:tc>
          <w:tcPr>
            <w:tcW w:w="1716" w:type="dxa"/>
            <w:tcBorders>
              <w:top w:val="single" w:sz="4" w:space="0" w:color="auto"/>
            </w:tcBorders>
            <w:hideMark/>
          </w:tcPr>
          <w:p w14:paraId="30620567" w14:textId="24568E7C" w:rsidR="00536579" w:rsidRPr="008D5188" w:rsidRDefault="00536579">
            <w:pPr>
              <w:rPr>
                <w:rFonts w:ascii="Times New Roman" w:hAnsi="Times New Roman" w:cs="Times New Roman"/>
                <w:sz w:val="20"/>
                <w:szCs w:val="20"/>
              </w:rPr>
            </w:pPr>
            <w:r w:rsidRPr="008D5188">
              <w:rPr>
                <w:rFonts w:ascii="Times New Roman" w:hAnsi="Times New Roman"/>
                <w:sz w:val="20"/>
              </w:rPr>
              <w:t>Excédent de plein taux 2</w:t>
            </w:r>
          </w:p>
        </w:tc>
        <w:tc>
          <w:tcPr>
            <w:tcW w:w="6729" w:type="dxa"/>
            <w:hideMark/>
          </w:tcPr>
          <w:p w14:paraId="3A5F2FD6"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Le taux maximal d’un système de taux glissant</w:t>
            </w:r>
          </w:p>
          <w:p w14:paraId="70BB031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 xml:space="preserve">À déclarer en valeur décimale. </w:t>
            </w:r>
          </w:p>
          <w:p w14:paraId="25FC9592" w14:textId="5171E40A" w:rsidR="00536579" w:rsidRPr="008D5188" w:rsidRDefault="00536579" w:rsidP="00950116">
            <w:pPr>
              <w:tabs>
                <w:tab w:val="left" w:pos="4632"/>
              </w:tabs>
              <w:rPr>
                <w:rFonts w:ascii="Times New Roman" w:hAnsi="Times New Roman" w:cs="Times New Roman"/>
                <w:sz w:val="20"/>
                <w:szCs w:val="20"/>
              </w:rPr>
            </w:pPr>
            <w:r w:rsidRPr="008D5188">
              <w:rPr>
                <w:rFonts w:ascii="Times New Roman" w:hAnsi="Times New Roman"/>
                <w:sz w:val="20"/>
              </w:rPr>
              <w:t>Cette ligne n’est déclarée que pour les traités en excédent de sinistre.</w:t>
            </w:r>
          </w:p>
        </w:tc>
      </w:tr>
      <w:tr w:rsidR="00536579" w:rsidRPr="008D5188" w14:paraId="2A1E5CFE" w14:textId="77777777" w:rsidTr="00536579">
        <w:trPr>
          <w:trHeight w:val="315"/>
        </w:trPr>
        <w:tc>
          <w:tcPr>
            <w:tcW w:w="1019" w:type="dxa"/>
            <w:hideMark/>
          </w:tcPr>
          <w:p w14:paraId="148991A2" w14:textId="0DD28B12" w:rsidR="00536579" w:rsidRPr="008D5188" w:rsidRDefault="00536579" w:rsidP="00536579">
            <w:pPr>
              <w:rPr>
                <w:rFonts w:ascii="Times New Roman" w:hAnsi="Times New Roman" w:cs="Times New Roman"/>
                <w:sz w:val="20"/>
                <w:szCs w:val="20"/>
              </w:rPr>
            </w:pPr>
            <w:r w:rsidRPr="008D5188">
              <w:rPr>
                <w:rFonts w:ascii="Times New Roman" w:hAnsi="Times New Roman"/>
                <w:sz w:val="20"/>
              </w:rPr>
              <w:t>C0370</w:t>
            </w:r>
          </w:p>
        </w:tc>
        <w:tc>
          <w:tcPr>
            <w:tcW w:w="1716" w:type="dxa"/>
            <w:hideMark/>
          </w:tcPr>
          <w:p w14:paraId="7CA4A4DA" w14:textId="44BEF5F3" w:rsidR="00536579" w:rsidRPr="008D5188" w:rsidRDefault="00536579">
            <w:pPr>
              <w:rPr>
                <w:rFonts w:ascii="Times New Roman" w:hAnsi="Times New Roman" w:cs="Times New Roman"/>
                <w:sz w:val="20"/>
                <w:szCs w:val="20"/>
              </w:rPr>
            </w:pPr>
            <w:r w:rsidRPr="008D5188">
              <w:rPr>
                <w:rFonts w:ascii="Times New Roman" w:hAnsi="Times New Roman"/>
                <w:sz w:val="20"/>
              </w:rPr>
              <w:t>Prime forfaitaire excédent de plein</w:t>
            </w:r>
          </w:p>
        </w:tc>
        <w:tc>
          <w:tcPr>
            <w:tcW w:w="6729" w:type="dxa"/>
            <w:hideMark/>
          </w:tcPr>
          <w:p w14:paraId="3770286B" w14:textId="77777777" w:rsidR="00536579" w:rsidRPr="008D5188" w:rsidRDefault="00536579">
            <w:pPr>
              <w:rPr>
                <w:rFonts w:ascii="Times New Roman" w:hAnsi="Times New Roman" w:cs="Times New Roman"/>
                <w:sz w:val="20"/>
                <w:szCs w:val="20"/>
              </w:rPr>
            </w:pPr>
            <w:r w:rsidRPr="008D5188">
              <w:rPr>
                <w:rFonts w:ascii="Times New Roman" w:hAnsi="Times New Roman"/>
                <w:sz w:val="20"/>
              </w:rPr>
              <w:t xml:space="preserve">Indiquer si la prime en excédent de plein est fondée ou non sur une prime forfaitaire. Choisir impérativement l’une des options suivantes: </w:t>
            </w:r>
          </w:p>
          <w:p w14:paraId="64CB6743"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1 – Prime en excédent de plein fondée sur une prime forfaitaire</w:t>
            </w:r>
          </w:p>
          <w:p w14:paraId="6A455FBC" w14:textId="77777777"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2 – Prime en excédent de plein non fondée sur une prime forfaitaire</w:t>
            </w:r>
          </w:p>
          <w:p w14:paraId="5586A96B" w14:textId="0276ACCE" w:rsidR="00536579" w:rsidRPr="008D5188" w:rsidRDefault="00536579" w:rsidP="00950116">
            <w:pPr>
              <w:rPr>
                <w:rFonts w:ascii="Times New Roman" w:hAnsi="Times New Roman" w:cs="Times New Roman"/>
                <w:sz w:val="20"/>
                <w:szCs w:val="20"/>
              </w:rPr>
            </w:pPr>
            <w:r w:rsidRPr="008D5188">
              <w:rPr>
                <w:rFonts w:ascii="Times New Roman" w:hAnsi="Times New Roman"/>
                <w:sz w:val="20"/>
              </w:rPr>
              <w:t>Cette ligne n’est déclarée que pour les traités en excédent de sinistre.</w:t>
            </w:r>
          </w:p>
        </w:tc>
      </w:tr>
    </w:tbl>
    <w:p w14:paraId="53793040" w14:textId="77777777" w:rsidR="000A55AA" w:rsidRPr="008D5188" w:rsidRDefault="000A55AA" w:rsidP="00950116">
      <w:pPr>
        <w:rPr>
          <w:rFonts w:ascii="Times New Roman" w:hAnsi="Times New Roman"/>
          <w:b/>
          <w:sz w:val="20"/>
        </w:rPr>
      </w:pPr>
    </w:p>
    <w:p w14:paraId="67DB9B23" w14:textId="77777777" w:rsidR="001D643E" w:rsidRPr="008D5188" w:rsidRDefault="00494EAC" w:rsidP="000E5502">
      <w:pPr>
        <w:spacing w:after="100" w:afterAutospacing="1"/>
        <w:ind w:left="-113"/>
        <w:rPr>
          <w:noProof/>
          <w:lang w:bidi="ar-SA"/>
        </w:rPr>
      </w:pPr>
      <w:r w:rsidRPr="008D5188">
        <w:rPr>
          <w:rFonts w:ascii="Times New Roman" w:hAnsi="Times New Roman"/>
          <w:b/>
          <w:sz w:val="20"/>
        </w:rPr>
        <w:t xml:space="preserve"> </w:t>
      </w:r>
      <w:r w:rsidR="005D0064" w:rsidRPr="008D5188">
        <w:rPr>
          <w:rFonts w:ascii="Times New Roman" w:hAnsi="Times New Roman"/>
          <w:b/>
          <w:sz w:val="20"/>
        </w:rPr>
        <w:t>Tableau de l’état</w:t>
      </w:r>
      <w:r w:rsidR="005D0064" w:rsidRPr="008D5188">
        <w:t xml:space="preserve"> </w:t>
      </w:r>
    </w:p>
    <w:p w14:paraId="5ED0E9F3" w14:textId="576F75EB" w:rsidR="00270A08" w:rsidRPr="008D5188" w:rsidRDefault="001D643E" w:rsidP="000E5502">
      <w:pPr>
        <w:spacing w:after="100" w:afterAutospacing="1"/>
        <w:ind w:left="-113"/>
        <w:rPr>
          <w:rFonts w:ascii="Times New Roman" w:hAnsi="Times New Roman"/>
        </w:rPr>
      </w:pPr>
      <w:r w:rsidRPr="008D5188">
        <w:rPr>
          <w:rFonts w:ascii="Times New Roman" w:hAnsi="Times New Roman"/>
          <w:noProof/>
          <w:lang w:bidi="ar-SA"/>
        </w:rPr>
        <w:drawing>
          <wp:inline distT="0" distB="0" distL="0" distR="0" wp14:anchorId="6A0B9C66" wp14:editId="16798447">
            <wp:extent cx="6800400" cy="2628000"/>
            <wp:effectExtent l="0" t="0" r="635"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00400" cy="2628000"/>
                    </a:xfrm>
                    <a:prstGeom prst="rect">
                      <a:avLst/>
                    </a:prstGeom>
                  </pic:spPr>
                </pic:pic>
              </a:graphicData>
            </a:graphic>
          </wp:inline>
        </w:drawing>
      </w:r>
      <w:r w:rsidR="00270A08" w:rsidRPr="008D5188">
        <w:rPr>
          <w:rFonts w:ascii="Times New Roman" w:hAnsi="Times New Roman"/>
        </w:rPr>
        <w:br w:type="page"/>
      </w:r>
    </w:p>
    <w:p w14:paraId="6B3CE00A" w14:textId="3048C383" w:rsidR="000A55AA" w:rsidRPr="008D5188" w:rsidRDefault="00126B85" w:rsidP="00950116">
      <w:pPr>
        <w:rPr>
          <w:rFonts w:ascii="Times New Roman" w:hAnsi="Times New Roman" w:cs="Times New Roman"/>
          <w:b/>
          <w:bCs/>
          <w:sz w:val="20"/>
          <w:szCs w:val="20"/>
        </w:rPr>
      </w:pPr>
      <w:r w:rsidRPr="008D5188">
        <w:rPr>
          <w:rFonts w:ascii="Times New Roman" w:hAnsi="Times New Roman"/>
          <w:b/>
          <w:sz w:val="20"/>
        </w:rPr>
        <w:lastRenderedPageBreak/>
        <w:t>RP.3</w:t>
      </w:r>
      <w:r w:rsidR="000A55AA" w:rsidRPr="008D5188">
        <w:rPr>
          <w:rFonts w:ascii="Times New Roman" w:hAnsi="Times New Roman"/>
          <w:b/>
          <w:sz w:val="20"/>
        </w:rPr>
        <w:t>0.04</w:t>
      </w:r>
      <w:r w:rsidR="0013206F" w:rsidRPr="008D5188">
        <w:rPr>
          <w:rFonts w:ascii="Times New Roman" w:hAnsi="Times New Roman"/>
          <w:b/>
          <w:sz w:val="20"/>
        </w:rPr>
        <w:t>.01</w:t>
      </w:r>
      <w:r w:rsidR="000A55AA" w:rsidRPr="008D5188">
        <w:rPr>
          <w:rFonts w:ascii="Times New Roman" w:hAnsi="Times New Roman"/>
          <w:b/>
          <w:sz w:val="20"/>
        </w:rPr>
        <w:t xml:space="preserve"> – Programme de cession en réassurance – Données sur les parts</w:t>
      </w:r>
    </w:p>
    <w:p w14:paraId="196BC2D7" w14:textId="77777777" w:rsidR="000A55AA" w:rsidRPr="008D5188" w:rsidRDefault="000A55AA" w:rsidP="00950116">
      <w:pPr>
        <w:jc w:val="both"/>
        <w:rPr>
          <w:rFonts w:ascii="Times New Roman" w:hAnsi="Times New Roman" w:cs="Times New Roman"/>
          <w:b/>
          <w:sz w:val="20"/>
          <w:szCs w:val="20"/>
        </w:rPr>
      </w:pPr>
      <w:r w:rsidRPr="008D5188">
        <w:rPr>
          <w:rFonts w:ascii="Times New Roman" w:hAnsi="Times New Roman"/>
          <w:b/>
          <w:sz w:val="20"/>
        </w:rPr>
        <w:t>Observations générales</w:t>
      </w:r>
    </w:p>
    <w:p w14:paraId="561E7876" w14:textId="7E08BB1E" w:rsidR="000A55AA" w:rsidRPr="008D5188" w:rsidRDefault="000D2E4C" w:rsidP="00950116">
      <w:pPr>
        <w:jc w:val="both"/>
        <w:rPr>
          <w:rFonts w:ascii="Times New Roman" w:hAnsi="Times New Roman" w:cs="Times New Roman"/>
          <w:sz w:val="20"/>
          <w:szCs w:val="20"/>
        </w:rPr>
      </w:pPr>
      <w:r w:rsidRPr="008D5188">
        <w:rPr>
          <w:rFonts w:ascii="Times New Roman" w:hAnsi="Times New Roman"/>
          <w:sz w:val="20"/>
        </w:rPr>
        <w:t xml:space="preserve">Cette section concerne la déclaration annuelle demandée aux </w:t>
      </w:r>
      <w:r w:rsidR="005D0064" w:rsidRPr="008D5188">
        <w:rPr>
          <w:rFonts w:ascii="Times New Roman" w:hAnsi="Times New Roman"/>
          <w:sz w:val="20"/>
        </w:rPr>
        <w:t>O</w:t>
      </w:r>
      <w:r w:rsidR="00A07329" w:rsidRPr="008D5188">
        <w:rPr>
          <w:rFonts w:ascii="Times New Roman" w:hAnsi="Times New Roman"/>
          <w:sz w:val="20"/>
        </w:rPr>
        <w:t>RPS</w:t>
      </w:r>
      <w:r w:rsidRPr="008D5188">
        <w:rPr>
          <w:rFonts w:ascii="Times New Roman" w:hAnsi="Times New Roman"/>
          <w:sz w:val="20"/>
        </w:rPr>
        <w:t xml:space="preserve">. </w:t>
      </w:r>
    </w:p>
    <w:p w14:paraId="6A003635" w14:textId="20B58319" w:rsidR="000A55AA" w:rsidRPr="008D5188" w:rsidRDefault="00D05F66" w:rsidP="00950116">
      <w:pPr>
        <w:jc w:val="both"/>
        <w:rPr>
          <w:rFonts w:ascii="Times New Roman" w:hAnsi="Times New Roman"/>
          <w:sz w:val="20"/>
        </w:rPr>
      </w:pPr>
      <w:r w:rsidRPr="008D5188">
        <w:rPr>
          <w:rFonts w:ascii="Times New Roman" w:hAnsi="Times New Roman"/>
          <w:sz w:val="20"/>
        </w:rPr>
        <w:t xml:space="preserve">Ce modèle concerne les </w:t>
      </w:r>
      <w:r w:rsidR="005D0064" w:rsidRPr="008D5188">
        <w:rPr>
          <w:rFonts w:ascii="Times New Roman" w:hAnsi="Times New Roman"/>
          <w:sz w:val="20"/>
        </w:rPr>
        <w:t>O</w:t>
      </w:r>
      <w:r w:rsidR="00A07329" w:rsidRPr="008D5188">
        <w:rPr>
          <w:rFonts w:ascii="Times New Roman" w:hAnsi="Times New Roman"/>
          <w:sz w:val="20"/>
        </w:rPr>
        <w:t>RPS</w:t>
      </w:r>
      <w:r w:rsidRPr="008D5188">
        <w:rPr>
          <w:rFonts w:ascii="Times New Roman" w:hAnsi="Times New Roman"/>
          <w:sz w:val="20"/>
        </w:rPr>
        <w:t xml:space="preserve"> ayant un programme de cession en réassurance et/ou de rétrocession, y compris toute couverture fournie par des pools de réassurance</w:t>
      </w:r>
      <w:r w:rsidR="005D0064" w:rsidRPr="008D5188">
        <w:rPr>
          <w:rFonts w:ascii="Times New Roman" w:hAnsi="Times New Roman"/>
          <w:sz w:val="20"/>
        </w:rPr>
        <w:t xml:space="preserve"> ou des O</w:t>
      </w:r>
      <w:r w:rsidR="00A07329" w:rsidRPr="008D5188">
        <w:rPr>
          <w:rFonts w:ascii="Times New Roman" w:hAnsi="Times New Roman"/>
          <w:sz w:val="20"/>
        </w:rPr>
        <w:t>RPS</w:t>
      </w:r>
      <w:r w:rsidRPr="008D5188">
        <w:rPr>
          <w:rFonts w:ascii="Times New Roman" w:hAnsi="Times New Roman"/>
          <w:sz w:val="20"/>
        </w:rPr>
        <w:t xml:space="preserve"> bénéficiant du soutien des pouvoirs publics, à l’exclusion des couvertures facultatives.</w:t>
      </w:r>
    </w:p>
    <w:p w14:paraId="252C8C50" w14:textId="4CD0CB20" w:rsidR="00F820E5" w:rsidRPr="008D5188" w:rsidRDefault="00F820E5" w:rsidP="00950116">
      <w:pPr>
        <w:jc w:val="both"/>
        <w:rPr>
          <w:rFonts w:ascii="Times New Roman" w:hAnsi="Times New Roman" w:cs="Times New Roman"/>
          <w:sz w:val="20"/>
          <w:szCs w:val="20"/>
        </w:rPr>
      </w:pPr>
      <w:r w:rsidRPr="008D5188">
        <w:rPr>
          <w:rFonts w:ascii="Times New Roman" w:hAnsi="Times New Roman"/>
          <w:sz w:val="20"/>
        </w:rPr>
        <w:t>Aux fins du remplissage du présent modèle,</w:t>
      </w:r>
      <w:r w:rsidR="005D0064" w:rsidRPr="008D5188">
        <w:rPr>
          <w:rFonts w:ascii="Times New Roman" w:hAnsi="Times New Roman"/>
          <w:sz w:val="20"/>
        </w:rPr>
        <w:t xml:space="preserve"> le transfert de risques entre O</w:t>
      </w:r>
      <w:r w:rsidRPr="008D5188">
        <w:rPr>
          <w:rFonts w:ascii="Times New Roman" w:hAnsi="Times New Roman"/>
          <w:sz w:val="20"/>
        </w:rPr>
        <w:t>RPS visés au troisième alinéa de l’article L. 381-1 du code des assurances, est assimilé à de la cession en réassurance.</w:t>
      </w:r>
    </w:p>
    <w:p w14:paraId="390F929C" w14:textId="6B704988" w:rsidR="000A55AA" w:rsidRPr="008D5188" w:rsidRDefault="000A55AA" w:rsidP="00950116">
      <w:pPr>
        <w:jc w:val="both"/>
        <w:rPr>
          <w:rFonts w:ascii="Times New Roman" w:hAnsi="Times New Roman" w:cs="Times New Roman"/>
          <w:sz w:val="20"/>
          <w:szCs w:val="20"/>
        </w:rPr>
      </w:pPr>
      <w:r w:rsidRPr="008D5188">
        <w:rPr>
          <w:rFonts w:ascii="Times New Roman" w:hAnsi="Times New Roman"/>
          <w:sz w:val="20"/>
        </w:rPr>
        <w:t xml:space="preserve">Ce modèle est à compléter par </w:t>
      </w:r>
      <w:r w:rsidR="005D0064" w:rsidRPr="008D5188">
        <w:rPr>
          <w:rFonts w:ascii="Times New Roman" w:hAnsi="Times New Roman"/>
          <w:sz w:val="20"/>
        </w:rPr>
        <w:t>l’O</w:t>
      </w:r>
      <w:r w:rsidR="00A07329" w:rsidRPr="008D5188">
        <w:rPr>
          <w:rFonts w:ascii="Times New Roman" w:hAnsi="Times New Roman"/>
          <w:sz w:val="20"/>
        </w:rPr>
        <w:t xml:space="preserve">RPS </w:t>
      </w:r>
      <w:r w:rsidRPr="008D5188">
        <w:rPr>
          <w:rFonts w:ascii="Times New Roman" w:hAnsi="Times New Roman"/>
          <w:sz w:val="20"/>
        </w:rPr>
        <w:t>qui transfère un risque de souscription à des réassureurs</w:t>
      </w:r>
      <w:r w:rsidR="005D0064" w:rsidRPr="008D5188">
        <w:rPr>
          <w:rFonts w:ascii="Times New Roman" w:hAnsi="Times New Roman"/>
          <w:sz w:val="20"/>
        </w:rPr>
        <w:t xml:space="preserve"> ou des O</w:t>
      </w:r>
      <w:r w:rsidR="00A07329" w:rsidRPr="008D5188">
        <w:rPr>
          <w:rFonts w:ascii="Times New Roman" w:hAnsi="Times New Roman"/>
          <w:sz w:val="20"/>
        </w:rPr>
        <w:t>RPS</w:t>
      </w:r>
      <w:r w:rsidRPr="008D5188">
        <w:rPr>
          <w:rFonts w:ascii="Times New Roman" w:hAnsi="Times New Roman"/>
          <w:sz w:val="20"/>
        </w:rPr>
        <w:t xml:space="preserve"> au moyen d’un traité de réassurance dont la période de validité comprend ou chevauche l’année de référence suivante, et sont connus lorsque le modèle est complété. Si la stratégie de réassurance change de manière significative après cette date ou si la rénovation des contrats de réassurance est effectuée après la date de déclaration et avant le 1</w:t>
      </w:r>
      <w:r w:rsidRPr="008D5188">
        <w:rPr>
          <w:rFonts w:ascii="Times New Roman" w:hAnsi="Times New Roman"/>
          <w:sz w:val="20"/>
          <w:vertAlign w:val="superscript"/>
        </w:rPr>
        <w:t>er</w:t>
      </w:r>
      <w:r w:rsidRPr="008D5188">
        <w:rPr>
          <w:rFonts w:ascii="Times New Roman" w:hAnsi="Times New Roman"/>
          <w:sz w:val="20"/>
        </w:rPr>
        <w:t xml:space="preserve"> janvier suivant, les informations de ce modèle doivent être transmises à nouveau le moment venu.</w:t>
      </w:r>
    </w:p>
    <w:tbl>
      <w:tblPr>
        <w:tblStyle w:val="Grilledutableau"/>
        <w:tblW w:w="9180" w:type="dxa"/>
        <w:tblLayout w:type="fixed"/>
        <w:tblLook w:val="04A0" w:firstRow="1" w:lastRow="0" w:firstColumn="1" w:lastColumn="0" w:noHBand="0" w:noVBand="1"/>
      </w:tblPr>
      <w:tblGrid>
        <w:gridCol w:w="1191"/>
        <w:gridCol w:w="22"/>
        <w:gridCol w:w="29"/>
        <w:gridCol w:w="1997"/>
        <w:gridCol w:w="5941"/>
      </w:tblGrid>
      <w:tr w:rsidR="000A55AA" w:rsidRPr="008D5188" w14:paraId="56B5B640" w14:textId="77777777" w:rsidTr="00950116">
        <w:trPr>
          <w:trHeight w:val="315"/>
        </w:trPr>
        <w:tc>
          <w:tcPr>
            <w:tcW w:w="1191" w:type="dxa"/>
            <w:hideMark/>
          </w:tcPr>
          <w:p w14:paraId="25783155" w14:textId="77777777" w:rsidR="000A55AA" w:rsidRPr="008D5188" w:rsidRDefault="000A55AA" w:rsidP="00950116">
            <w:pPr>
              <w:jc w:val="center"/>
              <w:rPr>
                <w:rFonts w:ascii="Times New Roman" w:hAnsi="Times New Roman" w:cs="Times New Roman"/>
                <w:b/>
                <w:bCs/>
                <w:sz w:val="20"/>
                <w:szCs w:val="20"/>
              </w:rPr>
            </w:pPr>
          </w:p>
        </w:tc>
        <w:tc>
          <w:tcPr>
            <w:tcW w:w="2048" w:type="dxa"/>
            <w:gridSpan w:val="3"/>
            <w:hideMark/>
          </w:tcPr>
          <w:p w14:paraId="0F09485F" w14:textId="77777777" w:rsidR="000A55AA" w:rsidRPr="008D5188" w:rsidRDefault="000A55AA" w:rsidP="00950116">
            <w:pPr>
              <w:jc w:val="center"/>
              <w:rPr>
                <w:rFonts w:ascii="Times New Roman" w:hAnsi="Times New Roman" w:cs="Times New Roman"/>
                <w:b/>
                <w:bCs/>
                <w:sz w:val="20"/>
                <w:szCs w:val="20"/>
              </w:rPr>
            </w:pPr>
            <w:r w:rsidRPr="008D5188">
              <w:rPr>
                <w:rFonts w:ascii="Times New Roman" w:hAnsi="Times New Roman"/>
                <w:b/>
                <w:sz w:val="20"/>
              </w:rPr>
              <w:t>ÉLÉMENT À DÉCLARER</w:t>
            </w:r>
          </w:p>
        </w:tc>
        <w:tc>
          <w:tcPr>
            <w:tcW w:w="5941" w:type="dxa"/>
            <w:hideMark/>
          </w:tcPr>
          <w:p w14:paraId="722A2AB7" w14:textId="77777777" w:rsidR="000A55AA" w:rsidRPr="008D5188" w:rsidRDefault="000A55AA" w:rsidP="00950116">
            <w:pPr>
              <w:jc w:val="center"/>
              <w:rPr>
                <w:rFonts w:ascii="Times New Roman" w:hAnsi="Times New Roman" w:cs="Times New Roman"/>
                <w:b/>
                <w:bCs/>
                <w:sz w:val="20"/>
                <w:szCs w:val="20"/>
              </w:rPr>
            </w:pPr>
            <w:r w:rsidRPr="008D5188">
              <w:rPr>
                <w:rFonts w:ascii="Times New Roman" w:hAnsi="Times New Roman"/>
                <w:b/>
                <w:sz w:val="20"/>
              </w:rPr>
              <w:t>INSTRUCTIONS</w:t>
            </w:r>
          </w:p>
        </w:tc>
      </w:tr>
      <w:tr w:rsidR="000A55AA" w:rsidRPr="008D5188" w14:paraId="36C54CD7" w14:textId="77777777" w:rsidTr="00950116">
        <w:trPr>
          <w:trHeight w:val="600"/>
        </w:trPr>
        <w:tc>
          <w:tcPr>
            <w:tcW w:w="1191" w:type="dxa"/>
            <w:hideMark/>
          </w:tcPr>
          <w:p w14:paraId="141D9430"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C0010</w:t>
            </w:r>
          </w:p>
        </w:tc>
        <w:tc>
          <w:tcPr>
            <w:tcW w:w="2048" w:type="dxa"/>
            <w:gridSpan w:val="3"/>
            <w:hideMark/>
          </w:tcPr>
          <w:p w14:paraId="4DCAAE3C"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du programme de réassurance</w:t>
            </w:r>
          </w:p>
        </w:tc>
        <w:tc>
          <w:tcPr>
            <w:tcW w:w="5941" w:type="dxa"/>
            <w:hideMark/>
          </w:tcPr>
          <w:p w14:paraId="738B017F" w14:textId="79F1AC87" w:rsidR="000A55AA" w:rsidRPr="008D5188" w:rsidRDefault="000A55AA" w:rsidP="00011FC3">
            <w:pPr>
              <w:rPr>
                <w:rFonts w:ascii="Times New Roman" w:hAnsi="Times New Roman" w:cs="Times New Roman"/>
                <w:sz w:val="20"/>
                <w:szCs w:val="20"/>
              </w:rPr>
            </w:pPr>
            <w:r w:rsidRPr="008D5188">
              <w:rPr>
                <w:rFonts w:ascii="Times New Roman" w:hAnsi="Times New Roman"/>
                <w:sz w:val="20"/>
              </w:rPr>
              <w:t xml:space="preserve">Code unique (propre </w:t>
            </w:r>
            <w:r w:rsidR="005D0064" w:rsidRPr="008D5188">
              <w:rPr>
                <w:rFonts w:ascii="Times New Roman" w:hAnsi="Times New Roman"/>
                <w:sz w:val="20"/>
              </w:rPr>
              <w:t>à l’O</w:t>
            </w:r>
            <w:r w:rsidR="00011FC3" w:rsidRPr="008D5188">
              <w:rPr>
                <w:rFonts w:ascii="Times New Roman" w:hAnsi="Times New Roman"/>
                <w:sz w:val="20"/>
              </w:rPr>
              <w:t>RPS</w:t>
            </w:r>
            <w:r w:rsidRPr="008D5188">
              <w:rPr>
                <w:rFonts w:ascii="Times New Roman" w:hAnsi="Times New Roman"/>
                <w:sz w:val="20"/>
              </w:rPr>
              <w:t>) couvrant tous les placements et/ou traités de réassurance faisant partie du même programme de réassurance.</w:t>
            </w:r>
          </w:p>
        </w:tc>
      </w:tr>
      <w:tr w:rsidR="000A55AA" w:rsidRPr="008D5188" w14:paraId="4A2EF210" w14:textId="77777777" w:rsidTr="00950116">
        <w:trPr>
          <w:trHeight w:val="750"/>
        </w:trPr>
        <w:tc>
          <w:tcPr>
            <w:tcW w:w="1191" w:type="dxa"/>
            <w:hideMark/>
          </w:tcPr>
          <w:p w14:paraId="4A219691"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C0020</w:t>
            </w:r>
          </w:p>
        </w:tc>
        <w:tc>
          <w:tcPr>
            <w:tcW w:w="2048" w:type="dxa"/>
            <w:gridSpan w:val="3"/>
            <w:hideMark/>
          </w:tcPr>
          <w:p w14:paraId="059A16F1"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d’identification du traité</w:t>
            </w:r>
          </w:p>
        </w:tc>
        <w:tc>
          <w:tcPr>
            <w:tcW w:w="5941" w:type="dxa"/>
            <w:hideMark/>
          </w:tcPr>
          <w:p w14:paraId="036EBC00" w14:textId="084D529A" w:rsidR="000A55AA" w:rsidRPr="008D5188" w:rsidRDefault="000A55AA" w:rsidP="00011FC3">
            <w:pPr>
              <w:rPr>
                <w:rFonts w:ascii="Times New Roman" w:hAnsi="Times New Roman" w:cs="Times New Roman"/>
                <w:sz w:val="20"/>
                <w:szCs w:val="20"/>
              </w:rPr>
            </w:pPr>
            <w:r w:rsidRPr="008D5188">
              <w:rPr>
                <w:rFonts w:ascii="Times New Roman" w:hAnsi="Times New Roman"/>
                <w:sz w:val="20"/>
              </w:rPr>
              <w:t xml:space="preserve">Code d’identification du traité qui identifie celui-ci de manière exclusive, qui doit être réutilisé dans les déclarations suivantes. Il s’agit généralement le numéro initial du traité enregistré dans les livres comptables </w:t>
            </w:r>
            <w:r w:rsidR="005D0064" w:rsidRPr="008D5188">
              <w:rPr>
                <w:rFonts w:ascii="Times New Roman" w:hAnsi="Times New Roman"/>
                <w:sz w:val="20"/>
              </w:rPr>
              <w:t>de l’O</w:t>
            </w:r>
            <w:r w:rsidR="00011FC3" w:rsidRPr="008D5188">
              <w:rPr>
                <w:rFonts w:ascii="Times New Roman" w:hAnsi="Times New Roman"/>
                <w:sz w:val="20"/>
              </w:rPr>
              <w:t>RPS</w:t>
            </w:r>
            <w:r w:rsidRPr="008D5188">
              <w:rPr>
                <w:rFonts w:ascii="Times New Roman" w:hAnsi="Times New Roman"/>
                <w:sz w:val="20"/>
              </w:rPr>
              <w:t>.</w:t>
            </w:r>
          </w:p>
        </w:tc>
      </w:tr>
      <w:tr w:rsidR="000A55AA" w:rsidRPr="008D5188" w14:paraId="13466041" w14:textId="77777777" w:rsidTr="0044578D">
        <w:trPr>
          <w:trHeight w:val="699"/>
        </w:trPr>
        <w:tc>
          <w:tcPr>
            <w:tcW w:w="1191" w:type="dxa"/>
            <w:hideMark/>
          </w:tcPr>
          <w:p w14:paraId="06093425"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C0030</w:t>
            </w:r>
          </w:p>
        </w:tc>
        <w:tc>
          <w:tcPr>
            <w:tcW w:w="2048" w:type="dxa"/>
            <w:gridSpan w:val="3"/>
            <w:hideMark/>
          </w:tcPr>
          <w:p w14:paraId="2A222B3C"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Numéro de section progressif dans le traité</w:t>
            </w:r>
          </w:p>
        </w:tc>
        <w:tc>
          <w:tcPr>
            <w:tcW w:w="5941" w:type="dxa"/>
            <w:hideMark/>
          </w:tcPr>
          <w:p w14:paraId="7BE174AF" w14:textId="02F9C6C7"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 xml:space="preserve">Le numéro de section progressif attribué par </w:t>
            </w:r>
            <w:r w:rsidR="005D0064" w:rsidRPr="008D5188">
              <w:rPr>
                <w:rFonts w:ascii="Times New Roman" w:hAnsi="Times New Roman"/>
                <w:sz w:val="20"/>
              </w:rPr>
              <w:t>l’O</w:t>
            </w:r>
            <w:r w:rsidR="00011FC3" w:rsidRPr="008D5188">
              <w:rPr>
                <w:rFonts w:ascii="Times New Roman" w:hAnsi="Times New Roman"/>
                <w:sz w:val="20"/>
              </w:rPr>
              <w:t xml:space="preserve">RPS </w:t>
            </w:r>
            <w:r w:rsidRPr="008D5188">
              <w:rPr>
                <w:rFonts w:ascii="Times New Roman" w:hAnsi="Times New Roman"/>
                <w:sz w:val="20"/>
              </w:rPr>
              <w:t>aux différentes sections du traité, lorsque le traité couvre par exemple plusieurs</w:t>
            </w:r>
            <w:r w:rsidR="00011FC3" w:rsidRPr="008D5188">
              <w:rPr>
                <w:rFonts w:ascii="Times New Roman" w:hAnsi="Times New Roman"/>
                <w:sz w:val="20"/>
              </w:rPr>
              <w:t xml:space="preserve"> risques</w:t>
            </w:r>
            <w:r w:rsidR="00F820E5" w:rsidRPr="008D5188">
              <w:rPr>
                <w:rFonts w:ascii="Times New Roman" w:hAnsi="Times New Roman"/>
                <w:sz w:val="20"/>
              </w:rPr>
              <w:t xml:space="preserve"> (au sens de la colonne C007</w:t>
            </w:r>
            <w:r w:rsidR="00C16CAA" w:rsidRPr="008D5188">
              <w:rPr>
                <w:rFonts w:ascii="Times New Roman" w:hAnsi="Times New Roman"/>
                <w:sz w:val="20"/>
              </w:rPr>
              <w:t>0</w:t>
            </w:r>
            <w:r w:rsidR="00F820E5" w:rsidRPr="008D5188">
              <w:rPr>
                <w:rFonts w:ascii="Times New Roman" w:hAnsi="Times New Roman"/>
                <w:sz w:val="20"/>
              </w:rPr>
              <w:t xml:space="preserve"> du modèle RP.30.03)</w:t>
            </w:r>
            <w:r w:rsidRPr="008D5188">
              <w:rPr>
                <w:rFonts w:ascii="Times New Roman" w:hAnsi="Times New Roman"/>
                <w:sz w:val="20"/>
              </w:rPr>
              <w:t xml:space="preserve">, ou couvre différents </w:t>
            </w:r>
            <w:r w:rsidR="00011FC3" w:rsidRPr="008D5188">
              <w:rPr>
                <w:rFonts w:ascii="Times New Roman" w:hAnsi="Times New Roman"/>
                <w:sz w:val="20"/>
              </w:rPr>
              <w:t>risques</w:t>
            </w:r>
            <w:r w:rsidRPr="008D5188">
              <w:rPr>
                <w:rFonts w:ascii="Times New Roman" w:hAnsi="Times New Roman"/>
                <w:sz w:val="20"/>
              </w:rPr>
              <w:t xml:space="preserve"> avec différentes limites. Les traités avec des conditions différentes sont considérés comme des traités différents aux fins de la déclaration des informations, et doivent être déclarés dans des sections distinctes. Lorsque différents </w:t>
            </w:r>
            <w:r w:rsidR="00011FC3" w:rsidRPr="008D5188">
              <w:rPr>
                <w:rFonts w:ascii="Times New Roman" w:hAnsi="Times New Roman"/>
                <w:sz w:val="20"/>
              </w:rPr>
              <w:t>risques</w:t>
            </w:r>
            <w:r w:rsidRPr="008D5188">
              <w:rPr>
                <w:rFonts w:ascii="Times New Roman" w:hAnsi="Times New Roman"/>
                <w:sz w:val="20"/>
              </w:rPr>
              <w:t xml:space="preserve"> sont couverts par le même traité, les conditions relatives à chacun des </w:t>
            </w:r>
            <w:r w:rsidR="00011FC3" w:rsidRPr="008D5188">
              <w:rPr>
                <w:rFonts w:ascii="Times New Roman" w:hAnsi="Times New Roman"/>
                <w:sz w:val="20"/>
              </w:rPr>
              <w:t>risques</w:t>
            </w:r>
            <w:r w:rsidRPr="008D5188">
              <w:rPr>
                <w:rFonts w:ascii="Times New Roman" w:hAnsi="Times New Roman"/>
                <w:sz w:val="20"/>
              </w:rPr>
              <w:t xml:space="preserve"> doivent être précisés séparément sous chaque numéro de section. Les traités couvrant différents types de réassurance (par exemple, une section en excédent de plein et une autre en excédent de sinistre) dans un même traité sont déclarés dans les différentes sections. Les traités couvrant différentes tranches d’un même programme doivent être déclarés dans les différentes sections.</w:t>
            </w:r>
          </w:p>
        </w:tc>
      </w:tr>
      <w:tr w:rsidR="000A55AA" w:rsidRPr="008D5188" w14:paraId="4B9DB26A" w14:textId="77777777" w:rsidTr="00950116">
        <w:trPr>
          <w:trHeight w:val="771"/>
        </w:trPr>
        <w:tc>
          <w:tcPr>
            <w:tcW w:w="1191" w:type="dxa"/>
            <w:hideMark/>
          </w:tcPr>
          <w:p w14:paraId="0DE748B3"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C0040</w:t>
            </w:r>
          </w:p>
        </w:tc>
        <w:tc>
          <w:tcPr>
            <w:tcW w:w="2048" w:type="dxa"/>
            <w:gridSpan w:val="3"/>
            <w:hideMark/>
          </w:tcPr>
          <w:p w14:paraId="7CDCBF82"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Numéro progressif de l’excédent/de la tranche du programme</w:t>
            </w:r>
          </w:p>
        </w:tc>
        <w:tc>
          <w:tcPr>
            <w:tcW w:w="5941" w:type="dxa"/>
            <w:hideMark/>
          </w:tcPr>
          <w:p w14:paraId="3BABDF2E"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Le numéro progressif de l’excédent/de la tranche, lorsque le traité fait partie d’un programme plus vaste.</w:t>
            </w:r>
          </w:p>
        </w:tc>
      </w:tr>
      <w:tr w:rsidR="000A55AA" w:rsidRPr="008D5188" w14:paraId="0AAB3005" w14:textId="77777777" w:rsidTr="00950116">
        <w:trPr>
          <w:trHeight w:val="315"/>
        </w:trPr>
        <w:tc>
          <w:tcPr>
            <w:tcW w:w="1191" w:type="dxa"/>
            <w:hideMark/>
          </w:tcPr>
          <w:p w14:paraId="7BD26A0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C0050</w:t>
            </w:r>
          </w:p>
        </w:tc>
        <w:tc>
          <w:tcPr>
            <w:tcW w:w="2048" w:type="dxa"/>
            <w:gridSpan w:val="3"/>
            <w:hideMark/>
          </w:tcPr>
          <w:p w14:paraId="523A0FAB"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réassureur</w:t>
            </w:r>
          </w:p>
        </w:tc>
        <w:tc>
          <w:tcPr>
            <w:tcW w:w="5941" w:type="dxa"/>
            <w:hideMark/>
          </w:tcPr>
          <w:p w14:paraId="1877E279" w14:textId="08F2DA08" w:rsidR="000A55AA" w:rsidRPr="008D5188" w:rsidRDefault="000A55AA" w:rsidP="00950116">
            <w:pPr>
              <w:ind w:right="175"/>
              <w:rPr>
                <w:rFonts w:ascii="Times New Roman" w:eastAsia="Times New Roman" w:hAnsi="Times New Roman" w:cs="Times New Roman"/>
                <w:sz w:val="20"/>
                <w:szCs w:val="20"/>
              </w:rPr>
            </w:pPr>
            <w:r w:rsidRPr="008D5188">
              <w:rPr>
                <w:rFonts w:ascii="Times New Roman" w:hAnsi="Times New Roman"/>
                <w:sz w:val="20"/>
              </w:rPr>
              <w:t xml:space="preserve">Code d’identification du réassureur, par ordre de priorité suivant: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Identifiant d’entité juridique (LEI);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Code spécifique attribué par </w:t>
            </w:r>
            <w:r w:rsidR="005D0064" w:rsidRPr="008D5188">
              <w:rPr>
                <w:rFonts w:ascii="Times New Roman" w:hAnsi="Times New Roman"/>
                <w:sz w:val="20"/>
              </w:rPr>
              <w:t>l’O</w:t>
            </w:r>
            <w:r w:rsidR="00011FC3" w:rsidRPr="008D5188">
              <w:rPr>
                <w:rFonts w:ascii="Times New Roman" w:hAnsi="Times New Roman"/>
                <w:sz w:val="20"/>
              </w:rPr>
              <w:t>RPS</w:t>
            </w:r>
            <w:r w:rsidR="0072092D" w:rsidRPr="008D5188">
              <w:rPr>
                <w:rFonts w:ascii="Times New Roman" w:hAnsi="Times New Roman"/>
                <w:sz w:val="20"/>
              </w:rPr>
              <w:t>.</w:t>
            </w:r>
          </w:p>
          <w:p w14:paraId="4A37FD25" w14:textId="77777777" w:rsidR="000A55AA" w:rsidRPr="008D5188" w:rsidRDefault="000A55AA" w:rsidP="00950116">
            <w:pPr>
              <w:rPr>
                <w:rFonts w:ascii="Times New Roman" w:eastAsia="Times New Roman" w:hAnsi="Times New Roman" w:cs="Times New Roman"/>
                <w:sz w:val="20"/>
                <w:szCs w:val="20"/>
              </w:rPr>
            </w:pPr>
          </w:p>
          <w:p w14:paraId="60F74F54" w14:textId="380B5B57" w:rsidR="000A55AA" w:rsidRPr="008D5188" w:rsidRDefault="000A55AA" w:rsidP="00011FC3">
            <w:pPr>
              <w:ind w:right="175"/>
              <w:rPr>
                <w:rFonts w:ascii="Times New Roman" w:hAnsi="Times New Roman" w:cs="Times New Roman"/>
                <w:sz w:val="20"/>
                <w:szCs w:val="20"/>
              </w:rPr>
            </w:pPr>
            <w:r w:rsidRPr="008D5188">
              <w:rPr>
                <w:rFonts w:ascii="Times New Roman" w:hAnsi="Times New Roman"/>
                <w:sz w:val="20"/>
              </w:rPr>
              <w:t xml:space="preserve">Si un code spécifique est attribué par </w:t>
            </w:r>
            <w:r w:rsidR="005D0064" w:rsidRPr="008D5188">
              <w:rPr>
                <w:rFonts w:ascii="Times New Roman" w:hAnsi="Times New Roman"/>
                <w:sz w:val="20"/>
              </w:rPr>
              <w:t>l’O</w:t>
            </w:r>
            <w:r w:rsidR="00011FC3" w:rsidRPr="008D5188">
              <w:rPr>
                <w:rFonts w:ascii="Times New Roman" w:hAnsi="Times New Roman"/>
                <w:sz w:val="20"/>
              </w:rPr>
              <w:t>RPS</w:t>
            </w:r>
            <w:r w:rsidRPr="008D5188">
              <w:rPr>
                <w:rFonts w:ascii="Times New Roman" w:hAnsi="Times New Roman"/>
                <w:sz w:val="20"/>
              </w:rPr>
              <w:t>, ce code doit être unique pour le réassureur et n’être identique à aucun autre code attribué par l’entreprise ni à aucun code LEI.</w:t>
            </w:r>
          </w:p>
        </w:tc>
      </w:tr>
      <w:tr w:rsidR="000A55AA" w:rsidRPr="008D5188" w14:paraId="5A1EAF70" w14:textId="77777777" w:rsidTr="00950116">
        <w:trPr>
          <w:trHeight w:val="1055"/>
        </w:trPr>
        <w:tc>
          <w:tcPr>
            <w:tcW w:w="1213" w:type="dxa"/>
            <w:gridSpan w:val="2"/>
          </w:tcPr>
          <w:p w14:paraId="645DF5DF"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C0060</w:t>
            </w:r>
          </w:p>
        </w:tc>
        <w:tc>
          <w:tcPr>
            <w:tcW w:w="2026" w:type="dxa"/>
            <w:gridSpan w:val="2"/>
          </w:tcPr>
          <w:p w14:paraId="03AE65D9" w14:textId="77777777" w:rsidR="000A55AA" w:rsidRPr="008D5188" w:rsidRDefault="000A55AA" w:rsidP="00950116">
            <w:pPr>
              <w:ind w:right="-1286"/>
              <w:rPr>
                <w:rFonts w:ascii="Times New Roman" w:hAnsi="Times New Roman" w:cs="Times New Roman"/>
                <w:sz w:val="20"/>
                <w:szCs w:val="20"/>
              </w:rPr>
            </w:pPr>
            <w:r w:rsidRPr="008D5188">
              <w:rPr>
                <w:rFonts w:ascii="Times New Roman" w:hAnsi="Times New Roman"/>
                <w:sz w:val="20"/>
              </w:rPr>
              <w:t xml:space="preserve">Type de code </w:t>
            </w:r>
          </w:p>
          <w:p w14:paraId="5485F6A5"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Réassureur</w:t>
            </w:r>
          </w:p>
        </w:tc>
        <w:tc>
          <w:tcPr>
            <w:tcW w:w="5941" w:type="dxa"/>
          </w:tcPr>
          <w:p w14:paraId="3253F65A" w14:textId="0092F3E9" w:rsidR="000A55AA" w:rsidRPr="008D5188" w:rsidRDefault="000A55AA" w:rsidP="00950116">
            <w:pPr>
              <w:ind w:right="175"/>
              <w:rPr>
                <w:rFonts w:ascii="Times New Roman" w:hAnsi="Times New Roman" w:cs="Times New Roman"/>
                <w:sz w:val="20"/>
                <w:szCs w:val="20"/>
              </w:rPr>
            </w:pPr>
            <w:r w:rsidRPr="008D5188">
              <w:rPr>
                <w:rFonts w:ascii="Times New Roman" w:hAnsi="Times New Roman"/>
                <w:color w:val="000000"/>
                <w:sz w:val="20"/>
              </w:rPr>
              <w:t>Indiquer le type de code utilisé dans la rubrique</w:t>
            </w:r>
            <w:r w:rsidR="00540C38" w:rsidRPr="008D5188">
              <w:rPr>
                <w:rFonts w:ascii="Times New Roman" w:hAnsi="Times New Roman"/>
                <w:color w:val="000000"/>
                <w:sz w:val="20"/>
              </w:rPr>
              <w:t xml:space="preserve"> « Code</w:t>
            </w:r>
            <w:r w:rsidRPr="008D5188">
              <w:rPr>
                <w:rFonts w:ascii="Times New Roman" w:hAnsi="Times New Roman"/>
                <w:color w:val="000000"/>
                <w:sz w:val="20"/>
              </w:rPr>
              <w:t xml:space="preserve"> </w:t>
            </w:r>
            <w:r w:rsidR="00540C38" w:rsidRPr="008D5188">
              <w:rPr>
                <w:rFonts w:ascii="Times New Roman" w:hAnsi="Times New Roman"/>
                <w:color w:val="000000"/>
                <w:sz w:val="20"/>
              </w:rPr>
              <w:t>réassureur »</w:t>
            </w:r>
            <w:r w:rsidRPr="008D5188">
              <w:rPr>
                <w:rFonts w:ascii="Times New Roman" w:hAnsi="Times New Roman"/>
                <w:color w:val="000000"/>
                <w:sz w:val="20"/>
              </w:rPr>
              <w:t xml:space="preserve">. </w:t>
            </w:r>
            <w:r w:rsidRPr="008D5188">
              <w:rPr>
                <w:rFonts w:ascii="Times New Roman" w:hAnsi="Times New Roman"/>
                <w:sz w:val="20"/>
              </w:rPr>
              <w:t>Choisir impérativement l’une des options suivantes:</w:t>
            </w:r>
            <w:r w:rsidR="00FE79E2" w:rsidRPr="008D5188">
              <w:rPr>
                <w:rFonts w:ascii="Times New Roman" w:hAnsi="Times New Roman" w:cs="Times New Roman"/>
                <w:sz w:val="20"/>
                <w:szCs w:val="20"/>
              </w:rPr>
              <w:br/>
            </w:r>
            <w:r w:rsidRPr="008D5188">
              <w:rPr>
                <w:rFonts w:ascii="Times New Roman" w:hAnsi="Times New Roman"/>
                <w:color w:val="000000"/>
                <w:sz w:val="20"/>
              </w:rPr>
              <w:t xml:space="preserve">1 – LEI </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2 – Code spécifique</w:t>
            </w:r>
          </w:p>
        </w:tc>
      </w:tr>
      <w:tr w:rsidR="000A55AA" w:rsidRPr="008D5188" w14:paraId="5734966D" w14:textId="77777777" w:rsidTr="00950116">
        <w:trPr>
          <w:trHeight w:val="315"/>
        </w:trPr>
        <w:tc>
          <w:tcPr>
            <w:tcW w:w="1191" w:type="dxa"/>
            <w:hideMark/>
          </w:tcPr>
          <w:p w14:paraId="663D463C"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lastRenderedPageBreak/>
              <w:t>C0070</w:t>
            </w:r>
          </w:p>
        </w:tc>
        <w:tc>
          <w:tcPr>
            <w:tcW w:w="2048" w:type="dxa"/>
            <w:gridSpan w:val="3"/>
            <w:hideMark/>
          </w:tcPr>
          <w:p w14:paraId="57BC50E0"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courtier</w:t>
            </w:r>
          </w:p>
        </w:tc>
        <w:tc>
          <w:tcPr>
            <w:tcW w:w="5941" w:type="dxa"/>
            <w:hideMark/>
          </w:tcPr>
          <w:p w14:paraId="6E777C7C" w14:textId="4D1267F9" w:rsidR="000A55AA" w:rsidRPr="008D5188" w:rsidRDefault="000A55AA" w:rsidP="00950116">
            <w:pPr>
              <w:tabs>
                <w:tab w:val="left" w:pos="5945"/>
              </w:tabs>
              <w:ind w:right="156"/>
              <w:rPr>
                <w:rFonts w:ascii="Times New Roman" w:eastAsia="Times New Roman" w:hAnsi="Times New Roman" w:cs="Times New Roman"/>
                <w:sz w:val="20"/>
                <w:szCs w:val="20"/>
              </w:rPr>
            </w:pPr>
            <w:r w:rsidRPr="008D5188">
              <w:rPr>
                <w:rFonts w:ascii="Times New Roman" w:hAnsi="Times New Roman"/>
                <w:sz w:val="20"/>
              </w:rPr>
              <w:t xml:space="preserve">Code d’identification du courtier, par ordre de priorité suivant: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Identifiant d’entité juridique (LEI);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Code spécifique attribué par </w:t>
            </w:r>
            <w:r w:rsidR="005D0064" w:rsidRPr="008D5188">
              <w:rPr>
                <w:rFonts w:ascii="Times New Roman" w:hAnsi="Times New Roman"/>
                <w:sz w:val="20"/>
              </w:rPr>
              <w:t>l’O</w:t>
            </w:r>
            <w:r w:rsidR="00011FC3" w:rsidRPr="008D5188">
              <w:rPr>
                <w:rFonts w:ascii="Times New Roman" w:hAnsi="Times New Roman"/>
                <w:sz w:val="20"/>
              </w:rPr>
              <w:t>RPS</w:t>
            </w:r>
            <w:r w:rsidR="0072092D" w:rsidRPr="008D5188">
              <w:rPr>
                <w:rFonts w:ascii="Times New Roman" w:hAnsi="Times New Roman"/>
                <w:sz w:val="20"/>
              </w:rPr>
              <w:t>.</w:t>
            </w:r>
          </w:p>
          <w:p w14:paraId="78EF9C73" w14:textId="77777777" w:rsidR="000A55AA" w:rsidRPr="008D5188" w:rsidRDefault="000A55AA" w:rsidP="00950116">
            <w:pPr>
              <w:tabs>
                <w:tab w:val="left" w:pos="5945"/>
              </w:tabs>
              <w:ind w:right="156"/>
              <w:rPr>
                <w:rFonts w:ascii="Times New Roman" w:eastAsia="Times New Roman" w:hAnsi="Times New Roman" w:cs="Times New Roman"/>
                <w:sz w:val="20"/>
                <w:szCs w:val="20"/>
              </w:rPr>
            </w:pPr>
          </w:p>
          <w:p w14:paraId="1B51EE47" w14:textId="77777777" w:rsidR="000A55AA" w:rsidRPr="008D5188" w:rsidRDefault="000A55AA" w:rsidP="00950116">
            <w:pPr>
              <w:ind w:right="175"/>
              <w:rPr>
                <w:rFonts w:ascii="Times New Roman" w:eastAsia="Times New Roman" w:hAnsi="Times New Roman" w:cs="Times New Roman"/>
                <w:sz w:val="20"/>
                <w:szCs w:val="20"/>
              </w:rPr>
            </w:pPr>
            <w:r w:rsidRPr="008D5188">
              <w:rPr>
                <w:rFonts w:ascii="Times New Roman" w:hAnsi="Times New Roman"/>
                <w:sz w:val="20"/>
              </w:rPr>
              <w:t>Si un code spécifique est attribué par l’entreprise, ce code doit être unique pour le courtier et n’être identique à aucun autre code attribué par l’entreprise ni à aucun code LEI.</w:t>
            </w:r>
          </w:p>
          <w:p w14:paraId="312ECF11" w14:textId="77777777" w:rsidR="000A55AA" w:rsidRPr="008D5188" w:rsidRDefault="000A55AA" w:rsidP="00950116">
            <w:pPr>
              <w:tabs>
                <w:tab w:val="left" w:pos="5945"/>
              </w:tabs>
              <w:ind w:right="156"/>
              <w:rPr>
                <w:rFonts w:ascii="Times New Roman" w:hAnsi="Times New Roman" w:cs="Times New Roman"/>
                <w:sz w:val="20"/>
                <w:szCs w:val="20"/>
              </w:rPr>
            </w:pPr>
          </w:p>
          <w:p w14:paraId="6BCA9EA2"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Si plusieurs courtiers ont participé au placement de la réassurance, n’indiquer que le principal courtier dominant.</w:t>
            </w:r>
          </w:p>
        </w:tc>
      </w:tr>
      <w:tr w:rsidR="000A55AA" w:rsidRPr="008D5188" w14:paraId="2E4477F8" w14:textId="77777777" w:rsidTr="00950116">
        <w:trPr>
          <w:trHeight w:val="792"/>
        </w:trPr>
        <w:tc>
          <w:tcPr>
            <w:tcW w:w="1191" w:type="dxa"/>
          </w:tcPr>
          <w:p w14:paraId="177BAAE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C0080</w:t>
            </w:r>
          </w:p>
        </w:tc>
        <w:tc>
          <w:tcPr>
            <w:tcW w:w="2048" w:type="dxa"/>
            <w:gridSpan w:val="3"/>
          </w:tcPr>
          <w:p w14:paraId="7E57B7C1"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code du courtier</w:t>
            </w:r>
          </w:p>
        </w:tc>
        <w:tc>
          <w:tcPr>
            <w:tcW w:w="5941" w:type="dxa"/>
          </w:tcPr>
          <w:p w14:paraId="06315988"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color w:val="000000"/>
                <w:sz w:val="20"/>
              </w:rPr>
              <w:t>Indiquer le type de code utilisé dans la rubrique «Code courtier».</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 xml:space="preserve">1 – LEI </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2 – Code spécifique</w:t>
            </w:r>
          </w:p>
        </w:tc>
      </w:tr>
      <w:tr w:rsidR="000A55AA" w:rsidRPr="008D5188" w14:paraId="4432FC39" w14:textId="77777777" w:rsidTr="00950116">
        <w:trPr>
          <w:trHeight w:val="1542"/>
        </w:trPr>
        <w:tc>
          <w:tcPr>
            <w:tcW w:w="1191" w:type="dxa"/>
            <w:hideMark/>
          </w:tcPr>
          <w:p w14:paraId="13BB3C77"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C0090</w:t>
            </w:r>
          </w:p>
        </w:tc>
        <w:tc>
          <w:tcPr>
            <w:tcW w:w="2048" w:type="dxa"/>
            <w:gridSpan w:val="3"/>
            <w:hideMark/>
          </w:tcPr>
          <w:p w14:paraId="110B4CC4"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d’activité courtier</w:t>
            </w:r>
          </w:p>
          <w:p w14:paraId="798CC322"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w:t>
            </w:r>
          </w:p>
        </w:tc>
        <w:tc>
          <w:tcPr>
            <w:tcW w:w="5941" w:type="dxa"/>
            <w:hideMark/>
          </w:tcPr>
          <w:p w14:paraId="2826D79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Représente les activités du courtier concerné, du point de vue de l’entreprise. Si le courtier combine plusieurs activités, les mentionner toutes, séparées par des virgules. </w:t>
            </w:r>
          </w:p>
          <w:p w14:paraId="752915B7" w14:textId="77777777" w:rsidR="000A55AA" w:rsidRPr="008D5188" w:rsidRDefault="0072092D" w:rsidP="00950116">
            <w:pPr>
              <w:rPr>
                <w:rFonts w:ascii="Times New Roman" w:hAnsi="Times New Roman" w:cs="Times New Roman"/>
                <w:sz w:val="20"/>
                <w:szCs w:val="20"/>
              </w:rPr>
            </w:pPr>
            <w:r w:rsidRPr="008D5188">
              <w:rPr>
                <w:rFonts w:ascii="Times New Roman" w:hAnsi="Times New Roman"/>
                <w:sz w:val="20"/>
              </w:rPr>
              <w:t>– Intermédiaire de placement</w:t>
            </w:r>
            <w:r w:rsidR="00FE79E2" w:rsidRPr="008D5188">
              <w:rPr>
                <w:rFonts w:ascii="Times New Roman" w:hAnsi="Times New Roman" w:cs="Times New Roman"/>
                <w:sz w:val="20"/>
                <w:szCs w:val="20"/>
              </w:rPr>
              <w:br/>
            </w:r>
            <w:r w:rsidRPr="008D5188">
              <w:rPr>
                <w:rFonts w:ascii="Times New Roman" w:hAnsi="Times New Roman"/>
                <w:sz w:val="20"/>
              </w:rPr>
              <w:t>– Souscription pour compte de</w:t>
            </w:r>
            <w:r w:rsidR="00FE79E2" w:rsidRPr="008D5188">
              <w:rPr>
                <w:rFonts w:ascii="Times New Roman" w:hAnsi="Times New Roman" w:cs="Times New Roman"/>
                <w:sz w:val="20"/>
                <w:szCs w:val="20"/>
              </w:rPr>
              <w:br/>
            </w:r>
            <w:r w:rsidRPr="008D5188">
              <w:rPr>
                <w:rFonts w:ascii="Times New Roman" w:hAnsi="Times New Roman"/>
                <w:sz w:val="20"/>
              </w:rPr>
              <w:t>– Services financiers</w:t>
            </w:r>
          </w:p>
        </w:tc>
      </w:tr>
      <w:tr w:rsidR="000A55AA" w:rsidRPr="008D5188" w14:paraId="3F59C156" w14:textId="77777777" w:rsidTr="00950116">
        <w:trPr>
          <w:trHeight w:val="615"/>
        </w:trPr>
        <w:tc>
          <w:tcPr>
            <w:tcW w:w="1191" w:type="dxa"/>
            <w:hideMark/>
          </w:tcPr>
          <w:p w14:paraId="73030287"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C0100</w:t>
            </w:r>
          </w:p>
        </w:tc>
        <w:tc>
          <w:tcPr>
            <w:tcW w:w="2048" w:type="dxa"/>
            <w:gridSpan w:val="3"/>
            <w:tcBorders>
              <w:bottom w:val="single" w:sz="4" w:space="0" w:color="auto"/>
            </w:tcBorders>
            <w:hideMark/>
          </w:tcPr>
          <w:p w14:paraId="5584DD7E"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Part réassureur (%)</w:t>
            </w:r>
          </w:p>
        </w:tc>
        <w:tc>
          <w:tcPr>
            <w:tcW w:w="5941" w:type="dxa"/>
            <w:hideMark/>
          </w:tcPr>
          <w:p w14:paraId="65320CB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Pourcentage du traité de réassurance accepté par réassureur indiqué en C0050, exprimé en pourcentage absolu du placement du traité.</w:t>
            </w:r>
          </w:p>
          <w:p w14:paraId="4C1E3EBD"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À déclarer en valeur décimale.</w:t>
            </w:r>
          </w:p>
        </w:tc>
      </w:tr>
      <w:tr w:rsidR="000A55AA" w:rsidRPr="008D5188" w14:paraId="22DA5EDF" w14:textId="77777777" w:rsidTr="00950116">
        <w:trPr>
          <w:trHeight w:val="1380"/>
        </w:trPr>
        <w:tc>
          <w:tcPr>
            <w:tcW w:w="1191" w:type="dxa"/>
            <w:hideMark/>
          </w:tcPr>
          <w:p w14:paraId="715AD090"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C0110</w:t>
            </w:r>
          </w:p>
        </w:tc>
        <w:tc>
          <w:tcPr>
            <w:tcW w:w="2048" w:type="dxa"/>
            <w:gridSpan w:val="3"/>
            <w:hideMark/>
          </w:tcPr>
          <w:p w14:paraId="440019BA"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Exposition cédée pour la part du réassureur</w:t>
            </w:r>
          </w:p>
        </w:tc>
        <w:tc>
          <w:tcPr>
            <w:tcW w:w="5941" w:type="dxa"/>
            <w:hideMark/>
          </w:tcPr>
          <w:p w14:paraId="52E7C052" w14:textId="5D178DEF"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Montant de l’exposition réassurée auprès du réassureur. Ce montant est basé sur la couverture maximale par risque/événement et est calculé selon la formule: Couverture maximale de l’élément par risque ou événement (déclarée au point C0230 de </w:t>
            </w:r>
            <w:r w:rsidR="00126B85" w:rsidRPr="008D5188">
              <w:rPr>
                <w:rFonts w:ascii="Times New Roman" w:hAnsi="Times New Roman"/>
                <w:sz w:val="20"/>
              </w:rPr>
              <w:t>RP.3</w:t>
            </w:r>
            <w:r w:rsidRPr="008D5188">
              <w:rPr>
                <w:rFonts w:ascii="Times New Roman" w:hAnsi="Times New Roman"/>
                <w:sz w:val="20"/>
              </w:rPr>
              <w:t xml:space="preserve">0.03) × part de l’élément du réassureur (%) (déclarée en C0100 de 30.04). </w:t>
            </w:r>
          </w:p>
          <w:p w14:paraId="1FC9FC22" w14:textId="6BACE71C"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Si en C0230 du modèle </w:t>
            </w:r>
            <w:r w:rsidR="00126B85" w:rsidRPr="008D5188">
              <w:rPr>
                <w:rFonts w:ascii="Times New Roman" w:hAnsi="Times New Roman"/>
                <w:sz w:val="20"/>
              </w:rPr>
              <w:t>RP.3</w:t>
            </w:r>
            <w:r w:rsidRPr="008D5188">
              <w:rPr>
                <w:rFonts w:ascii="Times New Roman" w:hAnsi="Times New Roman"/>
                <w:sz w:val="20"/>
              </w:rPr>
              <w:t>0.03, la valeur est «illimité</w:t>
            </w:r>
            <w:r w:rsidR="00F820E5" w:rsidRPr="008D5188">
              <w:rPr>
                <w:rFonts w:ascii="Times New Roman" w:hAnsi="Times New Roman"/>
                <w:sz w:val="20"/>
              </w:rPr>
              <w:t>e</w:t>
            </w:r>
            <w:r w:rsidRPr="008D5188">
              <w:rPr>
                <w:rFonts w:ascii="Times New Roman" w:hAnsi="Times New Roman"/>
                <w:sz w:val="20"/>
              </w:rPr>
              <w:t>», indiquer «-1» dans cette cellule.</w:t>
            </w:r>
          </w:p>
        </w:tc>
      </w:tr>
      <w:tr w:rsidR="000A55AA" w:rsidRPr="008D5188" w14:paraId="5AB22BE1" w14:textId="77777777" w:rsidTr="00950116">
        <w:trPr>
          <w:trHeight w:val="1427"/>
        </w:trPr>
        <w:tc>
          <w:tcPr>
            <w:tcW w:w="1191" w:type="dxa"/>
          </w:tcPr>
          <w:p w14:paraId="2E766588"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C0120</w:t>
            </w:r>
          </w:p>
        </w:tc>
        <w:tc>
          <w:tcPr>
            <w:tcW w:w="2048" w:type="dxa"/>
            <w:gridSpan w:val="3"/>
          </w:tcPr>
          <w:p w14:paraId="0F21E80D"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Type de sûreté (le cas échéant)</w:t>
            </w:r>
          </w:p>
        </w:tc>
        <w:tc>
          <w:tcPr>
            <w:tcW w:w="5941" w:type="dxa"/>
          </w:tcPr>
          <w:p w14:paraId="22D005CE"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Le type de sûreté détenue. Choisir impérativement l’une des options suivantes:</w:t>
            </w:r>
          </w:p>
          <w:p w14:paraId="217B6377"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1 – Liquidités ou équivalent en fiducie</w:t>
            </w:r>
          </w:p>
          <w:p w14:paraId="15A3857B"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2 – Liquidités ou équivalent conservé</w:t>
            </w:r>
          </w:p>
          <w:p w14:paraId="3D446A78"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3 – Lettre de crédit</w:t>
            </w:r>
          </w:p>
          <w:p w14:paraId="04B54C92"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4 – Autre</w:t>
            </w:r>
          </w:p>
          <w:p w14:paraId="3A4741C0"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5 – Aucune</w:t>
            </w:r>
          </w:p>
        </w:tc>
      </w:tr>
      <w:tr w:rsidR="000A55AA" w:rsidRPr="008D5188" w14:paraId="227CFA14" w14:textId="77777777" w:rsidTr="00950116">
        <w:trPr>
          <w:trHeight w:val="916"/>
        </w:trPr>
        <w:tc>
          <w:tcPr>
            <w:tcW w:w="1191" w:type="dxa"/>
          </w:tcPr>
          <w:p w14:paraId="004A3B5F"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C0130</w:t>
            </w:r>
          </w:p>
        </w:tc>
        <w:tc>
          <w:tcPr>
            <w:tcW w:w="2048" w:type="dxa"/>
            <w:gridSpan w:val="3"/>
          </w:tcPr>
          <w:p w14:paraId="3AD45CD1"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Description de la limite de la sûreté des réassureurs </w:t>
            </w:r>
          </w:p>
        </w:tc>
        <w:tc>
          <w:tcPr>
            <w:tcW w:w="5941" w:type="dxa"/>
          </w:tcPr>
          <w:p w14:paraId="7FF98555"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Description de la limite de la sûreté du réassureur, pour l’élément spécifique indiqué dans le traité (par exemple, 90 % des provisions techniques ou 90 % des primes), s’il y a lieu.</w:t>
            </w:r>
          </w:p>
        </w:tc>
      </w:tr>
      <w:tr w:rsidR="000A55AA" w:rsidRPr="008D5188" w14:paraId="7476A151" w14:textId="77777777" w:rsidTr="00950116">
        <w:trPr>
          <w:trHeight w:val="300"/>
        </w:trPr>
        <w:tc>
          <w:tcPr>
            <w:tcW w:w="1191" w:type="dxa"/>
          </w:tcPr>
          <w:p w14:paraId="2F928FD5"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C0140</w:t>
            </w:r>
          </w:p>
        </w:tc>
        <w:tc>
          <w:tcPr>
            <w:tcW w:w="2048" w:type="dxa"/>
            <w:gridSpan w:val="3"/>
          </w:tcPr>
          <w:p w14:paraId="24A4AB8F"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du fournisseur de la sûreté (le cas échéant)</w:t>
            </w:r>
          </w:p>
        </w:tc>
        <w:tc>
          <w:tcPr>
            <w:tcW w:w="5941" w:type="dxa"/>
          </w:tcPr>
          <w:p w14:paraId="5C5643DF" w14:textId="2EC8F491"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Identification au moyen du code LEI s’il est disponible.</w:t>
            </w:r>
            <w:r w:rsidR="00FE79E2" w:rsidRPr="008D5188">
              <w:rPr>
                <w:rFonts w:ascii="Times New Roman" w:hAnsi="Times New Roman" w:cs="Times New Roman"/>
                <w:sz w:val="20"/>
                <w:szCs w:val="20"/>
              </w:rPr>
              <w:br/>
            </w:r>
            <w:r w:rsidR="00FE79E2" w:rsidRPr="008D5188">
              <w:rPr>
                <w:rFonts w:ascii="Times New Roman" w:hAnsi="Times New Roman" w:cs="Times New Roman"/>
                <w:sz w:val="20"/>
                <w:szCs w:val="20"/>
              </w:rPr>
              <w:br/>
            </w:r>
            <w:r w:rsidRPr="008D5188">
              <w:rPr>
                <w:rFonts w:ascii="Times New Roman" w:hAnsi="Times New Roman"/>
                <w:sz w:val="20"/>
              </w:rPr>
              <w:t>S’il n’existe pas, ne rien déclarer pour cet élément.</w:t>
            </w:r>
          </w:p>
        </w:tc>
      </w:tr>
      <w:tr w:rsidR="000A55AA" w:rsidRPr="008D5188" w14:paraId="18421581" w14:textId="77777777" w:rsidTr="00950116">
        <w:trPr>
          <w:trHeight w:val="300"/>
        </w:trPr>
        <w:tc>
          <w:tcPr>
            <w:tcW w:w="1191" w:type="dxa"/>
          </w:tcPr>
          <w:p w14:paraId="0617A26E"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C0150</w:t>
            </w:r>
          </w:p>
        </w:tc>
        <w:tc>
          <w:tcPr>
            <w:tcW w:w="2048" w:type="dxa"/>
            <w:gridSpan w:val="3"/>
          </w:tcPr>
          <w:p w14:paraId="53BF0F21"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code du fournisseur de la sûreté</w:t>
            </w:r>
          </w:p>
        </w:tc>
        <w:tc>
          <w:tcPr>
            <w:tcW w:w="5941" w:type="dxa"/>
          </w:tcPr>
          <w:p w14:paraId="63B45587" w14:textId="77777777" w:rsidR="000A55AA" w:rsidRPr="008D5188" w:rsidRDefault="000A55AA">
            <w:pPr>
              <w:rPr>
                <w:rFonts w:ascii="Times New Roman" w:hAnsi="Times New Roman" w:cs="Times New Roman"/>
                <w:sz w:val="20"/>
                <w:szCs w:val="20"/>
              </w:rPr>
            </w:pPr>
            <w:r w:rsidRPr="008D5188">
              <w:rPr>
                <w:rFonts w:ascii="Times New Roman" w:hAnsi="Times New Roman"/>
                <w:color w:val="000000"/>
                <w:sz w:val="20"/>
              </w:rPr>
              <w:t>Identification du code utilisé sous «Code du fournisseur de la sûreté (le cas échéant)».</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 xml:space="preserve">1 – LEI </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9 – Aucun</w:t>
            </w:r>
          </w:p>
        </w:tc>
      </w:tr>
      <w:tr w:rsidR="000A55AA" w:rsidRPr="008D5188" w14:paraId="427EFFEC" w14:textId="77777777" w:rsidTr="00950116">
        <w:trPr>
          <w:trHeight w:val="346"/>
        </w:trPr>
        <w:tc>
          <w:tcPr>
            <w:tcW w:w="1191" w:type="dxa"/>
            <w:vMerge w:val="restart"/>
            <w:hideMark/>
          </w:tcPr>
          <w:p w14:paraId="3A3FBA33"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C0160</w:t>
            </w:r>
          </w:p>
        </w:tc>
        <w:tc>
          <w:tcPr>
            <w:tcW w:w="2048" w:type="dxa"/>
            <w:gridSpan w:val="3"/>
            <w:vMerge w:val="restart"/>
            <w:hideMark/>
          </w:tcPr>
          <w:p w14:paraId="39D7032E"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Estimation de la prime de réassurance sortante pour la part du réassureur</w:t>
            </w:r>
          </w:p>
        </w:tc>
        <w:tc>
          <w:tcPr>
            <w:tcW w:w="5941" w:type="dxa"/>
            <w:vMerge w:val="restart"/>
            <w:hideMark/>
          </w:tcPr>
          <w:p w14:paraId="08A1CE96" w14:textId="092E6341"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La prime de réassurance brute estimée du traité à payer par l’entreprise pour l’année de déclaration suivante (N + 1) pour la part de chaque réassureur. Ce montant est calculé conformément aux exemples suivants:  </w:t>
            </w:r>
            <w:r w:rsidR="00FE79E2" w:rsidRPr="008D5188">
              <w:rPr>
                <w:rFonts w:ascii="Times New Roman" w:hAnsi="Times New Roman" w:cs="Times New Roman"/>
                <w:sz w:val="20"/>
                <w:szCs w:val="20"/>
              </w:rPr>
              <w:br/>
            </w:r>
            <w:r w:rsidRPr="008D5188">
              <w:rPr>
                <w:rFonts w:ascii="Times New Roman" w:hAnsi="Times New Roman"/>
                <w:sz w:val="20"/>
              </w:rPr>
              <w:t xml:space="preserve">  Cas 1: pour les traités en quote-part et en excédent de perte: la part déclarée en Part réassureur (C0100), multipliée par l’élément Chiffre d’affaires brut estimé de la prime du traité (C0160) déclaré en </w:t>
            </w:r>
            <w:r w:rsidR="00126B85" w:rsidRPr="008D5188">
              <w:rPr>
                <w:rFonts w:ascii="Times New Roman" w:hAnsi="Times New Roman"/>
                <w:sz w:val="20"/>
              </w:rPr>
              <w:t>RP.3</w:t>
            </w:r>
            <w:r w:rsidRPr="008D5188">
              <w:rPr>
                <w:rFonts w:ascii="Times New Roman" w:hAnsi="Times New Roman"/>
                <w:sz w:val="20"/>
              </w:rPr>
              <w:t>0.03.</w:t>
            </w:r>
            <w:r w:rsidR="00FE79E2" w:rsidRPr="008D5188">
              <w:rPr>
                <w:rFonts w:ascii="Times New Roman" w:hAnsi="Times New Roman" w:cs="Times New Roman"/>
                <w:sz w:val="20"/>
                <w:szCs w:val="20"/>
              </w:rPr>
              <w:br/>
            </w:r>
            <w:r w:rsidR="00FE79E2" w:rsidRPr="008D5188">
              <w:rPr>
                <w:rFonts w:ascii="Times New Roman" w:hAnsi="Times New Roman" w:cs="Times New Roman"/>
                <w:sz w:val="20"/>
                <w:szCs w:val="20"/>
              </w:rPr>
              <w:lastRenderedPageBreak/>
              <w:br/>
            </w:r>
            <w:r w:rsidRPr="008D5188">
              <w:rPr>
                <w:rFonts w:ascii="Times New Roman" w:hAnsi="Times New Roman"/>
                <w:sz w:val="20"/>
              </w:rPr>
              <w:t xml:space="preserve">  Cas 2: pour les traités en excédent de plein si le traité prévoit un taux fixe: le taux déclaré en Excédent de plein taux 1 (C0360) déclaré en </w:t>
            </w:r>
            <w:r w:rsidR="00126B85" w:rsidRPr="008D5188">
              <w:rPr>
                <w:rFonts w:ascii="Times New Roman" w:hAnsi="Times New Roman"/>
                <w:sz w:val="20"/>
              </w:rPr>
              <w:t>RP.3</w:t>
            </w:r>
            <w:r w:rsidRPr="008D5188">
              <w:rPr>
                <w:rFonts w:ascii="Times New Roman" w:hAnsi="Times New Roman"/>
                <w:sz w:val="20"/>
              </w:rPr>
              <w:t xml:space="preserve">0.03, multiplié par l’élément Chiffre d’affaires estimé prime de base (C0150) déclaré en </w:t>
            </w:r>
            <w:r w:rsidR="00126B85" w:rsidRPr="008D5188">
              <w:rPr>
                <w:rFonts w:ascii="Times New Roman" w:hAnsi="Times New Roman"/>
                <w:sz w:val="20"/>
              </w:rPr>
              <w:t>RP.3</w:t>
            </w:r>
            <w:r w:rsidRPr="008D5188">
              <w:rPr>
                <w:rFonts w:ascii="Times New Roman" w:hAnsi="Times New Roman"/>
                <w:sz w:val="20"/>
              </w:rPr>
              <w:t>0.03, multiplié par la part déclarée en Part réassureur (C0100).</w:t>
            </w:r>
            <w:r w:rsidR="00FE79E2" w:rsidRPr="008D5188">
              <w:rPr>
                <w:rFonts w:ascii="Times New Roman" w:hAnsi="Times New Roman" w:cs="Times New Roman"/>
                <w:sz w:val="20"/>
                <w:szCs w:val="20"/>
              </w:rPr>
              <w:br/>
            </w:r>
            <w:r w:rsidRPr="008D5188">
              <w:rPr>
                <w:rFonts w:ascii="Times New Roman" w:hAnsi="Times New Roman"/>
                <w:sz w:val="20"/>
              </w:rPr>
              <w:t xml:space="preserve">  </w:t>
            </w:r>
            <w:r w:rsidR="00FE79E2" w:rsidRPr="008D5188">
              <w:rPr>
                <w:rFonts w:ascii="Times New Roman" w:hAnsi="Times New Roman" w:cs="Times New Roman"/>
                <w:sz w:val="20"/>
                <w:szCs w:val="20"/>
              </w:rPr>
              <w:br/>
            </w:r>
            <w:r w:rsidRPr="008D5188">
              <w:rPr>
                <w:rFonts w:ascii="Times New Roman" w:hAnsi="Times New Roman"/>
                <w:sz w:val="20"/>
              </w:rPr>
              <w:t xml:space="preserve">  Cas 3: pour les traités en excédent de plein si le traité prévoit un taux glissant: le taux déclaré en Excédent de plein taux 2 (C0370) déclaré en </w:t>
            </w:r>
            <w:r w:rsidR="00126B85" w:rsidRPr="008D5188">
              <w:rPr>
                <w:rFonts w:ascii="Times New Roman" w:hAnsi="Times New Roman"/>
                <w:sz w:val="20"/>
              </w:rPr>
              <w:t>RP.3</w:t>
            </w:r>
            <w:r w:rsidRPr="008D5188">
              <w:rPr>
                <w:rFonts w:ascii="Times New Roman" w:hAnsi="Times New Roman"/>
                <w:sz w:val="20"/>
              </w:rPr>
              <w:t xml:space="preserve">0.03, multiplié par l’élément Chiffre d’affaires estimé prime de base (C0150) déclaré en </w:t>
            </w:r>
            <w:r w:rsidR="00126B85" w:rsidRPr="008D5188">
              <w:rPr>
                <w:rFonts w:ascii="Times New Roman" w:hAnsi="Times New Roman"/>
                <w:sz w:val="20"/>
              </w:rPr>
              <w:t>RP.3</w:t>
            </w:r>
            <w:r w:rsidRPr="008D5188">
              <w:rPr>
                <w:rFonts w:ascii="Times New Roman" w:hAnsi="Times New Roman"/>
                <w:sz w:val="20"/>
              </w:rPr>
              <w:t>0.03, multiplié par la part déclarée en Part réassureur (C0100).</w:t>
            </w:r>
          </w:p>
        </w:tc>
      </w:tr>
      <w:tr w:rsidR="000A55AA" w:rsidRPr="008D5188" w14:paraId="59B1E63D" w14:textId="77777777" w:rsidTr="00950116">
        <w:trPr>
          <w:trHeight w:val="509"/>
        </w:trPr>
        <w:tc>
          <w:tcPr>
            <w:tcW w:w="1191" w:type="dxa"/>
            <w:vMerge/>
            <w:hideMark/>
          </w:tcPr>
          <w:p w14:paraId="1D2CD9C0" w14:textId="77777777" w:rsidR="000A55AA" w:rsidRPr="008D5188" w:rsidRDefault="000A55AA">
            <w:pPr>
              <w:rPr>
                <w:rFonts w:ascii="Times New Roman" w:hAnsi="Times New Roman" w:cs="Times New Roman"/>
                <w:sz w:val="20"/>
                <w:szCs w:val="20"/>
              </w:rPr>
            </w:pPr>
          </w:p>
        </w:tc>
        <w:tc>
          <w:tcPr>
            <w:tcW w:w="2048" w:type="dxa"/>
            <w:gridSpan w:val="3"/>
            <w:vMerge/>
            <w:hideMark/>
          </w:tcPr>
          <w:p w14:paraId="5CAA6C7F" w14:textId="77777777" w:rsidR="000A55AA" w:rsidRPr="008D5188" w:rsidRDefault="000A55AA">
            <w:pPr>
              <w:rPr>
                <w:rFonts w:ascii="Times New Roman" w:hAnsi="Times New Roman" w:cs="Times New Roman"/>
                <w:sz w:val="20"/>
                <w:szCs w:val="20"/>
              </w:rPr>
            </w:pPr>
          </w:p>
        </w:tc>
        <w:tc>
          <w:tcPr>
            <w:tcW w:w="5941" w:type="dxa"/>
            <w:vMerge/>
            <w:hideMark/>
          </w:tcPr>
          <w:p w14:paraId="1111247F" w14:textId="77777777" w:rsidR="000A55AA" w:rsidRPr="008D5188" w:rsidRDefault="000A55AA">
            <w:pPr>
              <w:rPr>
                <w:rFonts w:ascii="Times New Roman" w:hAnsi="Times New Roman" w:cs="Times New Roman"/>
                <w:sz w:val="20"/>
                <w:szCs w:val="20"/>
              </w:rPr>
            </w:pPr>
          </w:p>
        </w:tc>
      </w:tr>
      <w:tr w:rsidR="000A55AA" w:rsidRPr="008D5188" w14:paraId="30E50A50" w14:textId="77777777" w:rsidTr="00950116">
        <w:trPr>
          <w:trHeight w:val="509"/>
        </w:trPr>
        <w:tc>
          <w:tcPr>
            <w:tcW w:w="1191" w:type="dxa"/>
            <w:vMerge/>
            <w:hideMark/>
          </w:tcPr>
          <w:p w14:paraId="18DAA4A7" w14:textId="77777777" w:rsidR="000A55AA" w:rsidRPr="008D5188" w:rsidRDefault="000A55AA">
            <w:pPr>
              <w:rPr>
                <w:rFonts w:ascii="Times New Roman" w:hAnsi="Times New Roman" w:cs="Times New Roman"/>
                <w:sz w:val="20"/>
                <w:szCs w:val="20"/>
              </w:rPr>
            </w:pPr>
          </w:p>
        </w:tc>
        <w:tc>
          <w:tcPr>
            <w:tcW w:w="2048" w:type="dxa"/>
            <w:gridSpan w:val="3"/>
            <w:vMerge/>
            <w:hideMark/>
          </w:tcPr>
          <w:p w14:paraId="16EB6320" w14:textId="77777777" w:rsidR="000A55AA" w:rsidRPr="008D5188" w:rsidRDefault="000A55AA">
            <w:pPr>
              <w:rPr>
                <w:rFonts w:ascii="Times New Roman" w:hAnsi="Times New Roman" w:cs="Times New Roman"/>
                <w:sz w:val="20"/>
                <w:szCs w:val="20"/>
              </w:rPr>
            </w:pPr>
          </w:p>
        </w:tc>
        <w:tc>
          <w:tcPr>
            <w:tcW w:w="5941" w:type="dxa"/>
            <w:vMerge/>
            <w:hideMark/>
          </w:tcPr>
          <w:p w14:paraId="5F468EE7" w14:textId="77777777" w:rsidR="000A55AA" w:rsidRPr="008D5188" w:rsidRDefault="000A55AA">
            <w:pPr>
              <w:rPr>
                <w:rFonts w:ascii="Times New Roman" w:hAnsi="Times New Roman" w:cs="Times New Roman"/>
                <w:sz w:val="20"/>
                <w:szCs w:val="20"/>
              </w:rPr>
            </w:pPr>
          </w:p>
        </w:tc>
      </w:tr>
      <w:tr w:rsidR="000A55AA" w:rsidRPr="008D5188" w14:paraId="4C36E51B" w14:textId="77777777" w:rsidTr="00950116">
        <w:trPr>
          <w:trHeight w:val="509"/>
        </w:trPr>
        <w:tc>
          <w:tcPr>
            <w:tcW w:w="1191" w:type="dxa"/>
            <w:vMerge/>
            <w:hideMark/>
          </w:tcPr>
          <w:p w14:paraId="5DC96319" w14:textId="77777777" w:rsidR="000A55AA" w:rsidRPr="008D5188" w:rsidRDefault="000A55AA">
            <w:pPr>
              <w:rPr>
                <w:rFonts w:ascii="Times New Roman" w:hAnsi="Times New Roman" w:cs="Times New Roman"/>
                <w:sz w:val="20"/>
                <w:szCs w:val="20"/>
              </w:rPr>
            </w:pPr>
          </w:p>
        </w:tc>
        <w:tc>
          <w:tcPr>
            <w:tcW w:w="2048" w:type="dxa"/>
            <w:gridSpan w:val="3"/>
            <w:vMerge/>
            <w:hideMark/>
          </w:tcPr>
          <w:p w14:paraId="11EB8D3A" w14:textId="77777777" w:rsidR="000A55AA" w:rsidRPr="008D5188" w:rsidRDefault="000A55AA">
            <w:pPr>
              <w:rPr>
                <w:rFonts w:ascii="Times New Roman" w:hAnsi="Times New Roman" w:cs="Times New Roman"/>
                <w:sz w:val="20"/>
                <w:szCs w:val="20"/>
              </w:rPr>
            </w:pPr>
          </w:p>
        </w:tc>
        <w:tc>
          <w:tcPr>
            <w:tcW w:w="5941" w:type="dxa"/>
            <w:vMerge/>
            <w:hideMark/>
          </w:tcPr>
          <w:p w14:paraId="1495A711" w14:textId="77777777" w:rsidR="000A55AA" w:rsidRPr="008D5188" w:rsidRDefault="000A55AA">
            <w:pPr>
              <w:rPr>
                <w:rFonts w:ascii="Times New Roman" w:hAnsi="Times New Roman" w:cs="Times New Roman"/>
                <w:sz w:val="20"/>
                <w:szCs w:val="20"/>
              </w:rPr>
            </w:pPr>
          </w:p>
        </w:tc>
      </w:tr>
      <w:tr w:rsidR="000A55AA" w:rsidRPr="008D5188" w14:paraId="5777B09A" w14:textId="77777777" w:rsidTr="00950116">
        <w:trPr>
          <w:trHeight w:val="2929"/>
        </w:trPr>
        <w:tc>
          <w:tcPr>
            <w:tcW w:w="1191" w:type="dxa"/>
            <w:vMerge/>
            <w:hideMark/>
          </w:tcPr>
          <w:p w14:paraId="710023E8" w14:textId="77777777" w:rsidR="000A55AA" w:rsidRPr="008D5188" w:rsidRDefault="000A55AA">
            <w:pPr>
              <w:rPr>
                <w:rFonts w:ascii="Times New Roman" w:hAnsi="Times New Roman" w:cs="Times New Roman"/>
                <w:sz w:val="20"/>
                <w:szCs w:val="20"/>
              </w:rPr>
            </w:pPr>
          </w:p>
        </w:tc>
        <w:tc>
          <w:tcPr>
            <w:tcW w:w="2048" w:type="dxa"/>
            <w:gridSpan w:val="3"/>
            <w:vMerge/>
            <w:hideMark/>
          </w:tcPr>
          <w:p w14:paraId="2D6E7916" w14:textId="77777777" w:rsidR="000A55AA" w:rsidRPr="008D5188" w:rsidRDefault="000A55AA">
            <w:pPr>
              <w:rPr>
                <w:rFonts w:ascii="Times New Roman" w:hAnsi="Times New Roman" w:cs="Times New Roman"/>
                <w:sz w:val="20"/>
                <w:szCs w:val="20"/>
              </w:rPr>
            </w:pPr>
          </w:p>
        </w:tc>
        <w:tc>
          <w:tcPr>
            <w:tcW w:w="5941" w:type="dxa"/>
            <w:vMerge/>
            <w:hideMark/>
          </w:tcPr>
          <w:p w14:paraId="022819F0" w14:textId="77777777" w:rsidR="000A55AA" w:rsidRPr="008D5188" w:rsidRDefault="000A55AA">
            <w:pPr>
              <w:rPr>
                <w:rFonts w:ascii="Times New Roman" w:hAnsi="Times New Roman" w:cs="Times New Roman"/>
                <w:sz w:val="20"/>
                <w:szCs w:val="20"/>
              </w:rPr>
            </w:pPr>
          </w:p>
        </w:tc>
      </w:tr>
      <w:tr w:rsidR="000A55AA" w:rsidRPr="008D5188" w14:paraId="7B9D11C0" w14:textId="77777777" w:rsidTr="00950116">
        <w:trPr>
          <w:trHeight w:val="915"/>
        </w:trPr>
        <w:tc>
          <w:tcPr>
            <w:tcW w:w="1191" w:type="dxa"/>
            <w:hideMark/>
          </w:tcPr>
          <w:p w14:paraId="25BEE86E"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C0170</w:t>
            </w:r>
          </w:p>
        </w:tc>
        <w:tc>
          <w:tcPr>
            <w:tcW w:w="2048" w:type="dxa"/>
            <w:gridSpan w:val="3"/>
            <w:hideMark/>
          </w:tcPr>
          <w:p w14:paraId="27E77E55"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Commentaires</w:t>
            </w:r>
          </w:p>
        </w:tc>
        <w:tc>
          <w:tcPr>
            <w:tcW w:w="5941" w:type="dxa"/>
            <w:hideMark/>
          </w:tcPr>
          <w:p w14:paraId="76E64975" w14:textId="198F4896" w:rsidR="000A55AA" w:rsidRPr="008D5188" w:rsidRDefault="000A55AA" w:rsidP="00907D61">
            <w:pPr>
              <w:rPr>
                <w:rFonts w:ascii="Times New Roman" w:hAnsi="Times New Roman" w:cs="Times New Roman"/>
                <w:sz w:val="20"/>
                <w:szCs w:val="20"/>
              </w:rPr>
            </w:pPr>
            <w:r w:rsidRPr="008D5188">
              <w:rPr>
                <w:rFonts w:ascii="Times New Roman" w:hAnsi="Times New Roman"/>
                <w:sz w:val="20"/>
              </w:rPr>
              <w:t xml:space="preserve">Description des cas où la participation du réassureur ne correspond pas à un placement facultatif ou de traité standard, ou toute autre information que l’entreprise doit porter à l’attention de </w:t>
            </w:r>
            <w:r w:rsidR="00907D61" w:rsidRPr="008D5188">
              <w:rPr>
                <w:rFonts w:ascii="Times New Roman" w:hAnsi="Times New Roman"/>
                <w:sz w:val="20"/>
              </w:rPr>
              <w:t>l’Autorité de contrôle prudentiel et de résolution.</w:t>
            </w:r>
          </w:p>
        </w:tc>
      </w:tr>
      <w:tr w:rsidR="000A55AA" w:rsidRPr="008D5188" w14:paraId="5D2B2707" w14:textId="77777777" w:rsidTr="00950116">
        <w:trPr>
          <w:trHeight w:val="556"/>
        </w:trPr>
        <w:tc>
          <w:tcPr>
            <w:tcW w:w="9180" w:type="dxa"/>
            <w:gridSpan w:val="5"/>
            <w:noWrap/>
            <w:hideMark/>
          </w:tcPr>
          <w:p w14:paraId="53BEE384" w14:textId="77777777" w:rsidR="000A55AA" w:rsidRPr="008D5188" w:rsidRDefault="000A55AA" w:rsidP="00950116">
            <w:pPr>
              <w:spacing w:before="120" w:after="120"/>
              <w:rPr>
                <w:rFonts w:ascii="Times New Roman" w:hAnsi="Times New Roman" w:cs="Times New Roman"/>
                <w:sz w:val="20"/>
                <w:szCs w:val="20"/>
              </w:rPr>
            </w:pPr>
            <w:r w:rsidRPr="008D5188">
              <w:rPr>
                <w:rFonts w:ascii="Times New Roman" w:hAnsi="Times New Roman"/>
                <w:b/>
                <w:sz w:val="20"/>
              </w:rPr>
              <w:t>Informations sur les réassureurs et les courtiers</w:t>
            </w:r>
          </w:p>
        </w:tc>
      </w:tr>
      <w:tr w:rsidR="000A55AA" w:rsidRPr="008D5188" w14:paraId="69423272" w14:textId="77777777" w:rsidTr="0044578D">
        <w:trPr>
          <w:trHeight w:val="1279"/>
        </w:trPr>
        <w:tc>
          <w:tcPr>
            <w:tcW w:w="1213" w:type="dxa"/>
            <w:gridSpan w:val="2"/>
            <w:hideMark/>
          </w:tcPr>
          <w:p w14:paraId="5B851CD8" w14:textId="5143C782"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C0</w:t>
            </w:r>
            <w:r w:rsidR="00C16CAA" w:rsidRPr="008D5188">
              <w:rPr>
                <w:rFonts w:ascii="Times New Roman" w:hAnsi="Times New Roman"/>
                <w:sz w:val="20"/>
              </w:rPr>
              <w:t>050</w:t>
            </w:r>
          </w:p>
        </w:tc>
        <w:tc>
          <w:tcPr>
            <w:tcW w:w="2026" w:type="dxa"/>
            <w:gridSpan w:val="2"/>
            <w:hideMark/>
          </w:tcPr>
          <w:p w14:paraId="1CB07A7D"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réassureur</w:t>
            </w:r>
          </w:p>
        </w:tc>
        <w:tc>
          <w:tcPr>
            <w:tcW w:w="5941" w:type="dxa"/>
            <w:hideMark/>
          </w:tcPr>
          <w:p w14:paraId="3957D617" w14:textId="5DDDCCA3" w:rsidR="000A55AA" w:rsidRPr="008D5188" w:rsidRDefault="000A55AA" w:rsidP="00950116">
            <w:pPr>
              <w:ind w:right="175"/>
              <w:rPr>
                <w:rFonts w:ascii="Times New Roman" w:eastAsia="Times New Roman" w:hAnsi="Times New Roman" w:cs="Times New Roman"/>
                <w:sz w:val="20"/>
                <w:szCs w:val="20"/>
              </w:rPr>
            </w:pPr>
            <w:r w:rsidRPr="008D5188">
              <w:rPr>
                <w:rFonts w:ascii="Times New Roman" w:hAnsi="Times New Roman"/>
                <w:sz w:val="20"/>
              </w:rPr>
              <w:t xml:space="preserve">Code d’identification du réassureur, par ordre de priorité suivant: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Identifiant d’entité juridique (LEI);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Code spécifique attribué par </w:t>
            </w:r>
            <w:r w:rsidR="005D0064" w:rsidRPr="008D5188">
              <w:rPr>
                <w:rFonts w:ascii="Times New Roman" w:hAnsi="Times New Roman"/>
                <w:sz w:val="20"/>
              </w:rPr>
              <w:t>l’O</w:t>
            </w:r>
            <w:r w:rsidR="00011FC3" w:rsidRPr="008D5188">
              <w:rPr>
                <w:rFonts w:ascii="Times New Roman" w:hAnsi="Times New Roman"/>
                <w:sz w:val="20"/>
              </w:rPr>
              <w:t>RPS</w:t>
            </w:r>
            <w:r w:rsidR="0072092D" w:rsidRPr="008D5188">
              <w:rPr>
                <w:rFonts w:ascii="Times New Roman" w:hAnsi="Times New Roman"/>
                <w:sz w:val="20"/>
              </w:rPr>
              <w:t>.</w:t>
            </w:r>
          </w:p>
          <w:p w14:paraId="79BD1189" w14:textId="77777777" w:rsidR="000A55AA" w:rsidRPr="008D5188" w:rsidRDefault="000A55AA" w:rsidP="00950116">
            <w:pPr>
              <w:rPr>
                <w:rFonts w:ascii="Times New Roman" w:hAnsi="Times New Roman" w:cs="Times New Roman"/>
                <w:sz w:val="20"/>
                <w:szCs w:val="20"/>
              </w:rPr>
            </w:pPr>
          </w:p>
          <w:p w14:paraId="480B016B" w14:textId="1659DCD6" w:rsidR="000A55AA" w:rsidRPr="008D5188" w:rsidRDefault="000A55AA" w:rsidP="0044578D">
            <w:pPr>
              <w:ind w:right="175"/>
              <w:rPr>
                <w:rFonts w:ascii="Times New Roman" w:hAnsi="Times New Roman" w:cs="Times New Roman"/>
                <w:sz w:val="20"/>
                <w:szCs w:val="20"/>
              </w:rPr>
            </w:pPr>
            <w:r w:rsidRPr="008D5188">
              <w:rPr>
                <w:rFonts w:ascii="Times New Roman" w:hAnsi="Times New Roman"/>
                <w:sz w:val="20"/>
              </w:rPr>
              <w:t xml:space="preserve">Si un code spécifique est attribué par </w:t>
            </w:r>
            <w:r w:rsidR="005D0064" w:rsidRPr="008D5188">
              <w:rPr>
                <w:rFonts w:ascii="Times New Roman" w:hAnsi="Times New Roman"/>
                <w:sz w:val="20"/>
              </w:rPr>
              <w:t>l’O</w:t>
            </w:r>
            <w:r w:rsidR="00011FC3" w:rsidRPr="008D5188">
              <w:rPr>
                <w:rFonts w:ascii="Times New Roman" w:hAnsi="Times New Roman"/>
                <w:sz w:val="20"/>
              </w:rPr>
              <w:t>RPS</w:t>
            </w:r>
            <w:r w:rsidRPr="008D5188">
              <w:rPr>
                <w:rFonts w:ascii="Times New Roman" w:hAnsi="Times New Roman"/>
                <w:sz w:val="20"/>
              </w:rPr>
              <w:t>, ce code doit être unique pour le réassureur et n’être identique à aucun autre code attribué par l’entreprise ni à aucun code LEI.</w:t>
            </w:r>
          </w:p>
        </w:tc>
      </w:tr>
      <w:tr w:rsidR="000A55AA" w:rsidRPr="008D5188" w14:paraId="6B7A560E" w14:textId="77777777" w:rsidTr="0044578D">
        <w:trPr>
          <w:trHeight w:val="554"/>
        </w:trPr>
        <w:tc>
          <w:tcPr>
            <w:tcW w:w="1213" w:type="dxa"/>
            <w:gridSpan w:val="2"/>
          </w:tcPr>
          <w:p w14:paraId="2B9631AE" w14:textId="07E19FAE"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C0</w:t>
            </w:r>
            <w:r w:rsidR="00C16CAA" w:rsidRPr="008D5188">
              <w:rPr>
                <w:rFonts w:ascii="Times New Roman" w:hAnsi="Times New Roman"/>
                <w:sz w:val="20"/>
              </w:rPr>
              <w:t>060</w:t>
            </w:r>
          </w:p>
        </w:tc>
        <w:tc>
          <w:tcPr>
            <w:tcW w:w="2026" w:type="dxa"/>
            <w:gridSpan w:val="2"/>
          </w:tcPr>
          <w:p w14:paraId="3BFCBA20" w14:textId="77777777" w:rsidR="000A55AA" w:rsidRPr="008D5188" w:rsidRDefault="000A55AA" w:rsidP="00950116">
            <w:pPr>
              <w:ind w:right="-1286"/>
              <w:rPr>
                <w:rFonts w:ascii="Times New Roman" w:hAnsi="Times New Roman" w:cs="Times New Roman"/>
                <w:sz w:val="20"/>
                <w:szCs w:val="20"/>
              </w:rPr>
            </w:pPr>
            <w:r w:rsidRPr="008D5188">
              <w:rPr>
                <w:rFonts w:ascii="Times New Roman" w:hAnsi="Times New Roman"/>
                <w:sz w:val="20"/>
              </w:rPr>
              <w:t xml:space="preserve">Type de code </w:t>
            </w:r>
          </w:p>
          <w:p w14:paraId="697D3643"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Réassureur</w:t>
            </w:r>
          </w:p>
        </w:tc>
        <w:tc>
          <w:tcPr>
            <w:tcW w:w="5941" w:type="dxa"/>
          </w:tcPr>
          <w:p w14:paraId="0397A3FA" w14:textId="29BAC63C" w:rsidR="000A55AA" w:rsidRPr="008D5188" w:rsidRDefault="000A55AA" w:rsidP="00950116">
            <w:pPr>
              <w:ind w:right="175"/>
              <w:rPr>
                <w:rFonts w:ascii="Times New Roman" w:hAnsi="Times New Roman" w:cs="Times New Roman"/>
                <w:sz w:val="20"/>
                <w:szCs w:val="20"/>
              </w:rPr>
            </w:pPr>
            <w:r w:rsidRPr="008D5188">
              <w:rPr>
                <w:rFonts w:ascii="Times New Roman" w:hAnsi="Times New Roman"/>
                <w:color w:val="000000"/>
                <w:sz w:val="20"/>
              </w:rPr>
              <w:t>Indiquer le type de code utilisé dans la rubrique</w:t>
            </w:r>
            <w:r w:rsidR="00540C38" w:rsidRPr="008D5188">
              <w:rPr>
                <w:rFonts w:ascii="Times New Roman" w:hAnsi="Times New Roman"/>
                <w:color w:val="000000"/>
                <w:sz w:val="20"/>
              </w:rPr>
              <w:t xml:space="preserve"> « Code</w:t>
            </w:r>
            <w:r w:rsidRPr="008D5188">
              <w:rPr>
                <w:rFonts w:ascii="Times New Roman" w:hAnsi="Times New Roman"/>
                <w:color w:val="000000"/>
                <w:sz w:val="20"/>
              </w:rPr>
              <w:t xml:space="preserve"> </w:t>
            </w:r>
            <w:r w:rsidR="00540C38" w:rsidRPr="008D5188">
              <w:rPr>
                <w:rFonts w:ascii="Times New Roman" w:hAnsi="Times New Roman"/>
                <w:color w:val="000000"/>
                <w:sz w:val="20"/>
              </w:rPr>
              <w:t>réassureur »</w:t>
            </w:r>
            <w:r w:rsidRPr="008D5188">
              <w:rPr>
                <w:rFonts w:ascii="Times New Roman" w:hAnsi="Times New Roman"/>
                <w:color w:val="000000"/>
                <w:sz w:val="20"/>
              </w:rPr>
              <w:t xml:space="preserve">. </w:t>
            </w:r>
            <w:r w:rsidRPr="008D5188">
              <w:rPr>
                <w:rFonts w:ascii="Times New Roman" w:hAnsi="Times New Roman"/>
                <w:sz w:val="20"/>
              </w:rPr>
              <w:t>Choisir impérativement l’une des options suivantes:</w:t>
            </w:r>
            <w:r w:rsidR="00FE79E2" w:rsidRPr="008D5188">
              <w:rPr>
                <w:rFonts w:ascii="Times New Roman" w:hAnsi="Times New Roman" w:cs="Times New Roman"/>
                <w:sz w:val="20"/>
                <w:szCs w:val="20"/>
              </w:rPr>
              <w:br/>
            </w:r>
            <w:r w:rsidRPr="008D5188">
              <w:rPr>
                <w:rFonts w:ascii="Times New Roman" w:hAnsi="Times New Roman"/>
                <w:color w:val="000000"/>
                <w:sz w:val="20"/>
              </w:rPr>
              <w:t xml:space="preserve">1 – LEI </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2 – Code spécifique</w:t>
            </w:r>
          </w:p>
        </w:tc>
      </w:tr>
      <w:tr w:rsidR="000A55AA" w:rsidRPr="008D5188" w14:paraId="3ED8A466" w14:textId="77777777" w:rsidTr="00950116">
        <w:tc>
          <w:tcPr>
            <w:tcW w:w="1213" w:type="dxa"/>
            <w:gridSpan w:val="2"/>
            <w:hideMark/>
          </w:tcPr>
          <w:p w14:paraId="4F4445AE" w14:textId="79C66717"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C0</w:t>
            </w:r>
            <w:r w:rsidR="00C16CAA" w:rsidRPr="008D5188">
              <w:rPr>
                <w:rFonts w:ascii="Times New Roman" w:hAnsi="Times New Roman"/>
                <w:sz w:val="20"/>
              </w:rPr>
              <w:t>180</w:t>
            </w:r>
          </w:p>
        </w:tc>
        <w:tc>
          <w:tcPr>
            <w:tcW w:w="2026" w:type="dxa"/>
            <w:gridSpan w:val="2"/>
            <w:hideMark/>
          </w:tcPr>
          <w:p w14:paraId="093201F3"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Nom juridique du réassureur</w:t>
            </w:r>
          </w:p>
        </w:tc>
        <w:tc>
          <w:tcPr>
            <w:tcW w:w="5941" w:type="dxa"/>
            <w:hideMark/>
          </w:tcPr>
          <w:p w14:paraId="5E8183AB"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Nom juridique du réassureur auquel le risque de souscription a été transféré. Le nom officiel du réassureur auquel a été transféré le risque est celui figurant sur le contrat de réassurance. Il n’est pas permis d’indiquer le nom d’un courtier de réassurance ni un nom général ou incomplet, les réassureurs internationaux ayant différentes entreprises exploitantes pouvant être situées dans différents pays.</w:t>
            </w:r>
          </w:p>
          <w:p w14:paraId="29A52066"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Dans le cas d’un pool de réassurance, le nom du pool (ou celui de son administrateur) ne peut être utilisé que si le pool est une personne morale. </w:t>
            </w:r>
          </w:p>
        </w:tc>
      </w:tr>
      <w:tr w:rsidR="000A55AA" w:rsidRPr="008D5188" w14:paraId="6B268227" w14:textId="77777777" w:rsidTr="0044578D">
        <w:trPr>
          <w:trHeight w:val="132"/>
        </w:trPr>
        <w:tc>
          <w:tcPr>
            <w:tcW w:w="1213" w:type="dxa"/>
            <w:gridSpan w:val="2"/>
            <w:hideMark/>
          </w:tcPr>
          <w:p w14:paraId="1827B180" w14:textId="2B075E98"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C0</w:t>
            </w:r>
            <w:r w:rsidR="00C16CAA" w:rsidRPr="008D5188">
              <w:rPr>
                <w:rFonts w:ascii="Times New Roman" w:hAnsi="Times New Roman"/>
                <w:sz w:val="20"/>
              </w:rPr>
              <w:t>190</w:t>
            </w:r>
          </w:p>
        </w:tc>
        <w:tc>
          <w:tcPr>
            <w:tcW w:w="2026" w:type="dxa"/>
            <w:gridSpan w:val="2"/>
            <w:hideMark/>
          </w:tcPr>
          <w:p w14:paraId="45D14A2D"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réassureur</w:t>
            </w:r>
          </w:p>
          <w:p w14:paraId="09176F8D"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w:t>
            </w:r>
          </w:p>
        </w:tc>
        <w:tc>
          <w:tcPr>
            <w:tcW w:w="5941" w:type="dxa"/>
            <w:hideMark/>
          </w:tcPr>
          <w:p w14:paraId="631F2779"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réassureur auquel le risque de souscription a été transféré.</w:t>
            </w:r>
          </w:p>
          <w:p w14:paraId="3D3A3016"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 xml:space="preserve">Choisir impérativement l’une des options suivantes: </w:t>
            </w:r>
          </w:p>
          <w:p w14:paraId="7C53A1BE" w14:textId="77777777" w:rsidR="000A55AA" w:rsidRPr="008D5188" w:rsidRDefault="000A55AA" w:rsidP="00950116">
            <w:pPr>
              <w:ind w:left="360" w:right="175"/>
              <w:rPr>
                <w:rFonts w:ascii="Times New Roman" w:hAnsi="Times New Roman" w:cs="Times New Roman"/>
                <w:sz w:val="20"/>
                <w:szCs w:val="20"/>
              </w:rPr>
            </w:pPr>
            <w:r w:rsidRPr="008D5188">
              <w:rPr>
                <w:rFonts w:ascii="Times New Roman" w:hAnsi="Times New Roman"/>
                <w:sz w:val="20"/>
              </w:rPr>
              <w:t>1 – Assureur vie direct</w:t>
            </w:r>
            <w:r w:rsidR="00FE79E2" w:rsidRPr="008D5188">
              <w:rPr>
                <w:rFonts w:ascii="Times New Roman" w:hAnsi="Times New Roman" w:cs="Times New Roman"/>
                <w:sz w:val="20"/>
                <w:szCs w:val="20"/>
              </w:rPr>
              <w:br/>
            </w:r>
            <w:r w:rsidRPr="008D5188">
              <w:rPr>
                <w:rFonts w:ascii="Times New Roman" w:hAnsi="Times New Roman"/>
                <w:sz w:val="20"/>
              </w:rPr>
              <w:t>2 – Assureur non-vie direct</w:t>
            </w:r>
            <w:r w:rsidR="00FE79E2" w:rsidRPr="008D5188">
              <w:rPr>
                <w:rFonts w:ascii="Times New Roman" w:hAnsi="Times New Roman" w:cs="Times New Roman"/>
                <w:sz w:val="20"/>
                <w:szCs w:val="20"/>
              </w:rPr>
              <w:br/>
            </w:r>
            <w:r w:rsidRPr="008D5188">
              <w:rPr>
                <w:rFonts w:ascii="Times New Roman" w:hAnsi="Times New Roman"/>
                <w:sz w:val="20"/>
              </w:rPr>
              <w:t>3 – Assureur multibranches direct</w:t>
            </w:r>
            <w:r w:rsidR="00FE79E2" w:rsidRPr="008D5188">
              <w:rPr>
                <w:rFonts w:ascii="Times New Roman" w:hAnsi="Times New Roman" w:cs="Times New Roman"/>
                <w:sz w:val="20"/>
                <w:szCs w:val="20"/>
              </w:rPr>
              <w:br/>
            </w:r>
            <w:r w:rsidRPr="008D5188">
              <w:rPr>
                <w:rFonts w:ascii="Times New Roman" w:hAnsi="Times New Roman"/>
                <w:sz w:val="20"/>
              </w:rPr>
              <w:t xml:space="preserve">4 – Entreprise d’assurance captive </w:t>
            </w:r>
          </w:p>
          <w:p w14:paraId="2F70E97D" w14:textId="77777777" w:rsidR="000A55AA" w:rsidRPr="008D5188" w:rsidRDefault="000A55AA" w:rsidP="00950116">
            <w:pPr>
              <w:ind w:left="360" w:right="175"/>
              <w:rPr>
                <w:rFonts w:ascii="Times New Roman" w:hAnsi="Times New Roman" w:cs="Times New Roman"/>
                <w:sz w:val="20"/>
                <w:szCs w:val="20"/>
              </w:rPr>
            </w:pPr>
            <w:r w:rsidRPr="008D5188">
              <w:rPr>
                <w:rFonts w:ascii="Times New Roman" w:hAnsi="Times New Roman"/>
                <w:sz w:val="20"/>
              </w:rPr>
              <w:t>5 – Réassureur interne (entreprise d’assurance dont la vocation principale est d’accepter des risques de la part des autres entreprises d’assurance du groupe)</w:t>
            </w:r>
            <w:r w:rsidR="00FE79E2" w:rsidRPr="008D5188">
              <w:rPr>
                <w:rFonts w:ascii="Times New Roman" w:hAnsi="Times New Roman" w:cs="Times New Roman"/>
                <w:sz w:val="20"/>
                <w:szCs w:val="20"/>
              </w:rPr>
              <w:br/>
            </w:r>
            <w:r w:rsidRPr="008D5188">
              <w:rPr>
                <w:rFonts w:ascii="Times New Roman" w:hAnsi="Times New Roman"/>
                <w:sz w:val="20"/>
              </w:rPr>
              <w:t>6 – Réassureur externe (entreprise d’assurance qui accepte des risques de la part d’entreprises autres que les autres entreprises d’assurance du groupe)</w:t>
            </w:r>
            <w:r w:rsidR="00FE79E2" w:rsidRPr="008D5188">
              <w:rPr>
                <w:rFonts w:ascii="Times New Roman" w:hAnsi="Times New Roman" w:cs="Times New Roman"/>
                <w:sz w:val="20"/>
                <w:szCs w:val="20"/>
              </w:rPr>
              <w:br/>
            </w:r>
            <w:r w:rsidRPr="008D5188">
              <w:rPr>
                <w:rFonts w:ascii="Times New Roman" w:hAnsi="Times New Roman"/>
                <w:sz w:val="20"/>
              </w:rPr>
              <w:t>7 – Entreprise de réassurance captive</w:t>
            </w:r>
            <w:r w:rsidR="00FE79E2" w:rsidRPr="008D5188">
              <w:rPr>
                <w:rFonts w:ascii="Times New Roman" w:hAnsi="Times New Roman" w:cs="Times New Roman"/>
                <w:sz w:val="20"/>
                <w:szCs w:val="20"/>
              </w:rPr>
              <w:br/>
            </w:r>
            <w:r w:rsidRPr="008D5188">
              <w:rPr>
                <w:rFonts w:ascii="Times New Roman" w:hAnsi="Times New Roman"/>
                <w:sz w:val="20"/>
              </w:rPr>
              <w:t>8 – Véhicule de titrisation</w:t>
            </w:r>
            <w:r w:rsidR="00FE79E2" w:rsidRPr="008D5188">
              <w:rPr>
                <w:rFonts w:ascii="Times New Roman" w:hAnsi="Times New Roman" w:cs="Times New Roman"/>
                <w:sz w:val="20"/>
                <w:szCs w:val="20"/>
              </w:rPr>
              <w:br/>
            </w:r>
            <w:r w:rsidRPr="008D5188">
              <w:rPr>
                <w:rFonts w:ascii="Times New Roman" w:hAnsi="Times New Roman"/>
                <w:sz w:val="20"/>
              </w:rPr>
              <w:t xml:space="preserve">9 – Entité de pool (à laquelle participent plusieurs entreprises d’assurance ou de réassurance) </w:t>
            </w:r>
          </w:p>
          <w:p w14:paraId="19BA36CE" w14:textId="77777777" w:rsidR="000A55AA" w:rsidRPr="008D5188" w:rsidRDefault="000A55AA" w:rsidP="00950116">
            <w:pPr>
              <w:ind w:left="360"/>
              <w:rPr>
                <w:rFonts w:ascii="Times New Roman" w:hAnsi="Times New Roman"/>
                <w:sz w:val="20"/>
              </w:rPr>
            </w:pPr>
            <w:r w:rsidRPr="008D5188">
              <w:rPr>
                <w:rFonts w:ascii="Times New Roman" w:hAnsi="Times New Roman"/>
                <w:sz w:val="20"/>
              </w:rPr>
              <w:t>10 – Pool d’état</w:t>
            </w:r>
          </w:p>
          <w:p w14:paraId="17D540E0" w14:textId="3C744C03" w:rsidR="00011FC3" w:rsidRPr="008D5188" w:rsidRDefault="00011FC3" w:rsidP="00494EAC">
            <w:pPr>
              <w:ind w:left="360"/>
              <w:rPr>
                <w:rFonts w:ascii="Times New Roman" w:hAnsi="Times New Roman" w:cs="Times New Roman"/>
                <w:sz w:val="20"/>
                <w:szCs w:val="20"/>
              </w:rPr>
            </w:pPr>
            <w:r w:rsidRPr="008D5188">
              <w:rPr>
                <w:rFonts w:ascii="Times New Roman" w:hAnsi="Times New Roman"/>
                <w:sz w:val="20"/>
              </w:rPr>
              <w:t xml:space="preserve">11 – </w:t>
            </w:r>
            <w:r w:rsidR="00494EAC" w:rsidRPr="008D5188">
              <w:rPr>
                <w:rFonts w:ascii="Times New Roman" w:hAnsi="Times New Roman"/>
                <w:sz w:val="20"/>
              </w:rPr>
              <w:t>ORPS</w:t>
            </w:r>
            <w:r w:rsidRPr="008D5188">
              <w:rPr>
                <w:rFonts w:ascii="Times New Roman" w:hAnsi="Times New Roman"/>
                <w:sz w:val="20"/>
              </w:rPr>
              <w:t>/MRPS/URPS/IRPS</w:t>
            </w:r>
          </w:p>
        </w:tc>
      </w:tr>
      <w:tr w:rsidR="000A55AA" w:rsidRPr="008D5188" w14:paraId="0069052D" w14:textId="77777777" w:rsidTr="00950116">
        <w:trPr>
          <w:trHeight w:val="330"/>
        </w:trPr>
        <w:tc>
          <w:tcPr>
            <w:tcW w:w="1213" w:type="dxa"/>
            <w:gridSpan w:val="2"/>
            <w:hideMark/>
          </w:tcPr>
          <w:p w14:paraId="3F5BF586" w14:textId="19BC9727" w:rsidR="000A55AA" w:rsidRPr="008D5188" w:rsidRDefault="000A55AA" w:rsidP="00C16CAA">
            <w:pPr>
              <w:rPr>
                <w:rFonts w:ascii="Times New Roman" w:hAnsi="Times New Roman" w:cs="Times New Roman"/>
                <w:sz w:val="20"/>
                <w:szCs w:val="20"/>
              </w:rPr>
            </w:pPr>
            <w:r w:rsidRPr="008D5188">
              <w:rPr>
                <w:rFonts w:ascii="Times New Roman" w:hAnsi="Times New Roman"/>
                <w:sz w:val="20"/>
              </w:rPr>
              <w:t>C02</w:t>
            </w:r>
            <w:r w:rsidR="00C16CAA" w:rsidRPr="008D5188">
              <w:rPr>
                <w:rFonts w:ascii="Times New Roman" w:hAnsi="Times New Roman"/>
                <w:sz w:val="20"/>
              </w:rPr>
              <w:t>0</w:t>
            </w:r>
            <w:r w:rsidRPr="008D5188">
              <w:rPr>
                <w:rFonts w:ascii="Times New Roman" w:hAnsi="Times New Roman"/>
                <w:sz w:val="20"/>
              </w:rPr>
              <w:t>0</w:t>
            </w:r>
          </w:p>
        </w:tc>
        <w:tc>
          <w:tcPr>
            <w:tcW w:w="2026" w:type="dxa"/>
            <w:gridSpan w:val="2"/>
            <w:hideMark/>
          </w:tcPr>
          <w:p w14:paraId="45E6EA20"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Pays de résidence</w:t>
            </w:r>
          </w:p>
        </w:tc>
        <w:tc>
          <w:tcPr>
            <w:tcW w:w="5941" w:type="dxa"/>
          </w:tcPr>
          <w:p w14:paraId="46B09C4D" w14:textId="77777777" w:rsidR="000A55AA" w:rsidRPr="008D5188" w:rsidRDefault="000A55AA" w:rsidP="00F37D39">
            <w:pPr>
              <w:rPr>
                <w:rFonts w:ascii="Times New Roman" w:hAnsi="Times New Roman" w:cs="Times New Roman"/>
                <w:sz w:val="20"/>
                <w:szCs w:val="20"/>
              </w:rPr>
            </w:pPr>
            <w:r w:rsidRPr="008D5188">
              <w:rPr>
                <w:rFonts w:ascii="Times New Roman" w:hAnsi="Times New Roman"/>
                <w:sz w:val="20"/>
              </w:rPr>
              <w:t>Indiquer le code ISO 3166-1 alpha-2 du pays dans lequel le réassureur est juridiquement autorisé ou agréé.</w:t>
            </w:r>
          </w:p>
        </w:tc>
      </w:tr>
      <w:tr w:rsidR="000A55AA" w:rsidRPr="008D5188" w14:paraId="0BD5B7B0" w14:textId="77777777" w:rsidTr="0044578D">
        <w:trPr>
          <w:trHeight w:val="932"/>
        </w:trPr>
        <w:tc>
          <w:tcPr>
            <w:tcW w:w="1213" w:type="dxa"/>
            <w:gridSpan w:val="2"/>
            <w:hideMark/>
          </w:tcPr>
          <w:p w14:paraId="57F84299" w14:textId="4208E6E4" w:rsidR="000A55AA" w:rsidRPr="008D5188" w:rsidRDefault="00011FC3" w:rsidP="008B4953">
            <w:pPr>
              <w:rPr>
                <w:rFonts w:ascii="Times New Roman" w:hAnsi="Times New Roman" w:cs="Times New Roman"/>
                <w:sz w:val="20"/>
                <w:szCs w:val="20"/>
              </w:rPr>
            </w:pPr>
            <w:r w:rsidRPr="008D5188">
              <w:rPr>
                <w:rFonts w:ascii="Times New Roman" w:hAnsi="Times New Roman"/>
                <w:sz w:val="20"/>
              </w:rPr>
              <w:lastRenderedPageBreak/>
              <w:t>C0</w:t>
            </w:r>
            <w:r w:rsidR="008B4953" w:rsidRPr="008D5188">
              <w:rPr>
                <w:rFonts w:ascii="Times New Roman" w:hAnsi="Times New Roman"/>
                <w:sz w:val="20"/>
              </w:rPr>
              <w:t>210</w:t>
            </w:r>
          </w:p>
        </w:tc>
        <w:tc>
          <w:tcPr>
            <w:tcW w:w="2026" w:type="dxa"/>
            <w:gridSpan w:val="2"/>
          </w:tcPr>
          <w:p w14:paraId="6A1FCAB6" w14:textId="618C6295" w:rsidR="000A55AA" w:rsidRPr="008D5188" w:rsidRDefault="00011FC3" w:rsidP="00011FC3">
            <w:pPr>
              <w:rPr>
                <w:rFonts w:ascii="Times New Roman" w:hAnsi="Times New Roman" w:cs="Times New Roman"/>
                <w:sz w:val="20"/>
                <w:szCs w:val="20"/>
              </w:rPr>
            </w:pPr>
            <w:r w:rsidRPr="008D5188">
              <w:rPr>
                <w:rFonts w:ascii="Times New Roman" w:hAnsi="Times New Roman"/>
                <w:sz w:val="20"/>
              </w:rPr>
              <w:t xml:space="preserve"> Note de l’agence de notation</w:t>
            </w:r>
          </w:p>
        </w:tc>
        <w:tc>
          <w:tcPr>
            <w:tcW w:w="5941" w:type="dxa"/>
            <w:hideMark/>
          </w:tcPr>
          <w:p w14:paraId="60B09C41" w14:textId="61AEDE85" w:rsidR="000A55AA" w:rsidRPr="008D5188" w:rsidRDefault="000A55AA" w:rsidP="00950116">
            <w:pPr>
              <w:rPr>
                <w:rFonts w:ascii="Times New Roman" w:hAnsi="Times New Roman"/>
                <w:sz w:val="20"/>
              </w:rPr>
            </w:pPr>
            <w:r w:rsidRPr="008D5188">
              <w:rPr>
                <w:rFonts w:ascii="Times New Roman" w:hAnsi="Times New Roman"/>
                <w:sz w:val="20"/>
              </w:rPr>
              <w:t xml:space="preserve">Notation du réassureur à la date de référence de la déclaration, délivrée par </w:t>
            </w:r>
            <w:r w:rsidR="00011FC3" w:rsidRPr="008D5188">
              <w:rPr>
                <w:rFonts w:ascii="Times New Roman" w:hAnsi="Times New Roman"/>
                <w:sz w:val="20"/>
              </w:rPr>
              <w:t>une agence de notation</w:t>
            </w:r>
            <w:r w:rsidR="00E54DF8" w:rsidRPr="008D5188">
              <w:rPr>
                <w:rFonts w:ascii="Times New Roman" w:hAnsi="Times New Roman"/>
                <w:sz w:val="20"/>
              </w:rPr>
              <w:t>.</w:t>
            </w:r>
          </w:p>
          <w:p w14:paraId="72675848" w14:textId="77777777" w:rsidR="00E54DF8" w:rsidRPr="008D5188" w:rsidRDefault="00E54DF8" w:rsidP="00950116">
            <w:pPr>
              <w:rPr>
                <w:rFonts w:ascii="Times New Roman" w:hAnsi="Times New Roman"/>
                <w:sz w:val="20"/>
              </w:rPr>
            </w:pPr>
          </w:p>
          <w:p w14:paraId="4DF003FC" w14:textId="5CB33808" w:rsidR="000A55AA" w:rsidRPr="008D5188" w:rsidRDefault="00E54DF8" w:rsidP="001D643E">
            <w:pPr>
              <w:rPr>
                <w:rFonts w:ascii="Times New Roman" w:hAnsi="Times New Roman" w:cs="Times New Roman"/>
                <w:sz w:val="20"/>
                <w:szCs w:val="20"/>
              </w:rPr>
            </w:pPr>
            <w:r w:rsidRPr="008D5188">
              <w:rPr>
                <w:rFonts w:ascii="Times New Roman" w:hAnsi="Times New Roman"/>
                <w:sz w:val="20"/>
              </w:rPr>
              <w:t>Si une note n’est pas assignée, la cellule doit rester vide.</w:t>
            </w:r>
          </w:p>
        </w:tc>
      </w:tr>
      <w:tr w:rsidR="000A55AA" w:rsidRPr="008D5188" w14:paraId="6EE56CC1" w14:textId="77777777" w:rsidTr="00950116">
        <w:trPr>
          <w:trHeight w:val="330"/>
        </w:trPr>
        <w:tc>
          <w:tcPr>
            <w:tcW w:w="1213" w:type="dxa"/>
            <w:gridSpan w:val="2"/>
            <w:hideMark/>
          </w:tcPr>
          <w:p w14:paraId="20F485F3" w14:textId="1FBA616D" w:rsidR="000A55AA" w:rsidRPr="008D5188" w:rsidRDefault="000A55AA" w:rsidP="008B4953">
            <w:pPr>
              <w:rPr>
                <w:rFonts w:ascii="Times New Roman" w:hAnsi="Times New Roman" w:cs="Times New Roman"/>
                <w:sz w:val="20"/>
                <w:szCs w:val="20"/>
              </w:rPr>
            </w:pPr>
            <w:r w:rsidRPr="008D5188">
              <w:rPr>
                <w:rFonts w:ascii="Times New Roman" w:hAnsi="Times New Roman"/>
                <w:sz w:val="20"/>
              </w:rPr>
              <w:t>C02</w:t>
            </w:r>
            <w:r w:rsidR="008B4953" w:rsidRPr="008D5188">
              <w:rPr>
                <w:rFonts w:ascii="Times New Roman" w:hAnsi="Times New Roman"/>
                <w:sz w:val="20"/>
              </w:rPr>
              <w:t>20</w:t>
            </w:r>
          </w:p>
        </w:tc>
        <w:tc>
          <w:tcPr>
            <w:tcW w:w="2026" w:type="dxa"/>
            <w:gridSpan w:val="2"/>
            <w:hideMark/>
          </w:tcPr>
          <w:p w14:paraId="5FC378CB" w14:textId="3897923C" w:rsidR="000A55AA" w:rsidRPr="008D5188" w:rsidRDefault="00011FC3">
            <w:pPr>
              <w:rPr>
                <w:rFonts w:ascii="Times New Roman" w:hAnsi="Times New Roman" w:cs="Times New Roman"/>
                <w:sz w:val="20"/>
                <w:szCs w:val="20"/>
              </w:rPr>
            </w:pPr>
            <w:r w:rsidRPr="008D5188">
              <w:rPr>
                <w:rFonts w:ascii="Times New Roman" w:hAnsi="Times New Roman"/>
                <w:sz w:val="20"/>
              </w:rPr>
              <w:t>Agence de notation</w:t>
            </w:r>
          </w:p>
        </w:tc>
        <w:tc>
          <w:tcPr>
            <w:tcW w:w="5941" w:type="dxa"/>
            <w:hideMark/>
          </w:tcPr>
          <w:p w14:paraId="68FDE274" w14:textId="7D0B9579" w:rsidR="000A55AA" w:rsidRPr="008D5188" w:rsidRDefault="000A55AA" w:rsidP="008B4953">
            <w:pPr>
              <w:rPr>
                <w:rFonts w:ascii="Times New Roman" w:hAnsi="Times New Roman" w:cs="Times New Roman"/>
                <w:sz w:val="20"/>
                <w:szCs w:val="20"/>
              </w:rPr>
            </w:pPr>
            <w:r w:rsidRPr="008D5188">
              <w:rPr>
                <w:rFonts w:ascii="Times New Roman" w:hAnsi="Times New Roman"/>
                <w:sz w:val="20"/>
              </w:rPr>
              <w:t xml:space="preserve">Identifier </w:t>
            </w:r>
            <w:r w:rsidR="00011FC3" w:rsidRPr="008D5188">
              <w:rPr>
                <w:rFonts w:ascii="Times New Roman" w:hAnsi="Times New Roman"/>
                <w:sz w:val="20"/>
              </w:rPr>
              <w:t xml:space="preserve">l’agence de notation </w:t>
            </w:r>
            <w:r w:rsidRPr="008D5188">
              <w:rPr>
                <w:rFonts w:ascii="Times New Roman" w:hAnsi="Times New Roman"/>
                <w:sz w:val="20"/>
              </w:rPr>
              <w:t>externe d’évaluation du crédit qui attribue la notation externe</w:t>
            </w:r>
            <w:r w:rsidR="00E54DF8" w:rsidRPr="008D5188">
              <w:rPr>
                <w:rFonts w:ascii="Times New Roman" w:hAnsi="Times New Roman"/>
                <w:sz w:val="20"/>
              </w:rPr>
              <w:t xml:space="preserve"> indiquée en cellule C02</w:t>
            </w:r>
            <w:r w:rsidR="008B4953" w:rsidRPr="008D5188">
              <w:rPr>
                <w:rFonts w:ascii="Times New Roman" w:hAnsi="Times New Roman"/>
                <w:sz w:val="20"/>
              </w:rPr>
              <w:t>10</w:t>
            </w:r>
            <w:r w:rsidR="00011FC3" w:rsidRPr="008D5188">
              <w:rPr>
                <w:rFonts w:ascii="Times New Roman" w:hAnsi="Times New Roman"/>
                <w:sz w:val="20"/>
              </w:rPr>
              <w:t>.</w:t>
            </w:r>
          </w:p>
        </w:tc>
      </w:tr>
      <w:tr w:rsidR="000A55AA" w:rsidRPr="008D5188" w14:paraId="04BE483C" w14:textId="77777777" w:rsidTr="00950116">
        <w:trPr>
          <w:trHeight w:val="330"/>
        </w:trPr>
        <w:tc>
          <w:tcPr>
            <w:tcW w:w="1242" w:type="dxa"/>
            <w:gridSpan w:val="3"/>
            <w:hideMark/>
          </w:tcPr>
          <w:p w14:paraId="35AE4642" w14:textId="64BA60EB" w:rsidR="000A55AA" w:rsidRPr="008D5188" w:rsidRDefault="008B4953" w:rsidP="00950116">
            <w:pPr>
              <w:rPr>
                <w:rFonts w:ascii="Times New Roman" w:hAnsi="Times New Roman" w:cs="Times New Roman"/>
                <w:sz w:val="20"/>
                <w:szCs w:val="20"/>
              </w:rPr>
            </w:pPr>
            <w:r w:rsidRPr="008D5188">
              <w:rPr>
                <w:rFonts w:ascii="Times New Roman" w:hAnsi="Times New Roman"/>
                <w:sz w:val="20"/>
              </w:rPr>
              <w:t>C00</w:t>
            </w:r>
            <w:r w:rsidR="000A55AA" w:rsidRPr="008D5188">
              <w:rPr>
                <w:rFonts w:ascii="Times New Roman" w:hAnsi="Times New Roman"/>
                <w:sz w:val="20"/>
              </w:rPr>
              <w:t>70</w:t>
            </w:r>
          </w:p>
        </w:tc>
        <w:tc>
          <w:tcPr>
            <w:tcW w:w="1997" w:type="dxa"/>
            <w:hideMark/>
          </w:tcPr>
          <w:p w14:paraId="79CA10FD"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Code courtier</w:t>
            </w:r>
          </w:p>
        </w:tc>
        <w:tc>
          <w:tcPr>
            <w:tcW w:w="5941" w:type="dxa"/>
            <w:hideMark/>
          </w:tcPr>
          <w:p w14:paraId="57FAB0E5" w14:textId="4F051BBC" w:rsidR="000A55AA" w:rsidRPr="008D5188" w:rsidRDefault="000A55AA" w:rsidP="00950116">
            <w:pPr>
              <w:ind w:right="175"/>
              <w:rPr>
                <w:rFonts w:ascii="Times New Roman" w:eastAsia="Times New Roman" w:hAnsi="Times New Roman" w:cs="Times New Roman"/>
                <w:sz w:val="20"/>
                <w:szCs w:val="20"/>
              </w:rPr>
            </w:pPr>
            <w:r w:rsidRPr="008D5188">
              <w:rPr>
                <w:rFonts w:ascii="Times New Roman" w:hAnsi="Times New Roman"/>
                <w:sz w:val="20"/>
              </w:rPr>
              <w:t xml:space="preserve">Code d’identification du courtier, par ordre de priorité suivant: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Identifiant d’entité juridique (LEI); </w:t>
            </w:r>
            <w:r w:rsidR="00FE79E2" w:rsidRPr="008D5188">
              <w:rPr>
                <w:rFonts w:ascii="Times New Roman" w:eastAsia="Times New Roman" w:hAnsi="Times New Roman" w:cs="Times New Roman"/>
                <w:sz w:val="20"/>
                <w:szCs w:val="20"/>
              </w:rPr>
              <w:br/>
            </w:r>
            <w:r w:rsidR="0072092D" w:rsidRPr="008D5188">
              <w:rPr>
                <w:rFonts w:ascii="Times New Roman" w:hAnsi="Times New Roman"/>
                <w:sz w:val="20"/>
              </w:rPr>
              <w:t xml:space="preserve">– Code spécifique attribué par </w:t>
            </w:r>
            <w:r w:rsidR="005D0064" w:rsidRPr="008D5188">
              <w:rPr>
                <w:rFonts w:ascii="Times New Roman" w:hAnsi="Times New Roman"/>
                <w:sz w:val="20"/>
              </w:rPr>
              <w:t>l’O</w:t>
            </w:r>
            <w:r w:rsidR="00D16A51" w:rsidRPr="008D5188">
              <w:rPr>
                <w:rFonts w:ascii="Times New Roman" w:hAnsi="Times New Roman"/>
                <w:sz w:val="20"/>
              </w:rPr>
              <w:t>RPS</w:t>
            </w:r>
            <w:r w:rsidR="0072092D" w:rsidRPr="008D5188">
              <w:rPr>
                <w:rFonts w:ascii="Times New Roman" w:hAnsi="Times New Roman"/>
                <w:sz w:val="20"/>
              </w:rPr>
              <w:t>.</w:t>
            </w:r>
          </w:p>
          <w:p w14:paraId="47612C1D" w14:textId="77777777" w:rsidR="000A55AA" w:rsidRPr="008D5188" w:rsidRDefault="000A55AA" w:rsidP="00950116">
            <w:pPr>
              <w:ind w:right="175"/>
              <w:rPr>
                <w:rFonts w:ascii="Times New Roman" w:eastAsia="Times New Roman" w:hAnsi="Times New Roman" w:cs="Times New Roman"/>
                <w:sz w:val="20"/>
                <w:szCs w:val="20"/>
              </w:rPr>
            </w:pPr>
          </w:p>
          <w:p w14:paraId="75E63617" w14:textId="46F4CAA3" w:rsidR="000A55AA" w:rsidRPr="008D5188" w:rsidRDefault="000A55AA" w:rsidP="00950116">
            <w:pPr>
              <w:ind w:right="175"/>
              <w:rPr>
                <w:rFonts w:ascii="Times New Roman" w:eastAsia="Times New Roman" w:hAnsi="Times New Roman" w:cs="Times New Roman"/>
                <w:sz w:val="20"/>
                <w:szCs w:val="20"/>
              </w:rPr>
            </w:pPr>
            <w:r w:rsidRPr="008D5188">
              <w:rPr>
                <w:rFonts w:ascii="Times New Roman" w:hAnsi="Times New Roman"/>
                <w:sz w:val="20"/>
              </w:rPr>
              <w:t xml:space="preserve">Si un code spécifique est attribué par </w:t>
            </w:r>
            <w:r w:rsidR="005D0064" w:rsidRPr="008D5188">
              <w:rPr>
                <w:rFonts w:ascii="Times New Roman" w:hAnsi="Times New Roman"/>
                <w:sz w:val="20"/>
              </w:rPr>
              <w:t>l’O</w:t>
            </w:r>
            <w:r w:rsidR="00D16A51" w:rsidRPr="008D5188">
              <w:rPr>
                <w:rFonts w:ascii="Times New Roman" w:hAnsi="Times New Roman"/>
                <w:sz w:val="20"/>
              </w:rPr>
              <w:t>RPS</w:t>
            </w:r>
            <w:r w:rsidRPr="008D5188">
              <w:rPr>
                <w:rFonts w:ascii="Times New Roman" w:hAnsi="Times New Roman"/>
                <w:sz w:val="20"/>
              </w:rPr>
              <w:t>, ce code doit être unique pour le courtier et n’être identique à aucun autre code attribué par l’entreprise ni à aucun code LEI.</w:t>
            </w:r>
          </w:p>
          <w:p w14:paraId="1BB5FD3B" w14:textId="77777777" w:rsidR="000A55AA" w:rsidRPr="008D5188" w:rsidRDefault="000A55AA" w:rsidP="00950116">
            <w:pPr>
              <w:ind w:right="175"/>
              <w:rPr>
                <w:rFonts w:ascii="Times New Roman" w:eastAsia="Times New Roman" w:hAnsi="Times New Roman" w:cs="Times New Roman"/>
                <w:sz w:val="20"/>
                <w:szCs w:val="20"/>
              </w:rPr>
            </w:pPr>
          </w:p>
          <w:p w14:paraId="2FC07110"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sz w:val="20"/>
              </w:rPr>
              <w:t>Lorsqu’un traité de réassurance est couvert par plusieurs courtiers, ne déclarer que le courtier dominant.</w:t>
            </w:r>
          </w:p>
        </w:tc>
      </w:tr>
      <w:tr w:rsidR="000A55AA" w:rsidRPr="008D5188" w14:paraId="19D67145" w14:textId="77777777" w:rsidTr="00950116">
        <w:trPr>
          <w:trHeight w:val="330"/>
        </w:trPr>
        <w:tc>
          <w:tcPr>
            <w:tcW w:w="1242" w:type="dxa"/>
            <w:gridSpan w:val="3"/>
          </w:tcPr>
          <w:p w14:paraId="12E5DBF9" w14:textId="119799DD" w:rsidR="000A55AA" w:rsidRPr="008D5188" w:rsidRDefault="008B4953" w:rsidP="00950116">
            <w:pPr>
              <w:rPr>
                <w:rFonts w:ascii="Times New Roman" w:hAnsi="Times New Roman" w:cs="Times New Roman"/>
                <w:sz w:val="20"/>
                <w:szCs w:val="20"/>
              </w:rPr>
            </w:pPr>
            <w:r w:rsidRPr="008D5188">
              <w:rPr>
                <w:rFonts w:ascii="Times New Roman" w:hAnsi="Times New Roman"/>
                <w:sz w:val="20"/>
              </w:rPr>
              <w:t>C00</w:t>
            </w:r>
            <w:r w:rsidR="000A55AA" w:rsidRPr="008D5188">
              <w:rPr>
                <w:rFonts w:ascii="Times New Roman" w:hAnsi="Times New Roman"/>
                <w:sz w:val="20"/>
              </w:rPr>
              <w:t>80</w:t>
            </w:r>
          </w:p>
        </w:tc>
        <w:tc>
          <w:tcPr>
            <w:tcW w:w="1997" w:type="dxa"/>
          </w:tcPr>
          <w:p w14:paraId="17349F73"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Type de code du courtier</w:t>
            </w:r>
          </w:p>
        </w:tc>
        <w:tc>
          <w:tcPr>
            <w:tcW w:w="5941" w:type="dxa"/>
          </w:tcPr>
          <w:p w14:paraId="58D5B6E6" w14:textId="77777777" w:rsidR="000A55AA" w:rsidRPr="008D5188" w:rsidRDefault="000A55AA" w:rsidP="00950116">
            <w:pPr>
              <w:ind w:right="175"/>
              <w:rPr>
                <w:rFonts w:ascii="Times New Roman" w:hAnsi="Times New Roman" w:cs="Times New Roman"/>
                <w:sz w:val="20"/>
                <w:szCs w:val="20"/>
              </w:rPr>
            </w:pPr>
            <w:r w:rsidRPr="008D5188">
              <w:rPr>
                <w:rFonts w:ascii="Times New Roman" w:hAnsi="Times New Roman"/>
                <w:color w:val="000000"/>
                <w:sz w:val="20"/>
              </w:rPr>
              <w:t>Indiquer le type de code utilisé dans la rubrique «Code courtier».</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 xml:space="preserve">1 – LEI </w:t>
            </w:r>
            <w:r w:rsidR="00FE79E2" w:rsidRPr="008D5188">
              <w:rPr>
                <w:rFonts w:ascii="Times New Roman" w:eastAsia="Times New Roman" w:hAnsi="Times New Roman" w:cs="Times New Roman"/>
                <w:color w:val="000000"/>
                <w:sz w:val="20"/>
                <w:szCs w:val="20"/>
              </w:rPr>
              <w:br/>
            </w:r>
            <w:r w:rsidRPr="008D5188">
              <w:rPr>
                <w:rFonts w:ascii="Times New Roman" w:hAnsi="Times New Roman"/>
                <w:color w:val="000000"/>
                <w:sz w:val="20"/>
              </w:rPr>
              <w:t>2 – Code spécifique</w:t>
            </w:r>
          </w:p>
        </w:tc>
      </w:tr>
      <w:tr w:rsidR="000A55AA" w:rsidRPr="008D5188" w14:paraId="3C0BEB61" w14:textId="77777777" w:rsidTr="00950116">
        <w:trPr>
          <w:trHeight w:val="330"/>
        </w:trPr>
        <w:tc>
          <w:tcPr>
            <w:tcW w:w="1242" w:type="dxa"/>
            <w:gridSpan w:val="3"/>
            <w:hideMark/>
          </w:tcPr>
          <w:p w14:paraId="52C42421" w14:textId="291C2C2C" w:rsidR="000A55AA" w:rsidRPr="008D5188" w:rsidRDefault="000A55AA" w:rsidP="008B4953">
            <w:pPr>
              <w:rPr>
                <w:rFonts w:ascii="Times New Roman" w:hAnsi="Times New Roman" w:cs="Times New Roman"/>
                <w:sz w:val="20"/>
                <w:szCs w:val="20"/>
              </w:rPr>
            </w:pPr>
            <w:r w:rsidRPr="008D5188">
              <w:rPr>
                <w:rFonts w:ascii="Times New Roman" w:hAnsi="Times New Roman"/>
                <w:sz w:val="20"/>
              </w:rPr>
              <w:t>C02</w:t>
            </w:r>
            <w:r w:rsidR="008B4953" w:rsidRPr="008D5188">
              <w:rPr>
                <w:rFonts w:ascii="Times New Roman" w:hAnsi="Times New Roman"/>
                <w:sz w:val="20"/>
              </w:rPr>
              <w:t>3</w:t>
            </w:r>
            <w:r w:rsidRPr="008D5188">
              <w:rPr>
                <w:rFonts w:ascii="Times New Roman" w:hAnsi="Times New Roman"/>
                <w:sz w:val="20"/>
              </w:rPr>
              <w:t>0</w:t>
            </w:r>
          </w:p>
        </w:tc>
        <w:tc>
          <w:tcPr>
            <w:tcW w:w="1997" w:type="dxa"/>
            <w:hideMark/>
          </w:tcPr>
          <w:p w14:paraId="49AAEB71"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Nom juridique du courtier</w:t>
            </w:r>
          </w:p>
        </w:tc>
        <w:tc>
          <w:tcPr>
            <w:tcW w:w="5941" w:type="dxa"/>
            <w:hideMark/>
          </w:tcPr>
          <w:p w14:paraId="3D1725A4"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Nom légal du courtier.</w:t>
            </w:r>
          </w:p>
        </w:tc>
      </w:tr>
      <w:tr w:rsidR="000A55AA" w:rsidRPr="008D5188" w14:paraId="7084A8E0" w14:textId="77777777" w:rsidTr="00950116">
        <w:trPr>
          <w:trHeight w:val="300"/>
        </w:trPr>
        <w:tc>
          <w:tcPr>
            <w:tcW w:w="1242" w:type="dxa"/>
            <w:gridSpan w:val="3"/>
          </w:tcPr>
          <w:p w14:paraId="3051CA2C" w14:textId="4D098BEE" w:rsidR="000A55AA" w:rsidRPr="008D5188" w:rsidRDefault="000A55AA" w:rsidP="008B4953">
            <w:pPr>
              <w:rPr>
                <w:rFonts w:ascii="Times New Roman" w:hAnsi="Times New Roman" w:cs="Times New Roman"/>
                <w:sz w:val="20"/>
                <w:szCs w:val="20"/>
              </w:rPr>
            </w:pPr>
            <w:r w:rsidRPr="008D5188">
              <w:rPr>
                <w:rFonts w:ascii="Times New Roman" w:hAnsi="Times New Roman"/>
                <w:sz w:val="20"/>
              </w:rPr>
              <w:t>C0</w:t>
            </w:r>
            <w:r w:rsidR="005A7342" w:rsidRPr="008D5188">
              <w:rPr>
                <w:rFonts w:ascii="Times New Roman" w:hAnsi="Times New Roman"/>
                <w:sz w:val="20"/>
              </w:rPr>
              <w:t>1</w:t>
            </w:r>
            <w:r w:rsidR="008B4953" w:rsidRPr="008D5188">
              <w:rPr>
                <w:rFonts w:ascii="Times New Roman" w:hAnsi="Times New Roman"/>
                <w:sz w:val="20"/>
              </w:rPr>
              <w:t>40</w:t>
            </w:r>
          </w:p>
        </w:tc>
        <w:tc>
          <w:tcPr>
            <w:tcW w:w="1997" w:type="dxa"/>
          </w:tcPr>
          <w:p w14:paraId="4CC5BCF8"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Code du fournisseur de la sûreté (le cas échéant)</w:t>
            </w:r>
          </w:p>
        </w:tc>
        <w:tc>
          <w:tcPr>
            <w:tcW w:w="5941" w:type="dxa"/>
          </w:tcPr>
          <w:p w14:paraId="58EF5EC4" w14:textId="6E5B3524" w:rsidR="000A55AA" w:rsidRPr="008D5188" w:rsidRDefault="000A55AA">
            <w:pPr>
              <w:rPr>
                <w:rFonts w:ascii="Times New Roman" w:hAnsi="Times New Roman" w:cs="Times New Roman"/>
                <w:sz w:val="20"/>
                <w:szCs w:val="20"/>
              </w:rPr>
            </w:pPr>
            <w:r w:rsidRPr="008D5188">
              <w:rPr>
                <w:rFonts w:ascii="Times New Roman" w:hAnsi="Times New Roman"/>
                <w:sz w:val="20"/>
              </w:rPr>
              <w:t>Identification au moyen du code LEI s’il est disponible.</w:t>
            </w:r>
            <w:r w:rsidR="00FE79E2" w:rsidRPr="008D5188">
              <w:rPr>
                <w:rFonts w:ascii="Times New Roman" w:hAnsi="Times New Roman" w:cs="Times New Roman"/>
                <w:sz w:val="20"/>
                <w:szCs w:val="20"/>
              </w:rPr>
              <w:br/>
            </w:r>
          </w:p>
          <w:p w14:paraId="72137BE3" w14:textId="77777777" w:rsidR="000A55AA" w:rsidRPr="008D5188" w:rsidRDefault="000A55AA">
            <w:pPr>
              <w:rPr>
                <w:rFonts w:ascii="Times New Roman" w:hAnsi="Times New Roman" w:cs="Times New Roman"/>
                <w:sz w:val="20"/>
                <w:szCs w:val="20"/>
              </w:rPr>
            </w:pPr>
            <w:r w:rsidRPr="008D5188">
              <w:rPr>
                <w:rFonts w:ascii="Times New Roman" w:hAnsi="Times New Roman"/>
                <w:sz w:val="20"/>
              </w:rPr>
              <w:t>S’il n’existe pas, ne rien déclarer pour cet élément.</w:t>
            </w:r>
          </w:p>
        </w:tc>
      </w:tr>
      <w:tr w:rsidR="000A55AA" w:rsidRPr="008D5188" w14:paraId="6AEE5F43" w14:textId="77777777" w:rsidTr="0044578D">
        <w:trPr>
          <w:trHeight w:val="746"/>
        </w:trPr>
        <w:tc>
          <w:tcPr>
            <w:tcW w:w="1242" w:type="dxa"/>
            <w:gridSpan w:val="3"/>
          </w:tcPr>
          <w:p w14:paraId="2C4F8B7E" w14:textId="142FB080" w:rsidR="000A55AA" w:rsidRPr="008D5188" w:rsidRDefault="000A55AA" w:rsidP="008B4953">
            <w:pPr>
              <w:rPr>
                <w:rFonts w:ascii="Times New Roman" w:hAnsi="Times New Roman" w:cs="Times New Roman"/>
                <w:sz w:val="20"/>
                <w:szCs w:val="20"/>
              </w:rPr>
            </w:pPr>
            <w:r w:rsidRPr="008D5188">
              <w:rPr>
                <w:rFonts w:ascii="Times New Roman" w:hAnsi="Times New Roman"/>
                <w:sz w:val="20"/>
              </w:rPr>
              <w:t>C0</w:t>
            </w:r>
            <w:r w:rsidR="005A7342" w:rsidRPr="008D5188">
              <w:rPr>
                <w:rFonts w:ascii="Times New Roman" w:hAnsi="Times New Roman"/>
                <w:sz w:val="20"/>
              </w:rPr>
              <w:t>1</w:t>
            </w:r>
            <w:r w:rsidR="008B4953" w:rsidRPr="008D5188">
              <w:rPr>
                <w:rFonts w:ascii="Times New Roman" w:hAnsi="Times New Roman"/>
                <w:sz w:val="20"/>
              </w:rPr>
              <w:t>50</w:t>
            </w:r>
          </w:p>
        </w:tc>
        <w:tc>
          <w:tcPr>
            <w:tcW w:w="1997" w:type="dxa"/>
          </w:tcPr>
          <w:p w14:paraId="02A72CD4"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Type de code du fournisseur de la sûreté (le cas échéant)</w:t>
            </w:r>
          </w:p>
        </w:tc>
        <w:tc>
          <w:tcPr>
            <w:tcW w:w="5941" w:type="dxa"/>
          </w:tcPr>
          <w:p w14:paraId="626F8280" w14:textId="24DBC9B7" w:rsidR="000A55AA" w:rsidRPr="008D5188" w:rsidRDefault="000A55AA">
            <w:pPr>
              <w:rPr>
                <w:rFonts w:ascii="Times New Roman" w:hAnsi="Times New Roman" w:cs="Times New Roman"/>
                <w:sz w:val="20"/>
                <w:szCs w:val="20"/>
              </w:rPr>
            </w:pPr>
            <w:r w:rsidRPr="008D5188">
              <w:rPr>
                <w:rFonts w:ascii="Times New Roman" w:hAnsi="Times New Roman"/>
                <w:sz w:val="20"/>
              </w:rPr>
              <w:t>Indiquer le type de code d’identification utilisé pour l’élément</w:t>
            </w:r>
            <w:r w:rsidR="00540C38" w:rsidRPr="008D5188">
              <w:rPr>
                <w:rFonts w:ascii="Times New Roman" w:hAnsi="Times New Roman"/>
                <w:sz w:val="20"/>
              </w:rPr>
              <w:t xml:space="preserve"> « Code</w:t>
            </w:r>
            <w:r w:rsidRPr="008D5188">
              <w:rPr>
                <w:rFonts w:ascii="Times New Roman" w:hAnsi="Times New Roman"/>
                <w:sz w:val="20"/>
              </w:rPr>
              <w:t xml:space="preserve"> du fournisseur de la sûreté (le cas échéant</w:t>
            </w:r>
            <w:r w:rsidR="00540C38" w:rsidRPr="008D5188">
              <w:rPr>
                <w:rFonts w:ascii="Times New Roman" w:hAnsi="Times New Roman"/>
                <w:sz w:val="20"/>
              </w:rPr>
              <w:t>) »</w:t>
            </w:r>
            <w:r w:rsidRPr="008D5188">
              <w:rPr>
                <w:rFonts w:ascii="Times New Roman" w:hAnsi="Times New Roman"/>
                <w:sz w:val="20"/>
              </w:rPr>
              <w:t>. Choisir impérativement l’une des options suivantes:</w:t>
            </w:r>
            <w:r w:rsidR="00FE79E2" w:rsidRPr="008D5188">
              <w:rPr>
                <w:rFonts w:ascii="Times New Roman" w:hAnsi="Times New Roman" w:cs="Times New Roman"/>
                <w:sz w:val="20"/>
                <w:szCs w:val="20"/>
              </w:rPr>
              <w:br/>
            </w:r>
            <w:r w:rsidRPr="008D5188">
              <w:rPr>
                <w:rFonts w:ascii="Times New Roman" w:hAnsi="Times New Roman"/>
                <w:sz w:val="20"/>
              </w:rPr>
              <w:t xml:space="preserve">1 – LEI </w:t>
            </w:r>
            <w:r w:rsidR="00FE79E2" w:rsidRPr="008D5188">
              <w:rPr>
                <w:rFonts w:ascii="Times New Roman" w:hAnsi="Times New Roman" w:cs="Times New Roman"/>
                <w:sz w:val="20"/>
                <w:szCs w:val="20"/>
              </w:rPr>
              <w:br/>
            </w:r>
            <w:r w:rsidRPr="008D5188">
              <w:rPr>
                <w:rFonts w:ascii="Times New Roman" w:hAnsi="Times New Roman"/>
                <w:sz w:val="20"/>
              </w:rPr>
              <w:t>9 – Aucun</w:t>
            </w:r>
          </w:p>
        </w:tc>
      </w:tr>
      <w:tr w:rsidR="000A55AA" w:rsidRPr="008D5188" w14:paraId="0A0E82CD" w14:textId="77777777" w:rsidTr="00950116">
        <w:trPr>
          <w:trHeight w:val="300"/>
        </w:trPr>
        <w:tc>
          <w:tcPr>
            <w:tcW w:w="1242" w:type="dxa"/>
            <w:gridSpan w:val="3"/>
          </w:tcPr>
          <w:p w14:paraId="55C97A5C" w14:textId="0E6902B0" w:rsidR="000A55AA" w:rsidRPr="008D5188" w:rsidRDefault="000A55AA" w:rsidP="005A7342">
            <w:pPr>
              <w:rPr>
                <w:rFonts w:ascii="Times New Roman" w:hAnsi="Times New Roman" w:cs="Times New Roman"/>
                <w:sz w:val="20"/>
                <w:szCs w:val="20"/>
              </w:rPr>
            </w:pPr>
            <w:r w:rsidRPr="008D5188">
              <w:rPr>
                <w:rFonts w:ascii="Times New Roman" w:hAnsi="Times New Roman"/>
                <w:sz w:val="20"/>
              </w:rPr>
              <w:t>C0</w:t>
            </w:r>
            <w:r w:rsidR="008B4953" w:rsidRPr="008D5188">
              <w:rPr>
                <w:rFonts w:ascii="Times New Roman" w:hAnsi="Times New Roman"/>
                <w:sz w:val="20"/>
              </w:rPr>
              <w:t>2</w:t>
            </w:r>
            <w:r w:rsidR="005A7342" w:rsidRPr="008D5188">
              <w:rPr>
                <w:rFonts w:ascii="Times New Roman" w:hAnsi="Times New Roman"/>
                <w:sz w:val="20"/>
              </w:rPr>
              <w:t>4</w:t>
            </w:r>
            <w:r w:rsidR="008B4953" w:rsidRPr="008D5188">
              <w:rPr>
                <w:rFonts w:ascii="Times New Roman" w:hAnsi="Times New Roman"/>
                <w:sz w:val="20"/>
              </w:rPr>
              <w:t>0</w:t>
            </w:r>
          </w:p>
        </w:tc>
        <w:tc>
          <w:tcPr>
            <w:tcW w:w="1997" w:type="dxa"/>
          </w:tcPr>
          <w:p w14:paraId="2D68005A"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Nom du fournisseur de la sûreté</w:t>
            </w:r>
          </w:p>
        </w:tc>
        <w:tc>
          <w:tcPr>
            <w:tcW w:w="5941" w:type="dxa"/>
          </w:tcPr>
          <w:p w14:paraId="09E249E0" w14:textId="77777777" w:rsidR="000A55AA" w:rsidRPr="008D5188" w:rsidRDefault="000A55AA" w:rsidP="00950116">
            <w:pPr>
              <w:rPr>
                <w:rFonts w:ascii="Times New Roman" w:hAnsi="Times New Roman" w:cs="Times New Roman"/>
                <w:sz w:val="20"/>
                <w:szCs w:val="20"/>
              </w:rPr>
            </w:pPr>
            <w:r w:rsidRPr="008D5188">
              <w:rPr>
                <w:rFonts w:ascii="Times New Roman" w:hAnsi="Times New Roman"/>
                <w:sz w:val="20"/>
              </w:rPr>
              <w:t xml:space="preserve">Le nom du fournisseur de la sûreté dépendra du type de la sûreté indiqué en C0120.  </w:t>
            </w:r>
          </w:p>
          <w:p w14:paraId="4938CD4C" w14:textId="77777777" w:rsidR="000A55AA" w:rsidRPr="008D5188" w:rsidRDefault="000A55AA" w:rsidP="00803166">
            <w:pPr>
              <w:pStyle w:val="Paragraphedeliste"/>
              <w:numPr>
                <w:ilvl w:val="0"/>
                <w:numId w:val="50"/>
              </w:numPr>
              <w:jc w:val="left"/>
              <w:rPr>
                <w:sz w:val="20"/>
              </w:rPr>
            </w:pPr>
            <w:r w:rsidRPr="008D5188">
              <w:rPr>
                <w:sz w:val="20"/>
              </w:rPr>
              <w:t xml:space="preserve">Lorsque la sûreté est détenue en fiducie, le fournisseur de la sûreté est le fournisseur de la fiducie. </w:t>
            </w:r>
          </w:p>
          <w:p w14:paraId="2328BBEC" w14:textId="77777777" w:rsidR="000A55AA" w:rsidRPr="008D5188" w:rsidRDefault="000A55AA" w:rsidP="00803166">
            <w:pPr>
              <w:pStyle w:val="Paragraphedeliste"/>
              <w:numPr>
                <w:ilvl w:val="0"/>
                <w:numId w:val="50"/>
              </w:numPr>
              <w:jc w:val="left"/>
              <w:rPr>
                <w:sz w:val="20"/>
              </w:rPr>
            </w:pPr>
            <w:r w:rsidRPr="008D5188">
              <w:rPr>
                <w:sz w:val="20"/>
              </w:rPr>
              <w:t>Lorsque la sûreté repose sur des liquidités ou des fonds conservés, cet élément peut rester vide.</w:t>
            </w:r>
          </w:p>
          <w:p w14:paraId="6CBE0202" w14:textId="77777777" w:rsidR="000A55AA" w:rsidRPr="008D5188" w:rsidRDefault="000A55AA" w:rsidP="00803166">
            <w:pPr>
              <w:pStyle w:val="Paragraphedeliste"/>
              <w:numPr>
                <w:ilvl w:val="0"/>
                <w:numId w:val="50"/>
              </w:numPr>
              <w:jc w:val="left"/>
              <w:rPr>
                <w:sz w:val="20"/>
              </w:rPr>
            </w:pPr>
            <w:r w:rsidRPr="008D5188">
              <w:rPr>
                <w:sz w:val="20"/>
              </w:rPr>
              <w:t>Lorsque la sûreté est une lettre de crédit, le fournisseur sera l’établissement financier fournissant ce service.</w:t>
            </w:r>
          </w:p>
          <w:p w14:paraId="505FE62F" w14:textId="77777777" w:rsidR="000A55AA" w:rsidRPr="008D5188" w:rsidRDefault="000A55AA" w:rsidP="00803166">
            <w:pPr>
              <w:pStyle w:val="Paragraphedeliste"/>
              <w:numPr>
                <w:ilvl w:val="0"/>
                <w:numId w:val="50"/>
              </w:numPr>
              <w:jc w:val="left"/>
              <w:rPr>
                <w:sz w:val="20"/>
              </w:rPr>
            </w:pPr>
            <w:r w:rsidRPr="008D5188">
              <w:rPr>
                <w:sz w:val="20"/>
              </w:rPr>
              <w:t>S’il s’agit d’un autre fournisseur, ne le déclarer que s’il y a lieu.</w:t>
            </w:r>
          </w:p>
        </w:tc>
      </w:tr>
    </w:tbl>
    <w:p w14:paraId="3D7ACA81" w14:textId="77777777" w:rsidR="001D643E" w:rsidRPr="008D5188" w:rsidRDefault="001D643E" w:rsidP="008C0B54">
      <w:pPr>
        <w:spacing w:after="120"/>
        <w:ind w:left="-113"/>
        <w:rPr>
          <w:rFonts w:ascii="Times New Roman" w:hAnsi="Times New Roman" w:cs="Times New Roman"/>
          <w:b/>
          <w:bCs/>
          <w:sz w:val="20"/>
          <w:szCs w:val="20"/>
        </w:rPr>
      </w:pPr>
    </w:p>
    <w:p w14:paraId="1469FE6C" w14:textId="0C8485D7" w:rsidR="00E22373" w:rsidRPr="008D5188" w:rsidRDefault="005D0064" w:rsidP="008C0B54">
      <w:pPr>
        <w:spacing w:after="120"/>
        <w:ind w:left="-113"/>
        <w:rPr>
          <w:rFonts w:ascii="Times New Roman" w:hAnsi="Times New Roman" w:cs="Times New Roman"/>
          <w:b/>
          <w:bCs/>
          <w:sz w:val="20"/>
          <w:szCs w:val="20"/>
        </w:rPr>
      </w:pPr>
      <w:r w:rsidRPr="008D5188">
        <w:rPr>
          <w:rFonts w:ascii="Times New Roman" w:hAnsi="Times New Roman" w:cs="Times New Roman"/>
          <w:b/>
          <w:bCs/>
          <w:sz w:val="20"/>
          <w:szCs w:val="20"/>
        </w:rPr>
        <w:t>Tableau</w:t>
      </w:r>
      <w:r w:rsidR="002308AF" w:rsidRPr="008D5188">
        <w:rPr>
          <w:rFonts w:ascii="Times New Roman" w:hAnsi="Times New Roman" w:cs="Times New Roman"/>
          <w:b/>
          <w:bCs/>
          <w:sz w:val="20"/>
          <w:szCs w:val="20"/>
        </w:rPr>
        <w:t>x</w:t>
      </w:r>
      <w:r w:rsidRPr="008D5188">
        <w:rPr>
          <w:rFonts w:ascii="Times New Roman" w:hAnsi="Times New Roman" w:cs="Times New Roman"/>
          <w:b/>
          <w:bCs/>
          <w:sz w:val="20"/>
          <w:szCs w:val="20"/>
        </w:rPr>
        <w:t xml:space="preserve"> de l’état</w:t>
      </w:r>
    </w:p>
    <w:p w14:paraId="76C88871" w14:textId="78340D6F" w:rsidR="00637AB7" w:rsidRPr="00166F34" w:rsidRDefault="001D643E" w:rsidP="00010716">
      <w:pPr>
        <w:spacing w:after="0"/>
        <w:ind w:left="-340"/>
        <w:rPr>
          <w:rFonts w:ascii="Times New Roman" w:hAnsi="Times New Roman"/>
        </w:rPr>
      </w:pPr>
      <w:r w:rsidRPr="008D5188">
        <w:rPr>
          <w:rFonts w:ascii="Times New Roman" w:hAnsi="Times New Roman" w:cs="Times New Roman"/>
          <w:b/>
          <w:bCs/>
          <w:noProof/>
          <w:sz w:val="20"/>
          <w:szCs w:val="20"/>
          <w:lang w:bidi="ar-SA"/>
        </w:rPr>
        <w:drawing>
          <wp:inline distT="0" distB="0" distL="0" distR="0" wp14:anchorId="15C14424" wp14:editId="41B42288">
            <wp:extent cx="6102000" cy="2534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02000" cy="2534400"/>
                    </a:xfrm>
                    <a:prstGeom prst="rect">
                      <a:avLst/>
                    </a:prstGeom>
                  </pic:spPr>
                </pic:pic>
              </a:graphicData>
            </a:graphic>
          </wp:inline>
        </w:drawing>
      </w:r>
    </w:p>
    <w:sectPr w:rsidR="00637AB7" w:rsidRPr="00166F34" w:rsidSect="002308AF">
      <w:pgSz w:w="11906" w:h="16838"/>
      <w:pgMar w:top="1440" w:right="1440" w:bottom="1440" w:left="1440" w:header="22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CF777" w14:textId="77777777" w:rsidR="005F44FC" w:rsidRDefault="005F44FC" w:rsidP="0051516F">
      <w:pPr>
        <w:spacing w:after="0" w:line="240" w:lineRule="auto"/>
      </w:pPr>
      <w:r>
        <w:separator/>
      </w:r>
    </w:p>
  </w:endnote>
  <w:endnote w:type="continuationSeparator" w:id="0">
    <w:p w14:paraId="5CD49F8F" w14:textId="77777777" w:rsidR="005F44FC" w:rsidRDefault="005F44FC"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3BBF4" w14:textId="77777777" w:rsidR="005F44FC" w:rsidRDefault="005F44FC" w:rsidP="0051516F">
      <w:pPr>
        <w:spacing w:after="0" w:line="240" w:lineRule="auto"/>
      </w:pPr>
      <w:r>
        <w:separator/>
      </w:r>
    </w:p>
  </w:footnote>
  <w:footnote w:type="continuationSeparator" w:id="0">
    <w:p w14:paraId="07DAD284" w14:textId="77777777" w:rsidR="005F44FC" w:rsidRDefault="005F44FC"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0716"/>
    <w:rsid w:val="0001107D"/>
    <w:rsid w:val="000113C0"/>
    <w:rsid w:val="00011FC3"/>
    <w:rsid w:val="00013D49"/>
    <w:rsid w:val="0001770E"/>
    <w:rsid w:val="00020961"/>
    <w:rsid w:val="000228E3"/>
    <w:rsid w:val="00026F3F"/>
    <w:rsid w:val="00035812"/>
    <w:rsid w:val="00035FBF"/>
    <w:rsid w:val="00036E79"/>
    <w:rsid w:val="00044E7C"/>
    <w:rsid w:val="00045F07"/>
    <w:rsid w:val="00053333"/>
    <w:rsid w:val="00053D9E"/>
    <w:rsid w:val="00056F3B"/>
    <w:rsid w:val="000570D1"/>
    <w:rsid w:val="00074077"/>
    <w:rsid w:val="00076C40"/>
    <w:rsid w:val="00080895"/>
    <w:rsid w:val="00082D34"/>
    <w:rsid w:val="00085D2D"/>
    <w:rsid w:val="0009119A"/>
    <w:rsid w:val="00095251"/>
    <w:rsid w:val="00097A27"/>
    <w:rsid w:val="000A05C6"/>
    <w:rsid w:val="000A20C4"/>
    <w:rsid w:val="000A21AE"/>
    <w:rsid w:val="000A55AA"/>
    <w:rsid w:val="000A66DC"/>
    <w:rsid w:val="000B1310"/>
    <w:rsid w:val="000C1661"/>
    <w:rsid w:val="000C45A0"/>
    <w:rsid w:val="000C4A9C"/>
    <w:rsid w:val="000C6BAE"/>
    <w:rsid w:val="000D2E4C"/>
    <w:rsid w:val="000D3256"/>
    <w:rsid w:val="000D7BD0"/>
    <w:rsid w:val="000E5502"/>
    <w:rsid w:val="000F1290"/>
    <w:rsid w:val="000F4484"/>
    <w:rsid w:val="000F4F41"/>
    <w:rsid w:val="0010016B"/>
    <w:rsid w:val="001062B8"/>
    <w:rsid w:val="0010649D"/>
    <w:rsid w:val="0010788F"/>
    <w:rsid w:val="0011455D"/>
    <w:rsid w:val="00124DC1"/>
    <w:rsid w:val="0012637F"/>
    <w:rsid w:val="00126B85"/>
    <w:rsid w:val="0013206F"/>
    <w:rsid w:val="00132A41"/>
    <w:rsid w:val="001441D4"/>
    <w:rsid w:val="00144777"/>
    <w:rsid w:val="00157CC7"/>
    <w:rsid w:val="001615B1"/>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D643E"/>
    <w:rsid w:val="001E2E9D"/>
    <w:rsid w:val="001E7E5D"/>
    <w:rsid w:val="001F33AD"/>
    <w:rsid w:val="002037B9"/>
    <w:rsid w:val="0020511C"/>
    <w:rsid w:val="0020548A"/>
    <w:rsid w:val="0020581A"/>
    <w:rsid w:val="00213DFA"/>
    <w:rsid w:val="00214026"/>
    <w:rsid w:val="0022080E"/>
    <w:rsid w:val="00223ABA"/>
    <w:rsid w:val="002247D6"/>
    <w:rsid w:val="00224EDB"/>
    <w:rsid w:val="00226AF2"/>
    <w:rsid w:val="002308AF"/>
    <w:rsid w:val="00235E62"/>
    <w:rsid w:val="00240D74"/>
    <w:rsid w:val="00241EF2"/>
    <w:rsid w:val="002447AA"/>
    <w:rsid w:val="0025281F"/>
    <w:rsid w:val="00262318"/>
    <w:rsid w:val="00262375"/>
    <w:rsid w:val="00266BEC"/>
    <w:rsid w:val="00270A08"/>
    <w:rsid w:val="0027474F"/>
    <w:rsid w:val="00276645"/>
    <w:rsid w:val="00276C4C"/>
    <w:rsid w:val="00284994"/>
    <w:rsid w:val="0028500E"/>
    <w:rsid w:val="00286AA4"/>
    <w:rsid w:val="0029352E"/>
    <w:rsid w:val="00295999"/>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1D31"/>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551B5"/>
    <w:rsid w:val="0036363B"/>
    <w:rsid w:val="00363D99"/>
    <w:rsid w:val="00380326"/>
    <w:rsid w:val="00383992"/>
    <w:rsid w:val="003854FB"/>
    <w:rsid w:val="00390330"/>
    <w:rsid w:val="0039140E"/>
    <w:rsid w:val="0039387E"/>
    <w:rsid w:val="00394323"/>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3F7B16"/>
    <w:rsid w:val="0040704C"/>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734A7"/>
    <w:rsid w:val="00482CC5"/>
    <w:rsid w:val="00486118"/>
    <w:rsid w:val="00486501"/>
    <w:rsid w:val="0049344B"/>
    <w:rsid w:val="00494EAC"/>
    <w:rsid w:val="00496908"/>
    <w:rsid w:val="00496E20"/>
    <w:rsid w:val="004A4F35"/>
    <w:rsid w:val="004A7A8F"/>
    <w:rsid w:val="004B05E3"/>
    <w:rsid w:val="004B0C75"/>
    <w:rsid w:val="004B2500"/>
    <w:rsid w:val="004B41E6"/>
    <w:rsid w:val="004B61AF"/>
    <w:rsid w:val="004C0920"/>
    <w:rsid w:val="004C3BB2"/>
    <w:rsid w:val="004C5083"/>
    <w:rsid w:val="004D51A9"/>
    <w:rsid w:val="004D683A"/>
    <w:rsid w:val="004E2CD5"/>
    <w:rsid w:val="004E7A49"/>
    <w:rsid w:val="004F1DD8"/>
    <w:rsid w:val="004F2256"/>
    <w:rsid w:val="004F7035"/>
    <w:rsid w:val="004F7860"/>
    <w:rsid w:val="004F7C3A"/>
    <w:rsid w:val="00503D92"/>
    <w:rsid w:val="0051516F"/>
    <w:rsid w:val="00525199"/>
    <w:rsid w:val="005255A2"/>
    <w:rsid w:val="00525F28"/>
    <w:rsid w:val="00536579"/>
    <w:rsid w:val="00536932"/>
    <w:rsid w:val="0053713B"/>
    <w:rsid w:val="00540C38"/>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A7342"/>
    <w:rsid w:val="005B0A66"/>
    <w:rsid w:val="005B60CA"/>
    <w:rsid w:val="005C0297"/>
    <w:rsid w:val="005C1346"/>
    <w:rsid w:val="005C2E20"/>
    <w:rsid w:val="005C54BC"/>
    <w:rsid w:val="005D0064"/>
    <w:rsid w:val="005D0351"/>
    <w:rsid w:val="005D0BAB"/>
    <w:rsid w:val="005D5B72"/>
    <w:rsid w:val="005E2783"/>
    <w:rsid w:val="005E724C"/>
    <w:rsid w:val="005F3ABE"/>
    <w:rsid w:val="005F44FC"/>
    <w:rsid w:val="005F721A"/>
    <w:rsid w:val="00600656"/>
    <w:rsid w:val="00601B14"/>
    <w:rsid w:val="0060445C"/>
    <w:rsid w:val="00604BAF"/>
    <w:rsid w:val="00611C81"/>
    <w:rsid w:val="00612C5B"/>
    <w:rsid w:val="00614E25"/>
    <w:rsid w:val="00620B4E"/>
    <w:rsid w:val="006313E1"/>
    <w:rsid w:val="006317FF"/>
    <w:rsid w:val="00632A29"/>
    <w:rsid w:val="00633384"/>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B4D0B"/>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2CB9"/>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0C76"/>
    <w:rsid w:val="008349EC"/>
    <w:rsid w:val="00837997"/>
    <w:rsid w:val="00837E57"/>
    <w:rsid w:val="00840C5F"/>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17E4"/>
    <w:rsid w:val="008B3312"/>
    <w:rsid w:val="008B4953"/>
    <w:rsid w:val="008B4B0B"/>
    <w:rsid w:val="008B5455"/>
    <w:rsid w:val="008B5B64"/>
    <w:rsid w:val="008C0B54"/>
    <w:rsid w:val="008C4238"/>
    <w:rsid w:val="008D0186"/>
    <w:rsid w:val="008D5188"/>
    <w:rsid w:val="008E0BDF"/>
    <w:rsid w:val="008E128E"/>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21FE"/>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07346"/>
    <w:rsid w:val="00B14441"/>
    <w:rsid w:val="00B14D00"/>
    <w:rsid w:val="00B17730"/>
    <w:rsid w:val="00B227CF"/>
    <w:rsid w:val="00B26627"/>
    <w:rsid w:val="00B272F3"/>
    <w:rsid w:val="00B31C82"/>
    <w:rsid w:val="00B33FD1"/>
    <w:rsid w:val="00B34115"/>
    <w:rsid w:val="00B41DC2"/>
    <w:rsid w:val="00B446AA"/>
    <w:rsid w:val="00B46A02"/>
    <w:rsid w:val="00B508C7"/>
    <w:rsid w:val="00B53FAB"/>
    <w:rsid w:val="00B5555A"/>
    <w:rsid w:val="00B62424"/>
    <w:rsid w:val="00B71AE5"/>
    <w:rsid w:val="00B72248"/>
    <w:rsid w:val="00B74AEE"/>
    <w:rsid w:val="00B837D9"/>
    <w:rsid w:val="00B90F65"/>
    <w:rsid w:val="00B91E57"/>
    <w:rsid w:val="00B91E68"/>
    <w:rsid w:val="00B97D0E"/>
    <w:rsid w:val="00BA3A0B"/>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0A0B"/>
    <w:rsid w:val="00C13933"/>
    <w:rsid w:val="00C16CAA"/>
    <w:rsid w:val="00C16CE6"/>
    <w:rsid w:val="00C22F9F"/>
    <w:rsid w:val="00C238BC"/>
    <w:rsid w:val="00C2410F"/>
    <w:rsid w:val="00C24E0C"/>
    <w:rsid w:val="00C34BA4"/>
    <w:rsid w:val="00C40AF1"/>
    <w:rsid w:val="00C42C88"/>
    <w:rsid w:val="00C44BAC"/>
    <w:rsid w:val="00C50DAB"/>
    <w:rsid w:val="00C5471A"/>
    <w:rsid w:val="00C54C5C"/>
    <w:rsid w:val="00C63607"/>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332"/>
    <w:rsid w:val="00D85511"/>
    <w:rsid w:val="00D86918"/>
    <w:rsid w:val="00D93828"/>
    <w:rsid w:val="00D95713"/>
    <w:rsid w:val="00D972F0"/>
    <w:rsid w:val="00DB7C64"/>
    <w:rsid w:val="00DC035A"/>
    <w:rsid w:val="00DC3E15"/>
    <w:rsid w:val="00DC4A4A"/>
    <w:rsid w:val="00DC6B56"/>
    <w:rsid w:val="00DD66F8"/>
    <w:rsid w:val="00DD73BA"/>
    <w:rsid w:val="00DE49B9"/>
    <w:rsid w:val="00DF431E"/>
    <w:rsid w:val="00DF663D"/>
    <w:rsid w:val="00E00A99"/>
    <w:rsid w:val="00E126F8"/>
    <w:rsid w:val="00E21832"/>
    <w:rsid w:val="00E2229F"/>
    <w:rsid w:val="00E22373"/>
    <w:rsid w:val="00E307CD"/>
    <w:rsid w:val="00E358E2"/>
    <w:rsid w:val="00E36D11"/>
    <w:rsid w:val="00E375D3"/>
    <w:rsid w:val="00E42F86"/>
    <w:rsid w:val="00E5373E"/>
    <w:rsid w:val="00E54DF8"/>
    <w:rsid w:val="00E55D4F"/>
    <w:rsid w:val="00E575F2"/>
    <w:rsid w:val="00E6041B"/>
    <w:rsid w:val="00E608A8"/>
    <w:rsid w:val="00E646B1"/>
    <w:rsid w:val="00E65DCB"/>
    <w:rsid w:val="00E70031"/>
    <w:rsid w:val="00E7065F"/>
    <w:rsid w:val="00E748B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277"/>
    <w:rsid w:val="00F03619"/>
    <w:rsid w:val="00F04A43"/>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55F90"/>
    <w:rsid w:val="00F60A50"/>
    <w:rsid w:val="00F60CFD"/>
    <w:rsid w:val="00F72364"/>
    <w:rsid w:val="00F820E5"/>
    <w:rsid w:val="00F8243B"/>
    <w:rsid w:val="00F8546E"/>
    <w:rsid w:val="00F85A82"/>
    <w:rsid w:val="00F97A90"/>
    <w:rsid w:val="00FA0938"/>
    <w:rsid w:val="00FA189A"/>
    <w:rsid w:val="00FA1DA8"/>
    <w:rsid w:val="00FA2880"/>
    <w:rsid w:val="00FB3A64"/>
    <w:rsid w:val="00FB3BCA"/>
    <w:rsid w:val="00FB47AF"/>
    <w:rsid w:val="00FB78CE"/>
    <w:rsid w:val="00FD32FA"/>
    <w:rsid w:val="00FE274F"/>
    <w:rsid w:val="00FE6E28"/>
    <w:rsid w:val="00FE7756"/>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FB159919-D2CF-4251-8884-9A550151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1F17A5BC-1906-4526-9E11-F5413505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4317</Words>
  <Characters>23748</Characters>
  <Application>Microsoft Office Word</Application>
  <DocSecurity>0</DocSecurity>
  <Lines>197</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4</cp:revision>
  <dcterms:created xsi:type="dcterms:W3CDTF">2024-09-19T09:28:00Z</dcterms:created>
  <dcterms:modified xsi:type="dcterms:W3CDTF">2024-09-27T14:15:00Z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