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5A763A" w14:textId="77777777" w:rsidR="00AF1D16" w:rsidRPr="00922DF4" w:rsidRDefault="00AF1D16" w:rsidP="007A337E">
      <w:pPr>
        <w:rPr>
          <w:rFonts w:ascii="Times New Roman" w:hAnsi="Times New Roman" w:cs="Times New Roman"/>
          <w:b/>
          <w:sz w:val="20"/>
        </w:rPr>
      </w:pPr>
      <w:r w:rsidRPr="00922DF4">
        <w:rPr>
          <w:rFonts w:ascii="Times New Roman" w:hAnsi="Times New Roman" w:cs="Times New Roman"/>
          <w:noProof/>
          <w:lang w:bidi="ar-SA"/>
        </w:rPr>
        <w:drawing>
          <wp:inline distT="0" distB="0" distL="0" distR="0" wp14:anchorId="369B0102" wp14:editId="738278A0">
            <wp:extent cx="1129336" cy="1009015"/>
            <wp:effectExtent l="19050" t="0" r="0" b="0"/>
            <wp:docPr id="5" name="Image 0" descr="logo-ACP-taille-norma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logo-ACP-taille-normale.jpg"/>
                    <pic:cNvPicPr>
                      <a:picLocks noChangeAspect="1" noChangeArrowheads="1"/>
                    </pic:cNvPicPr>
                  </pic:nvPicPr>
                  <pic:blipFill>
                    <a:blip r:embed="rId9" cstate="print"/>
                    <a:stretch>
                      <a:fillRect/>
                    </a:stretch>
                  </pic:blipFill>
                  <pic:spPr bwMode="auto">
                    <a:xfrm>
                      <a:off x="0" y="0"/>
                      <a:ext cx="1129336" cy="1009015"/>
                    </a:xfrm>
                    <a:prstGeom prst="rect">
                      <a:avLst/>
                    </a:prstGeom>
                    <a:noFill/>
                    <a:ln w="9525">
                      <a:noFill/>
                      <a:miter lim="800000"/>
                      <a:headEnd/>
                      <a:tailEnd/>
                    </a:ln>
                  </pic:spPr>
                </pic:pic>
              </a:graphicData>
            </a:graphic>
          </wp:inline>
        </w:drawing>
      </w:r>
    </w:p>
    <w:p w14:paraId="4523BA31" w14:textId="77777777" w:rsidR="00AF1D16" w:rsidRPr="00922DF4" w:rsidDel="00160A5F" w:rsidRDefault="00AF1D16" w:rsidP="00AF1D16">
      <w:pPr>
        <w:jc w:val="center"/>
        <w:rPr>
          <w:rFonts w:ascii="Times New Roman" w:hAnsi="Times New Roman" w:cs="Times New Roman"/>
          <w:b/>
          <w:color w:val="003B8E"/>
          <w:sz w:val="32"/>
          <w:szCs w:val="32"/>
        </w:rPr>
      </w:pPr>
      <w:r w:rsidRPr="00922DF4" w:rsidDel="00160A5F">
        <w:rPr>
          <w:rFonts w:ascii="Times New Roman" w:hAnsi="Times New Roman" w:cs="Times New Roman"/>
          <w:b/>
          <w:color w:val="003B8E"/>
          <w:sz w:val="32"/>
          <w:szCs w:val="32"/>
        </w:rPr>
        <w:t>Guide méthodologique</w:t>
      </w:r>
    </w:p>
    <w:p w14:paraId="08632DB4" w14:textId="59389D05" w:rsidR="00AF1D16" w:rsidRPr="00922DF4" w:rsidRDefault="00AF1D16" w:rsidP="00AF1D16">
      <w:pPr>
        <w:jc w:val="center"/>
        <w:rPr>
          <w:rFonts w:ascii="Times New Roman" w:hAnsi="Times New Roman" w:cs="Times New Roman"/>
          <w:b/>
          <w:color w:val="003B8E"/>
          <w:sz w:val="28"/>
          <w:szCs w:val="32"/>
        </w:rPr>
      </w:pPr>
      <w:r w:rsidRPr="00922DF4">
        <w:rPr>
          <w:rFonts w:ascii="Times New Roman" w:hAnsi="Times New Roman" w:cs="Times New Roman"/>
          <w:b/>
          <w:color w:val="003B8E"/>
          <w:sz w:val="28"/>
          <w:szCs w:val="32"/>
        </w:rPr>
        <w:t>Modèle des états « Transactions intragroupe (TIG) » (RP.36.0X.01) :</w:t>
      </w:r>
    </w:p>
    <w:p w14:paraId="1517B8E2" w14:textId="77777777" w:rsidR="00AF1D16" w:rsidRPr="00922DF4" w:rsidRDefault="00AF1D16" w:rsidP="00AF1D16">
      <w:pPr>
        <w:rPr>
          <w:rFonts w:ascii="Times New Roman" w:hAnsi="Times New Roman" w:cs="Times New Roman"/>
          <w:b/>
          <w:color w:val="003B8E"/>
          <w:szCs w:val="32"/>
        </w:rPr>
      </w:pPr>
    </w:p>
    <w:p w14:paraId="06AAB089" w14:textId="7C3F26E5" w:rsidR="00AF1D16" w:rsidRPr="00922DF4" w:rsidRDefault="00AF1D16" w:rsidP="00AF1D16">
      <w:pPr>
        <w:rPr>
          <w:rFonts w:ascii="Times New Roman" w:hAnsi="Times New Roman" w:cs="Times New Roman"/>
          <w:b/>
          <w:color w:val="003B8E"/>
          <w:szCs w:val="32"/>
        </w:rPr>
      </w:pPr>
      <w:r w:rsidRPr="00922DF4">
        <w:rPr>
          <w:rFonts w:ascii="Times New Roman" w:hAnsi="Times New Roman" w:cs="Times New Roman"/>
          <w:b/>
          <w:color w:val="003B8E"/>
          <w:szCs w:val="32"/>
        </w:rPr>
        <w:t>- « Transactions sur actions et titres assimilés et transferts de dette et d’actifs » (RP.36.01.01)</w:t>
      </w:r>
    </w:p>
    <w:p w14:paraId="2AC382C0" w14:textId="30536A82" w:rsidR="00AF1D16" w:rsidRPr="00922DF4" w:rsidRDefault="00AF1D16" w:rsidP="00AF1D16">
      <w:pPr>
        <w:rPr>
          <w:rFonts w:ascii="Times New Roman" w:hAnsi="Times New Roman" w:cs="Times New Roman"/>
          <w:b/>
          <w:color w:val="003B8E"/>
          <w:szCs w:val="32"/>
        </w:rPr>
      </w:pPr>
      <w:r w:rsidRPr="00922DF4">
        <w:rPr>
          <w:rFonts w:ascii="Times New Roman" w:hAnsi="Times New Roman" w:cs="Times New Roman"/>
          <w:b/>
          <w:color w:val="003B8E"/>
          <w:szCs w:val="32"/>
        </w:rPr>
        <w:t>- « Produits dérivés » (RP.36.02.01)</w:t>
      </w:r>
    </w:p>
    <w:p w14:paraId="3057B8A5" w14:textId="15FD44E3" w:rsidR="00AF1D16" w:rsidRPr="00922DF4" w:rsidRDefault="00AF1D16" w:rsidP="00AF1D16">
      <w:pPr>
        <w:rPr>
          <w:rFonts w:ascii="Times New Roman" w:hAnsi="Times New Roman" w:cs="Times New Roman"/>
          <w:b/>
          <w:color w:val="003B8E"/>
          <w:szCs w:val="32"/>
        </w:rPr>
      </w:pPr>
      <w:r w:rsidRPr="00922DF4">
        <w:rPr>
          <w:rFonts w:ascii="Times New Roman" w:hAnsi="Times New Roman" w:cs="Times New Roman"/>
          <w:b/>
          <w:color w:val="003B8E"/>
          <w:szCs w:val="32"/>
        </w:rPr>
        <w:t>- « Réassurance interne » (RP.36.03.01)</w:t>
      </w:r>
    </w:p>
    <w:p w14:paraId="5CC894B1" w14:textId="2744CA75" w:rsidR="00AF1D16" w:rsidRPr="00922DF4" w:rsidRDefault="00AF1D16" w:rsidP="00AF1D16">
      <w:pPr>
        <w:rPr>
          <w:rFonts w:ascii="Times New Roman" w:hAnsi="Times New Roman" w:cs="Times New Roman"/>
          <w:b/>
          <w:color w:val="003B8E"/>
          <w:szCs w:val="32"/>
        </w:rPr>
      </w:pPr>
      <w:r w:rsidRPr="00922DF4">
        <w:rPr>
          <w:rFonts w:ascii="Times New Roman" w:hAnsi="Times New Roman" w:cs="Times New Roman"/>
          <w:b/>
          <w:color w:val="003B8E"/>
          <w:szCs w:val="32"/>
        </w:rPr>
        <w:t>- « Partage des coûts, passifs éventuels, éléments de hors bilan et autres éléments » (RP.36.04.01)</w:t>
      </w:r>
    </w:p>
    <w:p w14:paraId="70E6CD78" w14:textId="77777777" w:rsidR="00F105BE" w:rsidRPr="00922DF4" w:rsidRDefault="00F105BE" w:rsidP="00F46999">
      <w:pPr>
        <w:jc w:val="both"/>
        <w:rPr>
          <w:rFonts w:ascii="Times New Roman" w:hAnsi="Times New Roman"/>
          <w:b/>
          <w:sz w:val="24"/>
        </w:rPr>
      </w:pPr>
    </w:p>
    <w:p w14:paraId="361614B4" w14:textId="7C735DEA" w:rsidR="001E1434" w:rsidRPr="00922DF4" w:rsidRDefault="001E1434" w:rsidP="00F46999">
      <w:pPr>
        <w:jc w:val="both"/>
        <w:rPr>
          <w:rFonts w:ascii="Times New Roman" w:hAnsi="Times New Roman"/>
          <w:b/>
          <w:sz w:val="24"/>
        </w:rPr>
      </w:pPr>
      <w:r w:rsidRPr="00922DF4">
        <w:rPr>
          <w:rFonts w:ascii="Times New Roman" w:hAnsi="Times New Roman"/>
          <w:b/>
          <w:sz w:val="24"/>
        </w:rPr>
        <w:t>Observations générales</w:t>
      </w:r>
    </w:p>
    <w:p w14:paraId="215228FE" w14:textId="58F87DE6" w:rsidR="00F46999" w:rsidRPr="00922DF4" w:rsidRDefault="00441163" w:rsidP="00F46999">
      <w:pPr>
        <w:jc w:val="both"/>
        <w:rPr>
          <w:rFonts w:ascii="Times New Roman" w:hAnsi="Times New Roman"/>
          <w:sz w:val="20"/>
        </w:rPr>
      </w:pPr>
      <w:r w:rsidRPr="00922DF4">
        <w:rPr>
          <w:rFonts w:ascii="Times New Roman" w:hAnsi="Times New Roman"/>
          <w:sz w:val="20"/>
        </w:rPr>
        <w:t>Cette section concerne</w:t>
      </w:r>
      <w:r w:rsidR="00F46999" w:rsidRPr="00922DF4">
        <w:rPr>
          <w:rFonts w:ascii="Times New Roman" w:hAnsi="Times New Roman"/>
          <w:sz w:val="20"/>
        </w:rPr>
        <w:t xml:space="preserve"> la déclaration annuelle </w:t>
      </w:r>
      <w:r w:rsidR="00BA053C" w:rsidRPr="00922DF4">
        <w:rPr>
          <w:rFonts w:ascii="Times New Roman" w:hAnsi="Times New Roman"/>
          <w:sz w:val="20"/>
        </w:rPr>
        <w:t>demandée aux</w:t>
      </w:r>
      <w:r w:rsidR="00F46999" w:rsidRPr="00922DF4">
        <w:rPr>
          <w:rFonts w:ascii="Times New Roman" w:hAnsi="Times New Roman"/>
          <w:sz w:val="20"/>
        </w:rPr>
        <w:t xml:space="preserve"> ORPS qui doivent établir des comptes consolidés conformément à l’article L.345-2 du code des assurances, ainsi qu’aux ORPS qui appartiennent à un groupe devant établir des comptes consolidés conformément à l’article L. 345-2 du même code ou à l’article L.</w:t>
      </w:r>
      <w:r w:rsidR="00BA4648" w:rsidRPr="00922DF4">
        <w:rPr>
          <w:rFonts w:ascii="Times New Roman" w:hAnsi="Times New Roman"/>
          <w:sz w:val="20"/>
        </w:rPr>
        <w:t xml:space="preserve"> 233-16 du code de commerce.</w:t>
      </w:r>
    </w:p>
    <w:p w14:paraId="028CFB95" w14:textId="2D05F407" w:rsidR="00F46999" w:rsidRPr="00922DF4" w:rsidRDefault="00441163" w:rsidP="00F46999">
      <w:pPr>
        <w:jc w:val="both"/>
        <w:rPr>
          <w:rFonts w:ascii="Times New Roman" w:hAnsi="Times New Roman"/>
          <w:sz w:val="20"/>
        </w:rPr>
      </w:pPr>
      <w:r w:rsidRPr="00922DF4">
        <w:rPr>
          <w:rFonts w:ascii="Times New Roman" w:hAnsi="Times New Roman"/>
          <w:sz w:val="20"/>
        </w:rPr>
        <w:t>L</w:t>
      </w:r>
      <w:r w:rsidR="00F46999" w:rsidRPr="00922DF4">
        <w:rPr>
          <w:rFonts w:ascii="Times New Roman" w:hAnsi="Times New Roman"/>
          <w:sz w:val="20"/>
        </w:rPr>
        <w:t xml:space="preserve">es modèles doivent être complétés pour toutes </w:t>
      </w:r>
      <w:r w:rsidR="00F82F5C" w:rsidRPr="00922DF4">
        <w:rPr>
          <w:rFonts w:ascii="Times New Roman" w:hAnsi="Times New Roman"/>
          <w:sz w:val="20"/>
        </w:rPr>
        <w:t>les transactions intragroupes</w:t>
      </w:r>
      <w:r w:rsidR="00F46999" w:rsidRPr="00922DF4">
        <w:rPr>
          <w:rFonts w:ascii="Times New Roman" w:hAnsi="Times New Roman"/>
          <w:sz w:val="20"/>
        </w:rPr>
        <w:t xml:space="preserve"> entre l’ORPS et les autres entreprises du groupe auquel il </w:t>
      </w:r>
      <w:r w:rsidR="00BA053C" w:rsidRPr="00922DF4">
        <w:rPr>
          <w:rFonts w:ascii="Times New Roman" w:hAnsi="Times New Roman"/>
          <w:sz w:val="20"/>
        </w:rPr>
        <w:t>appartient (</w:t>
      </w:r>
      <w:r w:rsidR="00F46999" w:rsidRPr="00922DF4">
        <w:rPr>
          <w:rFonts w:ascii="Times New Roman" w:hAnsi="Times New Roman"/>
          <w:sz w:val="20"/>
        </w:rPr>
        <w:t>les seuils et natures de transactions à reporter sont, après consultation, notifiés par l’ACPR aux groupes concernés).</w:t>
      </w:r>
    </w:p>
    <w:p w14:paraId="759C3973" w14:textId="40E565A8" w:rsidR="00F46999" w:rsidRPr="00922DF4" w:rsidRDefault="00F46999" w:rsidP="00F46999">
      <w:pPr>
        <w:jc w:val="both"/>
        <w:rPr>
          <w:rFonts w:ascii="Times New Roman" w:hAnsi="Times New Roman"/>
          <w:sz w:val="20"/>
        </w:rPr>
      </w:pPr>
      <w:r w:rsidRPr="00922DF4">
        <w:rPr>
          <w:rFonts w:ascii="Times New Roman" w:hAnsi="Times New Roman"/>
          <w:sz w:val="20"/>
        </w:rPr>
        <w:t xml:space="preserve">Ces modèles incluent </w:t>
      </w:r>
      <w:r w:rsidR="00F82F5C" w:rsidRPr="00922DF4">
        <w:rPr>
          <w:rFonts w:ascii="Times New Roman" w:hAnsi="Times New Roman"/>
          <w:sz w:val="20"/>
        </w:rPr>
        <w:t>les transactions intragroupes</w:t>
      </w:r>
      <w:r w:rsidRPr="00922DF4">
        <w:rPr>
          <w:rFonts w:ascii="Times New Roman" w:hAnsi="Times New Roman"/>
          <w:sz w:val="20"/>
        </w:rPr>
        <w:t xml:space="preserve">: </w:t>
      </w:r>
    </w:p>
    <w:p w14:paraId="0554E513" w14:textId="77777777" w:rsidR="00F46999" w:rsidRPr="00922DF4" w:rsidRDefault="00F46999" w:rsidP="00F46999">
      <w:pPr>
        <w:pStyle w:val="Paragraphedeliste"/>
        <w:numPr>
          <w:ilvl w:val="0"/>
          <w:numId w:val="3"/>
        </w:numPr>
        <w:suppressAutoHyphens/>
        <w:snapToGrid w:val="0"/>
        <w:jc w:val="left"/>
        <w:rPr>
          <w:sz w:val="20"/>
        </w:rPr>
      </w:pPr>
      <w:r w:rsidRPr="00922DF4">
        <w:rPr>
          <w:sz w:val="20"/>
        </w:rPr>
        <w:t xml:space="preserve">en vigueur au début de la période de référence ; </w:t>
      </w:r>
    </w:p>
    <w:p w14:paraId="24E4AA80" w14:textId="77777777" w:rsidR="00F46999" w:rsidRPr="00922DF4" w:rsidRDefault="00F46999" w:rsidP="00F46999">
      <w:pPr>
        <w:pStyle w:val="Paragraphedeliste"/>
        <w:numPr>
          <w:ilvl w:val="0"/>
          <w:numId w:val="3"/>
        </w:numPr>
        <w:suppressAutoHyphens/>
        <w:snapToGrid w:val="0"/>
        <w:jc w:val="left"/>
        <w:rPr>
          <w:sz w:val="20"/>
        </w:rPr>
      </w:pPr>
      <w:r w:rsidRPr="00922DF4">
        <w:rPr>
          <w:sz w:val="20"/>
        </w:rPr>
        <w:t>nées au cours de la période de référence et en cours à la date de déclaration ;</w:t>
      </w:r>
    </w:p>
    <w:p w14:paraId="736DA47F" w14:textId="77777777" w:rsidR="00F46999" w:rsidRPr="00922DF4" w:rsidRDefault="00F46999" w:rsidP="00F46999">
      <w:pPr>
        <w:pStyle w:val="Paragraphedeliste"/>
        <w:numPr>
          <w:ilvl w:val="0"/>
          <w:numId w:val="3"/>
        </w:numPr>
        <w:suppressAutoHyphens/>
        <w:snapToGrid w:val="0"/>
        <w:jc w:val="left"/>
        <w:rPr>
          <w:sz w:val="20"/>
        </w:rPr>
      </w:pPr>
      <w:r w:rsidRPr="00922DF4">
        <w:rPr>
          <w:sz w:val="20"/>
        </w:rPr>
        <w:t xml:space="preserve">nées et parvenues à terme au cours de la période de référence.  </w:t>
      </w:r>
    </w:p>
    <w:p w14:paraId="504C9E96" w14:textId="77777777" w:rsidR="00F46999" w:rsidRPr="00922DF4" w:rsidRDefault="00F46999" w:rsidP="00F46999">
      <w:pPr>
        <w:tabs>
          <w:tab w:val="num" w:pos="-180"/>
          <w:tab w:val="num" w:pos="317"/>
        </w:tabs>
        <w:suppressAutoHyphens/>
        <w:snapToGrid w:val="0"/>
        <w:spacing w:after="0" w:line="240" w:lineRule="auto"/>
        <w:ind w:left="317" w:hanging="284"/>
        <w:rPr>
          <w:rFonts w:ascii="Times New Roman" w:hAnsi="Times New Roman" w:cs="Times New Roman"/>
          <w:sz w:val="20"/>
          <w:szCs w:val="20"/>
        </w:rPr>
      </w:pPr>
    </w:p>
    <w:p w14:paraId="266CC379" w14:textId="77777777" w:rsidR="00F46999" w:rsidRPr="00922DF4" w:rsidRDefault="00F46999" w:rsidP="00F46999">
      <w:pPr>
        <w:jc w:val="both"/>
        <w:rPr>
          <w:rFonts w:ascii="Times New Roman" w:hAnsi="Times New Roman"/>
          <w:sz w:val="20"/>
        </w:rPr>
      </w:pPr>
      <w:r w:rsidRPr="00922DF4">
        <w:rPr>
          <w:rFonts w:ascii="Times New Roman" w:hAnsi="Times New Roman"/>
          <w:sz w:val="20"/>
        </w:rPr>
        <w:t xml:space="preserve">Lorsque des transactions similaires avec une entité liée n’ont </w:t>
      </w:r>
      <w:r w:rsidRPr="00922DF4">
        <w:rPr>
          <w:rFonts w:ascii="Times New Roman" w:hAnsi="Times New Roman"/>
          <w:i/>
          <w:sz w:val="20"/>
        </w:rPr>
        <w:t>a priori</w:t>
      </w:r>
      <w:r w:rsidRPr="00922DF4">
        <w:rPr>
          <w:rFonts w:ascii="Times New Roman" w:hAnsi="Times New Roman"/>
          <w:sz w:val="20"/>
        </w:rPr>
        <w:t xml:space="preserve"> pas à être déclarées parce qu’individuellement, elles ne sont pas significatives ou très significatives, elles doivent néanmoins être déclarées individuellement si collectivement, elles atteignent ou dépassent le seuil des transactions intragroupe significatives ou très significatives.</w:t>
      </w:r>
    </w:p>
    <w:p w14:paraId="3593D0C6" w14:textId="77777777" w:rsidR="00F46999" w:rsidRPr="00922DF4" w:rsidRDefault="00F46999" w:rsidP="00F46999">
      <w:pPr>
        <w:jc w:val="both"/>
        <w:rPr>
          <w:rFonts w:ascii="Times New Roman" w:hAnsi="Times New Roman"/>
          <w:sz w:val="20"/>
        </w:rPr>
      </w:pPr>
      <w:r w:rsidRPr="00922DF4">
        <w:rPr>
          <w:rFonts w:ascii="Times New Roman" w:hAnsi="Times New Roman"/>
          <w:sz w:val="20"/>
        </w:rPr>
        <w:t>Chaque transaction doit être déclarée séparément.</w:t>
      </w:r>
    </w:p>
    <w:p w14:paraId="02BD1147" w14:textId="77777777" w:rsidR="00F46999" w:rsidRPr="00922DF4" w:rsidRDefault="00F46999" w:rsidP="00F46999">
      <w:pPr>
        <w:jc w:val="both"/>
        <w:rPr>
          <w:rFonts w:ascii="Times New Roman" w:hAnsi="Times New Roman"/>
          <w:sz w:val="20"/>
        </w:rPr>
      </w:pPr>
      <w:r w:rsidRPr="00922DF4">
        <w:rPr>
          <w:rFonts w:ascii="Times New Roman" w:hAnsi="Times New Roman"/>
          <w:sz w:val="20"/>
        </w:rPr>
        <w:t>Tout ajout ou complément à une transaction intragroupe doit être déclaré en tant que transaction intragroupe distincte, même si le complément pris individuellement n’est pas significatif. Par exemple, si une entreprise augmente le montant initial d’un prêt à une entreprise liée, le montant prêté en sus doit être déclaré comme un élément distinct, la date d’émission étant alors la date de l’augmentation.</w:t>
      </w:r>
    </w:p>
    <w:p w14:paraId="2A4C8000" w14:textId="77777777" w:rsidR="00F46999" w:rsidRPr="00922DF4" w:rsidRDefault="00F46999" w:rsidP="00F46999">
      <w:pPr>
        <w:jc w:val="both"/>
        <w:rPr>
          <w:rFonts w:ascii="Times New Roman" w:hAnsi="Times New Roman"/>
          <w:sz w:val="20"/>
        </w:rPr>
      </w:pPr>
      <w:r w:rsidRPr="00922DF4">
        <w:rPr>
          <w:rFonts w:ascii="Times New Roman" w:hAnsi="Times New Roman"/>
          <w:sz w:val="20"/>
        </w:rPr>
        <w:t xml:space="preserve">Lorsque la valeur de la transaction diffère pour les deux parties contractantes (par exemple, dans une transaction entre A et B, A comptabilise 10 millions d’euros mais B n’en comptabilise que 9,5 millions, le 0,5 million restant étant passé en charges), il y a lieu d’indiquer dans le modèle le montant maximal de la transaction, soit 10 millions d’euros. </w:t>
      </w:r>
    </w:p>
    <w:p w14:paraId="53D7441C" w14:textId="77777777" w:rsidR="00F46999" w:rsidRPr="00922DF4" w:rsidRDefault="00F46999" w:rsidP="00F46999">
      <w:pPr>
        <w:jc w:val="both"/>
        <w:rPr>
          <w:rFonts w:ascii="Times New Roman" w:hAnsi="Times New Roman"/>
          <w:sz w:val="20"/>
        </w:rPr>
      </w:pPr>
      <w:r w:rsidRPr="00922DF4">
        <w:rPr>
          <w:rFonts w:ascii="Times New Roman" w:hAnsi="Times New Roman"/>
          <w:sz w:val="20"/>
        </w:rPr>
        <w:t>Lorsqu’il existe une chaîne de transactions intragroupe (par exemple, A investissant dans B, qui investit dans C), chacun des maillons de la chaîne doit être déclaré en tant que transaction intragroupe distincte.</w:t>
      </w:r>
    </w:p>
    <w:p w14:paraId="49AC8889" w14:textId="7C7682AE" w:rsidR="007A337E" w:rsidRPr="00922DF4" w:rsidRDefault="007A337E" w:rsidP="007A337E">
      <w:pPr>
        <w:rPr>
          <w:rFonts w:ascii="Times New Roman" w:eastAsia="Times New Roman" w:hAnsi="Times New Roman" w:cs="Times New Roman"/>
          <w:b/>
          <w:bCs/>
          <w:sz w:val="18"/>
          <w:szCs w:val="20"/>
        </w:rPr>
      </w:pPr>
      <w:r w:rsidRPr="00922DF4">
        <w:rPr>
          <w:rFonts w:ascii="Times New Roman" w:hAnsi="Times New Roman" w:cs="Times New Roman"/>
          <w:b/>
          <w:sz w:val="20"/>
        </w:rPr>
        <w:lastRenderedPageBreak/>
        <w:t>RP.36.01.01 – Transactions intragroupe (TIG) – Transactions sur actions et titres assimilés et transferts de dette et d’actifs</w:t>
      </w:r>
    </w:p>
    <w:p w14:paraId="42E0A3B2" w14:textId="22162D73" w:rsidR="00F46999" w:rsidRPr="00922DF4" w:rsidRDefault="001E1434" w:rsidP="007A337E">
      <w:pPr>
        <w:pStyle w:val="Paragraphedeliste"/>
        <w:numPr>
          <w:ilvl w:val="0"/>
          <w:numId w:val="6"/>
        </w:numPr>
        <w:rPr>
          <w:b/>
          <w:bCs/>
        </w:rPr>
      </w:pPr>
      <w:r w:rsidRPr="00922DF4">
        <w:rPr>
          <w:b/>
        </w:rPr>
        <w:t>Observations</w:t>
      </w:r>
    </w:p>
    <w:p w14:paraId="62324DB4" w14:textId="2611A226" w:rsidR="007A337E" w:rsidRPr="00922DF4" w:rsidRDefault="007A337E" w:rsidP="007A337E">
      <w:pPr>
        <w:jc w:val="both"/>
        <w:rPr>
          <w:rFonts w:ascii="Times New Roman" w:hAnsi="Times New Roman"/>
          <w:sz w:val="20"/>
        </w:rPr>
      </w:pPr>
      <w:r w:rsidRPr="00922DF4">
        <w:rPr>
          <w:rFonts w:ascii="Times New Roman" w:hAnsi="Times New Roman"/>
          <w:sz w:val="20"/>
        </w:rPr>
        <w:t xml:space="preserve">Ce modèle vise à recueillir des informations sur </w:t>
      </w:r>
      <w:r w:rsidR="007A6967" w:rsidRPr="00922DF4">
        <w:rPr>
          <w:rFonts w:ascii="Times New Roman" w:hAnsi="Times New Roman"/>
          <w:sz w:val="20"/>
        </w:rPr>
        <w:t xml:space="preserve">toutes </w:t>
      </w:r>
      <w:r w:rsidR="00F82F5C" w:rsidRPr="00922DF4">
        <w:rPr>
          <w:rFonts w:ascii="Times New Roman" w:hAnsi="Times New Roman"/>
          <w:sz w:val="20"/>
        </w:rPr>
        <w:t>les transactions intragroupes</w:t>
      </w:r>
      <w:r w:rsidRPr="00922DF4">
        <w:rPr>
          <w:rFonts w:ascii="Times New Roman" w:hAnsi="Times New Roman"/>
          <w:sz w:val="20"/>
        </w:rPr>
        <w:t xml:space="preserve"> concernant les actions, les dettes, les opérations de financement réciproque ainsi que les opérations assimilables à des transferts d’actifs au sein d’un groupe tel que défini au 5° de l’article L.356-1 du code des assurances. Il s’agit notamment, mais pas exclusivement: </w:t>
      </w:r>
    </w:p>
    <w:p w14:paraId="3EDBDA8B" w14:textId="18DCE537" w:rsidR="007A337E" w:rsidRPr="00922DF4" w:rsidRDefault="007A337E" w:rsidP="007115AB">
      <w:pPr>
        <w:numPr>
          <w:ilvl w:val="0"/>
          <w:numId w:val="1"/>
        </w:numPr>
        <w:tabs>
          <w:tab w:val="clear" w:pos="1774"/>
          <w:tab w:val="left" w:pos="459"/>
        </w:tabs>
        <w:suppressAutoHyphens/>
        <w:snapToGrid w:val="0"/>
        <w:spacing w:after="0" w:line="240" w:lineRule="auto"/>
        <w:ind w:left="459"/>
        <w:rPr>
          <w:rFonts w:ascii="Times New Roman" w:hAnsi="Times New Roman" w:cs="Times New Roman"/>
          <w:color w:val="000000"/>
          <w:sz w:val="20"/>
          <w:szCs w:val="20"/>
        </w:rPr>
      </w:pPr>
      <w:r w:rsidRPr="00922DF4">
        <w:rPr>
          <w:rFonts w:ascii="Times New Roman" w:hAnsi="Times New Roman"/>
          <w:color w:val="000000"/>
          <w:sz w:val="20"/>
        </w:rPr>
        <w:t>des actions et autres éléments de fonds propres, y compris les participations dans des entités liées et les parts transférée</w:t>
      </w:r>
      <w:r w:rsidR="007A6967" w:rsidRPr="00922DF4">
        <w:rPr>
          <w:rFonts w:ascii="Times New Roman" w:hAnsi="Times New Roman"/>
          <w:color w:val="000000"/>
          <w:sz w:val="20"/>
        </w:rPr>
        <w:t>s entre entités liées du groupe ;</w:t>
      </w:r>
    </w:p>
    <w:p w14:paraId="23FBD050" w14:textId="77777777" w:rsidR="00F105BE" w:rsidRPr="00922DF4" w:rsidRDefault="007A337E" w:rsidP="007F1535">
      <w:pPr>
        <w:numPr>
          <w:ilvl w:val="0"/>
          <w:numId w:val="1"/>
        </w:numPr>
        <w:tabs>
          <w:tab w:val="clear" w:pos="1774"/>
          <w:tab w:val="left" w:pos="459"/>
        </w:tabs>
        <w:suppressAutoHyphens/>
        <w:snapToGrid w:val="0"/>
        <w:spacing w:after="0" w:line="240" w:lineRule="auto"/>
        <w:ind w:left="459"/>
        <w:rPr>
          <w:rFonts w:ascii="Times New Roman" w:hAnsi="Times New Roman" w:cs="Times New Roman"/>
          <w:color w:val="000000"/>
          <w:sz w:val="20"/>
          <w:szCs w:val="20"/>
        </w:rPr>
      </w:pPr>
      <w:r w:rsidRPr="00922DF4">
        <w:rPr>
          <w:rFonts w:ascii="Times New Roman" w:hAnsi="Times New Roman"/>
          <w:color w:val="000000"/>
          <w:sz w:val="20"/>
        </w:rPr>
        <w:t>des dettes, y compris les obligations, les prêts, les obligations adossées à des créances et les autres opérations assimilables, par exemple celles avec intérêts ou coupon périodiques prédéterminés ou avec paiement de prime</w:t>
      </w:r>
      <w:r w:rsidR="007A6967" w:rsidRPr="00922DF4">
        <w:rPr>
          <w:rFonts w:ascii="Times New Roman" w:hAnsi="Times New Roman"/>
          <w:color w:val="000000"/>
          <w:sz w:val="20"/>
        </w:rPr>
        <w:t xml:space="preserve"> pour une durée prédéterminée ;</w:t>
      </w:r>
    </w:p>
    <w:p w14:paraId="295AE12F" w14:textId="35CD672C" w:rsidR="00BA053C" w:rsidRPr="00922DF4" w:rsidRDefault="007A337E" w:rsidP="007F1535">
      <w:pPr>
        <w:numPr>
          <w:ilvl w:val="0"/>
          <w:numId w:val="1"/>
        </w:numPr>
        <w:tabs>
          <w:tab w:val="clear" w:pos="1774"/>
          <w:tab w:val="left" w:pos="459"/>
        </w:tabs>
        <w:suppressAutoHyphens/>
        <w:snapToGrid w:val="0"/>
        <w:spacing w:after="0" w:line="240" w:lineRule="auto"/>
        <w:ind w:left="459"/>
        <w:rPr>
          <w:rFonts w:ascii="Times New Roman" w:hAnsi="Times New Roman" w:cs="Times New Roman"/>
          <w:color w:val="000000"/>
          <w:sz w:val="20"/>
          <w:szCs w:val="20"/>
        </w:rPr>
      </w:pPr>
      <w:r w:rsidRPr="00922DF4">
        <w:rPr>
          <w:rFonts w:ascii="Times New Roman" w:hAnsi="Times New Roman"/>
          <w:color w:val="000000"/>
          <w:sz w:val="20"/>
        </w:rPr>
        <w:t>des autres transferts d’actifs tels que les transferts de biens ou d’actions d’autres sociétés non liées au groupe (autrement dit, qui n’en font pas partie).</w:t>
      </w:r>
      <w:r w:rsidRPr="00922DF4">
        <w:rPr>
          <w:sz w:val="20"/>
        </w:rPr>
        <w:br w:type="column"/>
      </w:r>
    </w:p>
    <w:p w14:paraId="4C4A2053" w14:textId="6A9DDA71" w:rsidR="007A337E" w:rsidRPr="00922DF4" w:rsidRDefault="00BA053C" w:rsidP="007F1535">
      <w:pPr>
        <w:pStyle w:val="Paragraphedeliste"/>
        <w:numPr>
          <w:ilvl w:val="0"/>
          <w:numId w:val="11"/>
        </w:numPr>
        <w:tabs>
          <w:tab w:val="left" w:pos="459"/>
        </w:tabs>
        <w:suppressAutoHyphens/>
        <w:snapToGrid w:val="0"/>
        <w:rPr>
          <w:b/>
          <w:color w:val="000000"/>
        </w:rPr>
      </w:pPr>
      <w:r w:rsidRPr="00922DF4">
        <w:rPr>
          <w:b/>
          <w:color w:val="000000"/>
        </w:rPr>
        <w:t>Utilisation de l’état</w:t>
      </w:r>
    </w:p>
    <w:p w14:paraId="7C3B3312" w14:textId="26E8DC3F" w:rsidR="007A337E" w:rsidRPr="00922DF4" w:rsidRDefault="007A337E" w:rsidP="00BA053C">
      <w:pPr>
        <w:pStyle w:val="Paragraphedeliste"/>
        <w:rPr>
          <w:b/>
          <w:bCs/>
        </w:rPr>
      </w:pPr>
    </w:p>
    <w:tbl>
      <w:tblPr>
        <w:tblW w:w="9247" w:type="dxa"/>
        <w:tblInd w:w="108" w:type="dxa"/>
        <w:tblLook w:val="04A0" w:firstRow="1" w:lastRow="0" w:firstColumn="1" w:lastColumn="0" w:noHBand="0" w:noVBand="1"/>
      </w:tblPr>
      <w:tblGrid>
        <w:gridCol w:w="791"/>
        <w:gridCol w:w="3912"/>
        <w:gridCol w:w="4544"/>
      </w:tblGrid>
      <w:tr w:rsidR="007A337E" w:rsidRPr="00922DF4" w14:paraId="758A95A1" w14:textId="77777777" w:rsidTr="007A337E">
        <w:trPr>
          <w:trHeight w:val="300"/>
        </w:trPr>
        <w:tc>
          <w:tcPr>
            <w:tcW w:w="7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B6BD773" w14:textId="77777777" w:rsidR="007A337E" w:rsidRPr="00922DF4" w:rsidRDefault="007A337E" w:rsidP="007A337E">
            <w:pPr>
              <w:spacing w:after="0" w:line="240" w:lineRule="auto"/>
              <w:jc w:val="center"/>
              <w:rPr>
                <w:rFonts w:ascii="Times New Roman" w:eastAsia="Times New Roman" w:hAnsi="Times New Roman" w:cs="Times New Roman"/>
                <w:b/>
                <w:bCs/>
                <w:sz w:val="20"/>
                <w:szCs w:val="20"/>
              </w:rPr>
            </w:pPr>
          </w:p>
        </w:tc>
        <w:tc>
          <w:tcPr>
            <w:tcW w:w="39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352D66" w14:textId="77777777" w:rsidR="007A337E" w:rsidRPr="00922DF4" w:rsidRDefault="007A337E" w:rsidP="007A337E">
            <w:pPr>
              <w:spacing w:after="0" w:line="240" w:lineRule="auto"/>
              <w:jc w:val="center"/>
              <w:rPr>
                <w:rFonts w:ascii="Times New Roman" w:eastAsia="Times New Roman" w:hAnsi="Times New Roman" w:cs="Times New Roman"/>
                <w:b/>
                <w:bCs/>
                <w:sz w:val="20"/>
                <w:szCs w:val="20"/>
              </w:rPr>
            </w:pPr>
            <w:r w:rsidRPr="00922DF4">
              <w:rPr>
                <w:rFonts w:ascii="Times New Roman" w:hAnsi="Times New Roman"/>
                <w:b/>
                <w:sz w:val="20"/>
              </w:rPr>
              <w:t>ÉLÉMENT À DÉCLARER</w:t>
            </w:r>
          </w:p>
        </w:tc>
        <w:tc>
          <w:tcPr>
            <w:tcW w:w="45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1B54A2" w14:textId="77777777" w:rsidR="007A337E" w:rsidRPr="00922DF4" w:rsidRDefault="007A337E" w:rsidP="007A337E">
            <w:pPr>
              <w:spacing w:after="0" w:line="240" w:lineRule="auto"/>
              <w:jc w:val="center"/>
              <w:rPr>
                <w:rFonts w:ascii="Times New Roman" w:eastAsia="Times New Roman" w:hAnsi="Times New Roman" w:cs="Times New Roman"/>
                <w:b/>
                <w:bCs/>
                <w:sz w:val="20"/>
                <w:szCs w:val="20"/>
              </w:rPr>
            </w:pPr>
            <w:r w:rsidRPr="00922DF4">
              <w:rPr>
                <w:rFonts w:ascii="Times New Roman" w:hAnsi="Times New Roman"/>
                <w:b/>
                <w:sz w:val="20"/>
              </w:rPr>
              <w:t>INSTRUCTIONS</w:t>
            </w:r>
          </w:p>
        </w:tc>
      </w:tr>
      <w:tr w:rsidR="007A337E" w:rsidRPr="00922DF4" w14:paraId="25A30F49" w14:textId="77777777" w:rsidTr="007A337E">
        <w:trPr>
          <w:trHeight w:val="570"/>
        </w:trPr>
        <w:tc>
          <w:tcPr>
            <w:tcW w:w="791" w:type="dxa"/>
            <w:tcBorders>
              <w:top w:val="single" w:sz="4" w:space="0" w:color="auto"/>
              <w:left w:val="single" w:sz="4" w:space="0" w:color="auto"/>
              <w:bottom w:val="single" w:sz="4" w:space="0" w:color="auto"/>
              <w:right w:val="single" w:sz="4" w:space="0" w:color="auto"/>
            </w:tcBorders>
            <w:shd w:val="clear" w:color="auto" w:fill="auto"/>
            <w:hideMark/>
          </w:tcPr>
          <w:p w14:paraId="609B3CF8"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 xml:space="preserve">C0010 </w:t>
            </w:r>
          </w:p>
        </w:tc>
        <w:tc>
          <w:tcPr>
            <w:tcW w:w="3912" w:type="dxa"/>
            <w:tcBorders>
              <w:top w:val="single" w:sz="4" w:space="0" w:color="auto"/>
              <w:left w:val="nil"/>
              <w:bottom w:val="single" w:sz="4" w:space="0" w:color="auto"/>
              <w:right w:val="single" w:sz="4" w:space="0" w:color="auto"/>
            </w:tcBorders>
            <w:shd w:val="clear" w:color="auto" w:fill="auto"/>
            <w:hideMark/>
          </w:tcPr>
          <w:p w14:paraId="3E7EDD1F" w14:textId="77777777" w:rsidR="007A337E" w:rsidRPr="00922DF4" w:rsidRDefault="007A337E" w:rsidP="007F1535">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Identifiant de la transaction intragroupe</w:t>
            </w:r>
          </w:p>
        </w:tc>
        <w:tc>
          <w:tcPr>
            <w:tcW w:w="4544" w:type="dxa"/>
            <w:tcBorders>
              <w:top w:val="single" w:sz="4" w:space="0" w:color="auto"/>
              <w:left w:val="nil"/>
              <w:bottom w:val="single" w:sz="4" w:space="0" w:color="auto"/>
              <w:right w:val="single" w:sz="4" w:space="0" w:color="auto"/>
            </w:tcBorders>
            <w:shd w:val="clear" w:color="auto" w:fill="auto"/>
            <w:hideMark/>
          </w:tcPr>
          <w:p w14:paraId="23F5BEBD"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Code d’identification interne unique pour chaque transaction intragroupe. Doit rester constant dans le temps.</w:t>
            </w:r>
          </w:p>
        </w:tc>
      </w:tr>
      <w:tr w:rsidR="007A337E" w:rsidRPr="00922DF4" w14:paraId="689981A3" w14:textId="77777777" w:rsidTr="007A337E">
        <w:trPr>
          <w:trHeight w:val="570"/>
        </w:trPr>
        <w:tc>
          <w:tcPr>
            <w:tcW w:w="791" w:type="dxa"/>
            <w:tcBorders>
              <w:top w:val="single" w:sz="4" w:space="0" w:color="auto"/>
              <w:left w:val="single" w:sz="4" w:space="0" w:color="auto"/>
              <w:bottom w:val="single" w:sz="4" w:space="0" w:color="auto"/>
              <w:right w:val="single" w:sz="4" w:space="0" w:color="auto"/>
            </w:tcBorders>
            <w:shd w:val="clear" w:color="auto" w:fill="auto"/>
            <w:hideMark/>
          </w:tcPr>
          <w:p w14:paraId="7B8E26F4"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 xml:space="preserve">C0020 </w:t>
            </w:r>
          </w:p>
        </w:tc>
        <w:tc>
          <w:tcPr>
            <w:tcW w:w="3912" w:type="dxa"/>
            <w:tcBorders>
              <w:top w:val="single" w:sz="4" w:space="0" w:color="auto"/>
              <w:left w:val="single" w:sz="4" w:space="0" w:color="auto"/>
              <w:bottom w:val="single" w:sz="4" w:space="0" w:color="auto"/>
              <w:right w:val="single" w:sz="4" w:space="0" w:color="auto"/>
            </w:tcBorders>
            <w:shd w:val="clear" w:color="auto" w:fill="auto"/>
            <w:hideMark/>
          </w:tcPr>
          <w:p w14:paraId="17794AC4"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Nom de l’investisseur/du prêteur</w:t>
            </w:r>
          </w:p>
        </w:tc>
        <w:tc>
          <w:tcPr>
            <w:tcW w:w="4544" w:type="dxa"/>
            <w:tcBorders>
              <w:top w:val="single" w:sz="4" w:space="0" w:color="auto"/>
              <w:left w:val="single" w:sz="4" w:space="0" w:color="auto"/>
              <w:bottom w:val="single" w:sz="4" w:space="0" w:color="auto"/>
              <w:right w:val="single" w:sz="4" w:space="0" w:color="auto"/>
            </w:tcBorders>
            <w:shd w:val="clear" w:color="auto" w:fill="auto"/>
            <w:hideMark/>
          </w:tcPr>
          <w:p w14:paraId="2335F8E0"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 xml:space="preserve">Le nom de l’entité qui achète les actions ou qui prête à une entreprise liée du groupe, autrement dit, l’entité qui comptabilise la transaction comme un actif à son bilan (débit – bilan). </w:t>
            </w:r>
          </w:p>
        </w:tc>
      </w:tr>
      <w:tr w:rsidR="007A337E" w:rsidRPr="00922DF4" w14:paraId="25D555E4" w14:textId="77777777" w:rsidTr="007A337E">
        <w:trPr>
          <w:trHeight w:val="1140"/>
        </w:trPr>
        <w:tc>
          <w:tcPr>
            <w:tcW w:w="791" w:type="dxa"/>
            <w:tcBorders>
              <w:top w:val="single" w:sz="4" w:space="0" w:color="auto"/>
              <w:left w:val="single" w:sz="4" w:space="0" w:color="auto"/>
              <w:bottom w:val="single" w:sz="4" w:space="0" w:color="auto"/>
              <w:right w:val="single" w:sz="4" w:space="0" w:color="auto"/>
            </w:tcBorders>
            <w:shd w:val="clear" w:color="auto" w:fill="auto"/>
            <w:hideMark/>
          </w:tcPr>
          <w:p w14:paraId="640F495E"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C0030</w:t>
            </w:r>
          </w:p>
        </w:tc>
        <w:tc>
          <w:tcPr>
            <w:tcW w:w="3912" w:type="dxa"/>
            <w:tcBorders>
              <w:top w:val="single" w:sz="4" w:space="0" w:color="auto"/>
              <w:left w:val="nil"/>
              <w:bottom w:val="single" w:sz="4" w:space="0" w:color="auto"/>
              <w:right w:val="single" w:sz="4" w:space="0" w:color="auto"/>
            </w:tcBorders>
            <w:shd w:val="clear" w:color="auto" w:fill="auto"/>
            <w:hideMark/>
          </w:tcPr>
          <w:p w14:paraId="397E7E5B"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Code d’identification de l’investisseur/du prêteur</w:t>
            </w:r>
          </w:p>
        </w:tc>
        <w:tc>
          <w:tcPr>
            <w:tcW w:w="4544" w:type="dxa"/>
            <w:tcBorders>
              <w:top w:val="single" w:sz="4" w:space="0" w:color="auto"/>
              <w:left w:val="nil"/>
              <w:bottom w:val="single" w:sz="4" w:space="0" w:color="auto"/>
              <w:right w:val="single" w:sz="4" w:space="0" w:color="auto"/>
            </w:tcBorders>
            <w:shd w:val="clear" w:color="auto" w:fill="auto"/>
            <w:hideMark/>
          </w:tcPr>
          <w:p w14:paraId="44C22F6B" w14:textId="42963AD5" w:rsidR="007A337E" w:rsidRPr="00922DF4" w:rsidRDefault="007A337E" w:rsidP="007A337E">
            <w:pPr>
              <w:spacing w:after="0" w:line="240" w:lineRule="auto"/>
              <w:rPr>
                <w:rFonts w:ascii="Times New Roman" w:eastAsia="Times New Roman" w:hAnsi="Times New Roman" w:cs="Times New Roman"/>
                <w:sz w:val="20"/>
                <w:szCs w:val="20"/>
              </w:rPr>
            </w:pPr>
            <w:r w:rsidRPr="00922DF4">
              <w:rPr>
                <w:rFonts w:ascii="Times New Roman" w:hAnsi="Times New Roman"/>
                <w:color w:val="000000"/>
                <w:sz w:val="20"/>
              </w:rPr>
              <w:t>Le code d’identification unique de l’investisseur/de l’acheteur/du cessionnaire, par ordre de priorité suivant:</w:t>
            </w:r>
            <w:r w:rsidRPr="00922DF4">
              <w:rPr>
                <w:rFonts w:ascii="Times New Roman" w:hAnsi="Times New Roman"/>
                <w:sz w:val="20"/>
              </w:rPr>
              <w:t xml:space="preserve"> </w:t>
            </w:r>
            <w:r w:rsidRPr="00922DF4">
              <w:rPr>
                <w:rFonts w:ascii="Times New Roman" w:eastAsia="Times New Roman" w:hAnsi="Times New Roman" w:cs="Times New Roman"/>
                <w:sz w:val="20"/>
                <w:szCs w:val="20"/>
              </w:rPr>
              <w:br/>
            </w:r>
            <w:r w:rsidRPr="00922DF4">
              <w:rPr>
                <w:rFonts w:ascii="Times New Roman" w:hAnsi="Times New Roman"/>
                <w:sz w:val="20"/>
              </w:rPr>
              <w:t xml:space="preserve">– Identifiant d’entité juridique (LEI); </w:t>
            </w:r>
            <w:r w:rsidRPr="00922DF4">
              <w:rPr>
                <w:rFonts w:ascii="Times New Roman" w:eastAsia="Times New Roman" w:hAnsi="Times New Roman" w:cs="Times New Roman"/>
                <w:sz w:val="20"/>
                <w:szCs w:val="20"/>
              </w:rPr>
              <w:br/>
            </w:r>
            <w:r w:rsidR="00AC05A1" w:rsidRPr="00922DF4">
              <w:rPr>
                <w:rFonts w:ascii="Times New Roman" w:hAnsi="Times New Roman"/>
                <w:sz w:val="20"/>
              </w:rPr>
              <w:t>– C</w:t>
            </w:r>
            <w:r w:rsidRPr="00922DF4">
              <w:rPr>
                <w:rFonts w:ascii="Times New Roman" w:hAnsi="Times New Roman"/>
                <w:sz w:val="20"/>
              </w:rPr>
              <w:t>ode spécifique.</w:t>
            </w:r>
            <w:r w:rsidRPr="00922DF4">
              <w:rPr>
                <w:rFonts w:ascii="Times New Roman" w:eastAsia="Times New Roman" w:hAnsi="Times New Roman" w:cs="Times New Roman"/>
                <w:sz w:val="20"/>
                <w:szCs w:val="20"/>
              </w:rPr>
              <w:br/>
            </w:r>
            <w:r w:rsidRPr="00922DF4">
              <w:rPr>
                <w:rFonts w:ascii="Times New Roman" w:eastAsia="Times New Roman" w:hAnsi="Times New Roman" w:cs="Times New Roman"/>
                <w:sz w:val="20"/>
                <w:szCs w:val="20"/>
              </w:rPr>
              <w:br/>
            </w:r>
            <w:r w:rsidRPr="00922DF4">
              <w:rPr>
                <w:rFonts w:ascii="Times New Roman" w:hAnsi="Times New Roman"/>
                <w:sz w:val="20"/>
              </w:rPr>
              <w:t xml:space="preserve">Code spécifique: </w:t>
            </w:r>
            <w:r w:rsidRPr="00922DF4">
              <w:rPr>
                <w:rFonts w:ascii="Times New Roman" w:eastAsia="Times New Roman" w:hAnsi="Times New Roman" w:cs="Times New Roman"/>
                <w:sz w:val="20"/>
                <w:szCs w:val="20"/>
              </w:rPr>
              <w:br/>
            </w:r>
            <w:r w:rsidRPr="00922DF4">
              <w:rPr>
                <w:rFonts w:ascii="Times New Roman" w:hAnsi="Times New Roman"/>
                <w:sz w:val="20"/>
              </w:rPr>
              <w:t>– pour les entreprises d’assurance et de réassurance EEE et les autres entreprises EEE réglementées du groupe: le code d’identification, attribué par l’autorité de contrôle compétente nationale, qui est utilisé sur le marché local;</w:t>
            </w:r>
          </w:p>
          <w:p w14:paraId="68A1E4D9"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sz w:val="20"/>
              </w:rPr>
              <w:t xml:space="preserve">– pour les entreprises hors EEE et les entreprises non réglementées du groupe, le code d’identification est fourni par le groupe. Le code d’identification attribué à chaque entreprise hors EEE ou non réglementée doit systématiquement respecter le format suivant: </w:t>
            </w:r>
            <w:r w:rsidRPr="00922DF4">
              <w:rPr>
                <w:rFonts w:ascii="Times New Roman" w:eastAsia="Times New Roman" w:hAnsi="Times New Roman" w:cs="Times New Roman"/>
                <w:sz w:val="20"/>
                <w:szCs w:val="20"/>
              </w:rPr>
              <w:br/>
            </w:r>
            <w:r w:rsidRPr="00922DF4">
              <w:rPr>
                <w:rFonts w:ascii="Times New Roman" w:hAnsi="Times New Roman"/>
                <w:sz w:val="20"/>
              </w:rPr>
              <w:t xml:space="preserve"> code d’identification de l’entreprise mère + </w:t>
            </w:r>
            <w:r w:rsidRPr="00922DF4">
              <w:rPr>
                <w:rFonts w:ascii="Times New Roman" w:eastAsia="Times New Roman" w:hAnsi="Times New Roman" w:cs="Times New Roman"/>
                <w:sz w:val="20"/>
                <w:szCs w:val="20"/>
              </w:rPr>
              <w:br/>
            </w:r>
            <w:r w:rsidRPr="00922DF4">
              <w:rPr>
                <w:rFonts w:ascii="Times New Roman" w:hAnsi="Times New Roman"/>
                <w:sz w:val="20"/>
              </w:rPr>
              <w:t xml:space="preserve"> code ISO 3166-1 alpha-2 du pays de l’entreprise + </w:t>
            </w:r>
            <w:r w:rsidRPr="00922DF4">
              <w:rPr>
                <w:rFonts w:ascii="Times New Roman" w:eastAsia="Times New Roman" w:hAnsi="Times New Roman" w:cs="Times New Roman"/>
                <w:sz w:val="20"/>
                <w:szCs w:val="20"/>
              </w:rPr>
              <w:br/>
            </w:r>
            <w:r w:rsidRPr="00922DF4">
              <w:rPr>
                <w:rFonts w:ascii="Times New Roman" w:hAnsi="Times New Roman"/>
                <w:sz w:val="20"/>
              </w:rPr>
              <w:t xml:space="preserve"> 5 chiffres</w:t>
            </w:r>
          </w:p>
        </w:tc>
      </w:tr>
      <w:tr w:rsidR="007A337E" w:rsidRPr="00922DF4" w14:paraId="7D990443" w14:textId="77777777" w:rsidTr="00BA053C">
        <w:trPr>
          <w:trHeight w:val="1083"/>
        </w:trPr>
        <w:tc>
          <w:tcPr>
            <w:tcW w:w="791" w:type="dxa"/>
            <w:tcBorders>
              <w:top w:val="nil"/>
              <w:left w:val="single" w:sz="4" w:space="0" w:color="auto"/>
              <w:bottom w:val="single" w:sz="4" w:space="0" w:color="auto"/>
              <w:right w:val="single" w:sz="4" w:space="0" w:color="auto"/>
            </w:tcBorders>
            <w:shd w:val="clear" w:color="auto" w:fill="auto"/>
          </w:tcPr>
          <w:p w14:paraId="044CC561" w14:textId="77777777" w:rsidR="007A337E" w:rsidRPr="00922DF4" w:rsidRDefault="007A337E" w:rsidP="007A337E">
            <w:pPr>
              <w:rPr>
                <w:rFonts w:ascii="Times New Roman" w:eastAsia="Times New Roman" w:hAnsi="Times New Roman" w:cs="Times New Roman"/>
                <w:sz w:val="20"/>
                <w:szCs w:val="20"/>
              </w:rPr>
            </w:pPr>
            <w:r w:rsidRPr="00922DF4">
              <w:rPr>
                <w:rFonts w:ascii="Times New Roman" w:hAnsi="Times New Roman"/>
                <w:sz w:val="20"/>
              </w:rPr>
              <w:t>C0040</w:t>
            </w:r>
          </w:p>
        </w:tc>
        <w:tc>
          <w:tcPr>
            <w:tcW w:w="3912" w:type="dxa"/>
            <w:tcBorders>
              <w:top w:val="nil"/>
              <w:left w:val="nil"/>
              <w:bottom w:val="single" w:sz="4" w:space="0" w:color="auto"/>
              <w:right w:val="single" w:sz="4" w:space="0" w:color="auto"/>
            </w:tcBorders>
            <w:shd w:val="clear" w:color="auto" w:fill="auto"/>
          </w:tcPr>
          <w:p w14:paraId="103CBA89"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Type de code d’identification de l’investisseur/du prêteur</w:t>
            </w:r>
          </w:p>
          <w:p w14:paraId="04CCD843"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p>
        </w:tc>
        <w:tc>
          <w:tcPr>
            <w:tcW w:w="4544" w:type="dxa"/>
            <w:tcBorders>
              <w:top w:val="nil"/>
              <w:left w:val="nil"/>
              <w:bottom w:val="single" w:sz="4" w:space="0" w:color="auto"/>
              <w:right w:val="single" w:sz="4" w:space="0" w:color="auto"/>
            </w:tcBorders>
            <w:shd w:val="clear" w:color="auto" w:fill="auto"/>
          </w:tcPr>
          <w:p w14:paraId="4191488C"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Indiquer le type de code utilisé dans la rubrique «Code d’identification de l’investisseur/du prêteur».</w:t>
            </w:r>
            <w:r w:rsidRPr="00922DF4">
              <w:rPr>
                <w:rFonts w:ascii="Times New Roman" w:eastAsia="Times New Roman" w:hAnsi="Times New Roman" w:cs="Times New Roman"/>
                <w:color w:val="000000"/>
                <w:sz w:val="20"/>
                <w:szCs w:val="20"/>
              </w:rPr>
              <w:br/>
            </w:r>
            <w:r w:rsidRPr="00922DF4">
              <w:rPr>
                <w:rFonts w:ascii="Times New Roman" w:hAnsi="Times New Roman"/>
                <w:color w:val="000000"/>
                <w:sz w:val="20"/>
              </w:rPr>
              <w:t xml:space="preserve">1 – LEI </w:t>
            </w:r>
            <w:r w:rsidRPr="00922DF4">
              <w:rPr>
                <w:rFonts w:ascii="Times New Roman" w:eastAsia="Times New Roman" w:hAnsi="Times New Roman" w:cs="Times New Roman"/>
                <w:color w:val="000000"/>
                <w:sz w:val="20"/>
                <w:szCs w:val="20"/>
              </w:rPr>
              <w:br/>
            </w:r>
            <w:r w:rsidRPr="00922DF4">
              <w:rPr>
                <w:rFonts w:ascii="Times New Roman" w:hAnsi="Times New Roman"/>
                <w:color w:val="000000"/>
                <w:sz w:val="20"/>
              </w:rPr>
              <w:t>2 – Code spécifique</w:t>
            </w:r>
          </w:p>
        </w:tc>
      </w:tr>
      <w:tr w:rsidR="007A337E" w:rsidRPr="00922DF4" w14:paraId="7B84E3F0" w14:textId="77777777" w:rsidTr="00BA053C">
        <w:trPr>
          <w:trHeight w:val="570"/>
        </w:trPr>
        <w:tc>
          <w:tcPr>
            <w:tcW w:w="791" w:type="dxa"/>
            <w:tcBorders>
              <w:top w:val="single" w:sz="4" w:space="0" w:color="auto"/>
              <w:left w:val="single" w:sz="4" w:space="0" w:color="auto"/>
              <w:bottom w:val="single" w:sz="4" w:space="0" w:color="auto"/>
              <w:right w:val="single" w:sz="4" w:space="0" w:color="auto"/>
            </w:tcBorders>
            <w:shd w:val="clear" w:color="auto" w:fill="auto"/>
            <w:hideMark/>
          </w:tcPr>
          <w:p w14:paraId="724583A2"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C0050</w:t>
            </w:r>
          </w:p>
        </w:tc>
        <w:tc>
          <w:tcPr>
            <w:tcW w:w="3912" w:type="dxa"/>
            <w:tcBorders>
              <w:top w:val="nil"/>
              <w:left w:val="nil"/>
              <w:bottom w:val="single" w:sz="4" w:space="0" w:color="auto"/>
              <w:right w:val="single" w:sz="4" w:space="0" w:color="auto"/>
            </w:tcBorders>
            <w:shd w:val="clear" w:color="auto" w:fill="auto"/>
            <w:hideMark/>
          </w:tcPr>
          <w:p w14:paraId="6FD7E372"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Nom de l’émetteur/de l’emprunteur</w:t>
            </w:r>
          </w:p>
        </w:tc>
        <w:tc>
          <w:tcPr>
            <w:tcW w:w="4544" w:type="dxa"/>
            <w:tcBorders>
              <w:top w:val="nil"/>
              <w:left w:val="nil"/>
              <w:bottom w:val="single" w:sz="4" w:space="0" w:color="auto"/>
              <w:right w:val="single" w:sz="4" w:space="0" w:color="auto"/>
            </w:tcBorders>
            <w:shd w:val="clear" w:color="auto" w:fill="auto"/>
            <w:hideMark/>
          </w:tcPr>
          <w:p w14:paraId="483D8785"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Nom de l’entité qui émet les actions ou l’élément de fonds propres ou qui emprunte (qui émet de la dette). Autrement dit, il s’agit de l’entité qui comptabilise la transaction comme un passif ou comme des fonds propres à son bilan (crédit – bilan).</w:t>
            </w:r>
          </w:p>
        </w:tc>
      </w:tr>
      <w:tr w:rsidR="007A337E" w:rsidRPr="00922DF4" w14:paraId="4FA7FC7C" w14:textId="77777777" w:rsidTr="00BA053C">
        <w:trPr>
          <w:trHeight w:val="1140"/>
        </w:trPr>
        <w:tc>
          <w:tcPr>
            <w:tcW w:w="791" w:type="dxa"/>
            <w:tcBorders>
              <w:top w:val="single" w:sz="4" w:space="0" w:color="auto"/>
              <w:left w:val="single" w:sz="4" w:space="0" w:color="auto"/>
              <w:bottom w:val="single" w:sz="4" w:space="0" w:color="auto"/>
              <w:right w:val="single" w:sz="4" w:space="0" w:color="auto"/>
            </w:tcBorders>
            <w:shd w:val="clear" w:color="auto" w:fill="auto"/>
            <w:hideMark/>
          </w:tcPr>
          <w:p w14:paraId="34295A3C"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C0060</w:t>
            </w:r>
          </w:p>
        </w:tc>
        <w:tc>
          <w:tcPr>
            <w:tcW w:w="3912" w:type="dxa"/>
            <w:tcBorders>
              <w:top w:val="single" w:sz="4" w:space="0" w:color="auto"/>
              <w:left w:val="nil"/>
              <w:bottom w:val="single" w:sz="4" w:space="0" w:color="auto"/>
              <w:right w:val="single" w:sz="4" w:space="0" w:color="auto"/>
            </w:tcBorders>
            <w:shd w:val="clear" w:color="auto" w:fill="auto"/>
            <w:hideMark/>
          </w:tcPr>
          <w:p w14:paraId="317786F1"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Code d’identification de l’émetteur/de l’emprunteur</w:t>
            </w:r>
          </w:p>
        </w:tc>
        <w:tc>
          <w:tcPr>
            <w:tcW w:w="4544" w:type="dxa"/>
            <w:tcBorders>
              <w:top w:val="nil"/>
              <w:left w:val="nil"/>
              <w:bottom w:val="single" w:sz="4" w:space="0" w:color="auto"/>
              <w:right w:val="single" w:sz="4" w:space="0" w:color="auto"/>
            </w:tcBorders>
            <w:shd w:val="clear" w:color="auto" w:fill="auto"/>
            <w:hideMark/>
          </w:tcPr>
          <w:p w14:paraId="56882686" w14:textId="77777777" w:rsidR="00BA053C" w:rsidRPr="00922DF4" w:rsidRDefault="007A337E" w:rsidP="007A337E">
            <w:pPr>
              <w:spacing w:after="0" w:line="240" w:lineRule="auto"/>
              <w:rPr>
                <w:rFonts w:ascii="Times New Roman" w:hAnsi="Times New Roman"/>
                <w:sz w:val="20"/>
              </w:rPr>
            </w:pPr>
            <w:r w:rsidRPr="00922DF4">
              <w:rPr>
                <w:rFonts w:ascii="Times New Roman" w:hAnsi="Times New Roman"/>
                <w:color w:val="000000"/>
                <w:sz w:val="20"/>
              </w:rPr>
              <w:t>Le code d’identification unique de l’investisseur/de l’acheteur/du cessionnaire, par ordre de priorité suivant:</w:t>
            </w:r>
            <w:r w:rsidRPr="00922DF4">
              <w:rPr>
                <w:rFonts w:ascii="Times New Roman" w:hAnsi="Times New Roman"/>
                <w:sz w:val="20"/>
              </w:rPr>
              <w:t xml:space="preserve"> </w:t>
            </w:r>
            <w:r w:rsidRPr="00922DF4">
              <w:rPr>
                <w:rFonts w:ascii="Times New Roman" w:eastAsia="Times New Roman" w:hAnsi="Times New Roman" w:cs="Times New Roman"/>
                <w:sz w:val="20"/>
                <w:szCs w:val="20"/>
              </w:rPr>
              <w:br/>
            </w:r>
            <w:r w:rsidRPr="00922DF4">
              <w:rPr>
                <w:rFonts w:ascii="Times New Roman" w:hAnsi="Times New Roman"/>
                <w:sz w:val="20"/>
              </w:rPr>
              <w:t xml:space="preserve">– Identifiant d’entité juridique (LEI); </w:t>
            </w:r>
            <w:r w:rsidRPr="00922DF4">
              <w:rPr>
                <w:rFonts w:ascii="Times New Roman" w:eastAsia="Times New Roman" w:hAnsi="Times New Roman" w:cs="Times New Roman"/>
                <w:sz w:val="20"/>
                <w:szCs w:val="20"/>
              </w:rPr>
              <w:br/>
            </w:r>
            <w:r w:rsidRPr="00922DF4">
              <w:rPr>
                <w:rFonts w:ascii="Times New Roman" w:hAnsi="Times New Roman"/>
                <w:sz w:val="20"/>
              </w:rPr>
              <w:t>– code spécifique.</w:t>
            </w:r>
            <w:r w:rsidRPr="00922DF4">
              <w:rPr>
                <w:rFonts w:ascii="Times New Roman" w:eastAsia="Times New Roman" w:hAnsi="Times New Roman" w:cs="Times New Roman"/>
                <w:sz w:val="20"/>
                <w:szCs w:val="20"/>
              </w:rPr>
              <w:br/>
            </w:r>
          </w:p>
          <w:p w14:paraId="5180888B" w14:textId="09247423" w:rsidR="007A337E" w:rsidRPr="00922DF4" w:rsidRDefault="007A337E" w:rsidP="007A337E">
            <w:pPr>
              <w:spacing w:after="0" w:line="240" w:lineRule="auto"/>
              <w:rPr>
                <w:rFonts w:ascii="Times New Roman" w:eastAsia="Times New Roman" w:hAnsi="Times New Roman" w:cs="Times New Roman"/>
                <w:sz w:val="20"/>
                <w:szCs w:val="20"/>
              </w:rPr>
            </w:pPr>
            <w:r w:rsidRPr="00922DF4">
              <w:rPr>
                <w:rFonts w:ascii="Times New Roman" w:hAnsi="Times New Roman"/>
                <w:sz w:val="20"/>
              </w:rPr>
              <w:t xml:space="preserve">Code spécifique: </w:t>
            </w:r>
            <w:r w:rsidRPr="00922DF4">
              <w:rPr>
                <w:rFonts w:ascii="Times New Roman" w:eastAsia="Times New Roman" w:hAnsi="Times New Roman" w:cs="Times New Roman"/>
                <w:sz w:val="20"/>
                <w:szCs w:val="20"/>
              </w:rPr>
              <w:br/>
            </w:r>
            <w:r w:rsidRPr="00922DF4">
              <w:rPr>
                <w:rFonts w:ascii="Times New Roman" w:hAnsi="Times New Roman"/>
                <w:sz w:val="20"/>
              </w:rPr>
              <w:t>– pour les entreprises d’assurance et de réassurance EEE et les autres entreprises EEE réglementées du groupe: le code d’identification, attribué par l’autorité de contrôle compétente nationale, qui est utilisé sur le marché local;</w:t>
            </w:r>
          </w:p>
          <w:p w14:paraId="4B0310CA" w14:textId="3DB64378" w:rsidR="007A337E" w:rsidRPr="00922DF4" w:rsidRDefault="007A337E" w:rsidP="00BA053C">
            <w:pPr>
              <w:spacing w:after="0" w:line="240" w:lineRule="auto"/>
              <w:rPr>
                <w:rFonts w:ascii="Times New Roman" w:eastAsia="Times New Roman" w:hAnsi="Times New Roman" w:cs="Times New Roman"/>
                <w:color w:val="000000"/>
                <w:sz w:val="20"/>
                <w:szCs w:val="20"/>
              </w:rPr>
            </w:pPr>
            <w:r w:rsidRPr="00922DF4">
              <w:rPr>
                <w:rFonts w:ascii="Times New Roman" w:hAnsi="Times New Roman"/>
                <w:sz w:val="20"/>
              </w:rPr>
              <w:t xml:space="preserve">– pour les entreprises hors EEE et les entreprises non réglementées du groupe, le code d’identification est fourni par le groupe. Le code d’identification attribué à chaque entreprise hors EEE ou non réglementée doit systématiquement respecter le format suivant: </w:t>
            </w:r>
            <w:r w:rsidRPr="00922DF4">
              <w:rPr>
                <w:rFonts w:ascii="Times New Roman" w:eastAsia="Times New Roman" w:hAnsi="Times New Roman" w:cs="Times New Roman"/>
                <w:sz w:val="20"/>
                <w:szCs w:val="20"/>
              </w:rPr>
              <w:br/>
            </w:r>
            <w:r w:rsidRPr="00922DF4">
              <w:rPr>
                <w:rFonts w:ascii="Times New Roman" w:hAnsi="Times New Roman"/>
                <w:sz w:val="20"/>
              </w:rPr>
              <w:t xml:space="preserve"> code d’identification de l’entreprise mère + </w:t>
            </w:r>
            <w:r w:rsidRPr="00922DF4">
              <w:rPr>
                <w:rFonts w:ascii="Times New Roman" w:eastAsia="Times New Roman" w:hAnsi="Times New Roman" w:cs="Times New Roman"/>
                <w:sz w:val="20"/>
                <w:szCs w:val="20"/>
              </w:rPr>
              <w:br/>
            </w:r>
            <w:r w:rsidRPr="00922DF4">
              <w:rPr>
                <w:rFonts w:ascii="Times New Roman" w:hAnsi="Times New Roman"/>
                <w:sz w:val="20"/>
              </w:rPr>
              <w:t xml:space="preserve"> code ISO 3166-1 al</w:t>
            </w:r>
            <w:r w:rsidR="00BA053C" w:rsidRPr="00922DF4">
              <w:rPr>
                <w:rFonts w:ascii="Times New Roman" w:hAnsi="Times New Roman"/>
                <w:sz w:val="20"/>
              </w:rPr>
              <w:t>pha-2 du pays de l’entreprise +</w:t>
            </w:r>
            <w:r w:rsidRPr="00922DF4">
              <w:rPr>
                <w:rFonts w:ascii="Times New Roman" w:eastAsia="Times New Roman" w:hAnsi="Times New Roman" w:cs="Times New Roman"/>
                <w:sz w:val="20"/>
                <w:szCs w:val="20"/>
              </w:rPr>
              <w:br/>
            </w:r>
            <w:r w:rsidRPr="00922DF4">
              <w:rPr>
                <w:rFonts w:ascii="Times New Roman" w:hAnsi="Times New Roman"/>
                <w:sz w:val="20"/>
              </w:rPr>
              <w:t xml:space="preserve"> 5 chiffres</w:t>
            </w:r>
          </w:p>
        </w:tc>
      </w:tr>
      <w:tr w:rsidR="007A337E" w:rsidRPr="00922DF4" w14:paraId="6C815EFE" w14:textId="77777777" w:rsidTr="00BA053C">
        <w:trPr>
          <w:trHeight w:val="1087"/>
        </w:trPr>
        <w:tc>
          <w:tcPr>
            <w:tcW w:w="791" w:type="dxa"/>
            <w:tcBorders>
              <w:top w:val="single" w:sz="4" w:space="0" w:color="auto"/>
              <w:left w:val="single" w:sz="4" w:space="0" w:color="auto"/>
              <w:bottom w:val="single" w:sz="4" w:space="0" w:color="auto"/>
              <w:right w:val="single" w:sz="4" w:space="0" w:color="auto"/>
            </w:tcBorders>
            <w:shd w:val="clear" w:color="auto" w:fill="auto"/>
          </w:tcPr>
          <w:p w14:paraId="7A8DF87C" w14:textId="77777777" w:rsidR="007A337E" w:rsidRPr="00922DF4" w:rsidRDefault="007A337E" w:rsidP="007A337E">
            <w:pPr>
              <w:rPr>
                <w:rFonts w:ascii="Times New Roman" w:eastAsia="Times New Roman" w:hAnsi="Times New Roman" w:cs="Times New Roman"/>
                <w:sz w:val="20"/>
                <w:szCs w:val="20"/>
              </w:rPr>
            </w:pPr>
            <w:r w:rsidRPr="00922DF4">
              <w:rPr>
                <w:rFonts w:ascii="Times New Roman" w:hAnsi="Times New Roman"/>
                <w:sz w:val="20"/>
              </w:rPr>
              <w:lastRenderedPageBreak/>
              <w:t>C0070</w:t>
            </w:r>
          </w:p>
        </w:tc>
        <w:tc>
          <w:tcPr>
            <w:tcW w:w="3912" w:type="dxa"/>
            <w:tcBorders>
              <w:top w:val="single" w:sz="4" w:space="0" w:color="auto"/>
              <w:left w:val="nil"/>
              <w:bottom w:val="single" w:sz="4" w:space="0" w:color="auto"/>
              <w:right w:val="single" w:sz="4" w:space="0" w:color="auto"/>
            </w:tcBorders>
            <w:shd w:val="clear" w:color="auto" w:fill="auto"/>
          </w:tcPr>
          <w:p w14:paraId="3382AC47"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Type de code d’identification de l’émetteur/de l’emprunteur</w:t>
            </w:r>
          </w:p>
          <w:p w14:paraId="3717E3C1"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p>
        </w:tc>
        <w:tc>
          <w:tcPr>
            <w:tcW w:w="4544" w:type="dxa"/>
            <w:tcBorders>
              <w:top w:val="single" w:sz="4" w:space="0" w:color="auto"/>
              <w:left w:val="nil"/>
              <w:bottom w:val="single" w:sz="4" w:space="0" w:color="auto"/>
              <w:right w:val="single" w:sz="4" w:space="0" w:color="auto"/>
            </w:tcBorders>
            <w:shd w:val="clear" w:color="auto" w:fill="auto"/>
          </w:tcPr>
          <w:p w14:paraId="2A89334A"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Indiquer le type de code utilisé dans la rubrique «Code d’identification de l’émetteur/de l’emprunteur».</w:t>
            </w:r>
            <w:r w:rsidRPr="00922DF4">
              <w:rPr>
                <w:rFonts w:ascii="Times New Roman" w:eastAsia="Times New Roman" w:hAnsi="Times New Roman" w:cs="Times New Roman"/>
                <w:color w:val="000000"/>
                <w:sz w:val="20"/>
                <w:szCs w:val="20"/>
              </w:rPr>
              <w:br/>
            </w:r>
            <w:r w:rsidRPr="00922DF4">
              <w:rPr>
                <w:rFonts w:ascii="Times New Roman" w:hAnsi="Times New Roman"/>
                <w:color w:val="000000"/>
                <w:sz w:val="20"/>
              </w:rPr>
              <w:t xml:space="preserve">1 – LEI </w:t>
            </w:r>
            <w:r w:rsidRPr="00922DF4">
              <w:rPr>
                <w:rFonts w:ascii="Times New Roman" w:eastAsia="Times New Roman" w:hAnsi="Times New Roman" w:cs="Times New Roman"/>
                <w:color w:val="000000"/>
                <w:sz w:val="20"/>
                <w:szCs w:val="20"/>
              </w:rPr>
              <w:br/>
            </w:r>
            <w:r w:rsidRPr="00922DF4">
              <w:rPr>
                <w:rFonts w:ascii="Times New Roman" w:hAnsi="Times New Roman"/>
                <w:color w:val="000000"/>
                <w:sz w:val="20"/>
              </w:rPr>
              <w:t>2 – Code spécifique</w:t>
            </w:r>
          </w:p>
        </w:tc>
      </w:tr>
      <w:tr w:rsidR="007A337E" w:rsidRPr="00922DF4" w14:paraId="6C1B5657" w14:textId="77777777" w:rsidTr="00BA053C">
        <w:trPr>
          <w:trHeight w:val="2400"/>
        </w:trPr>
        <w:tc>
          <w:tcPr>
            <w:tcW w:w="791" w:type="dxa"/>
            <w:tcBorders>
              <w:top w:val="single" w:sz="4" w:space="0" w:color="auto"/>
              <w:left w:val="single" w:sz="4" w:space="0" w:color="auto"/>
              <w:bottom w:val="single" w:sz="4" w:space="0" w:color="auto"/>
              <w:right w:val="single" w:sz="4" w:space="0" w:color="auto"/>
            </w:tcBorders>
            <w:shd w:val="clear" w:color="auto" w:fill="auto"/>
            <w:hideMark/>
          </w:tcPr>
          <w:p w14:paraId="3A26308F" w14:textId="77777777" w:rsidR="007A337E" w:rsidRPr="00922DF4" w:rsidRDefault="007A337E" w:rsidP="007A337E">
            <w:pPr>
              <w:spacing w:after="0" w:line="240" w:lineRule="auto"/>
              <w:rPr>
                <w:rFonts w:ascii="Times New Roman" w:eastAsia="Times New Roman" w:hAnsi="Times New Roman" w:cs="Times New Roman"/>
                <w:sz w:val="20"/>
                <w:szCs w:val="20"/>
              </w:rPr>
            </w:pPr>
            <w:r w:rsidRPr="00922DF4">
              <w:rPr>
                <w:rFonts w:ascii="Times New Roman" w:hAnsi="Times New Roman"/>
                <w:sz w:val="20"/>
              </w:rPr>
              <w:t>C0080</w:t>
            </w:r>
          </w:p>
        </w:tc>
        <w:tc>
          <w:tcPr>
            <w:tcW w:w="3912" w:type="dxa"/>
            <w:tcBorders>
              <w:top w:val="single" w:sz="4" w:space="0" w:color="auto"/>
              <w:left w:val="single" w:sz="4" w:space="0" w:color="auto"/>
              <w:bottom w:val="single" w:sz="4" w:space="0" w:color="auto"/>
              <w:right w:val="single" w:sz="4" w:space="0" w:color="auto"/>
            </w:tcBorders>
            <w:shd w:val="clear" w:color="auto" w:fill="auto"/>
            <w:hideMark/>
          </w:tcPr>
          <w:p w14:paraId="6621A235" w14:textId="77777777" w:rsidR="007A337E" w:rsidRPr="00922DF4" w:rsidRDefault="007A337E" w:rsidP="007A337E">
            <w:pPr>
              <w:spacing w:after="0" w:line="240" w:lineRule="auto"/>
              <w:rPr>
                <w:rFonts w:ascii="Times New Roman" w:eastAsia="Times New Roman" w:hAnsi="Times New Roman" w:cs="Times New Roman"/>
                <w:sz w:val="20"/>
                <w:szCs w:val="20"/>
              </w:rPr>
            </w:pPr>
            <w:r w:rsidRPr="00922DF4">
              <w:rPr>
                <w:rFonts w:ascii="Times New Roman" w:hAnsi="Times New Roman"/>
                <w:sz w:val="20"/>
              </w:rPr>
              <w:t>Code d’identification de l’instrument</w:t>
            </w:r>
          </w:p>
        </w:tc>
        <w:tc>
          <w:tcPr>
            <w:tcW w:w="4544" w:type="dxa"/>
            <w:tcBorders>
              <w:top w:val="single" w:sz="4" w:space="0" w:color="auto"/>
              <w:left w:val="nil"/>
              <w:bottom w:val="single" w:sz="4" w:space="0" w:color="auto"/>
              <w:right w:val="single" w:sz="4" w:space="0" w:color="auto"/>
            </w:tcBorders>
            <w:shd w:val="clear" w:color="auto" w:fill="auto"/>
            <w:hideMark/>
          </w:tcPr>
          <w:p w14:paraId="3358B74D" w14:textId="0C6EFA71" w:rsidR="007A337E" w:rsidRPr="00922DF4" w:rsidRDefault="007A337E" w:rsidP="007A337E">
            <w:pPr>
              <w:spacing w:after="0" w:line="240" w:lineRule="auto"/>
              <w:rPr>
                <w:rFonts w:ascii="Times New Roman" w:eastAsia="Times New Roman" w:hAnsi="Times New Roman" w:cs="Times New Roman"/>
                <w:sz w:val="20"/>
                <w:szCs w:val="20"/>
              </w:rPr>
            </w:pPr>
            <w:r w:rsidRPr="00922DF4">
              <w:rPr>
                <w:rFonts w:ascii="Times New Roman" w:hAnsi="Times New Roman"/>
                <w:sz w:val="20"/>
              </w:rPr>
              <w:t xml:space="preserve">Le code d’identification de l’instrument (fonds propres, dette, etc.) transmis entre les parties, identifié, par ordre de priorité, par: </w:t>
            </w:r>
            <w:r w:rsidRPr="00922DF4">
              <w:rPr>
                <w:rFonts w:ascii="Times New Roman" w:hAnsi="Times New Roman" w:cs="Times New Roman"/>
                <w:sz w:val="20"/>
                <w:szCs w:val="20"/>
              </w:rPr>
              <w:br/>
            </w:r>
            <w:r w:rsidRPr="00922DF4">
              <w:rPr>
                <w:rFonts w:ascii="Times New Roman" w:hAnsi="Times New Roman"/>
                <w:sz w:val="20"/>
              </w:rPr>
              <w:t xml:space="preserve">  – code ISIN ISO 6166 lorsqu’il est disponible;</w:t>
            </w:r>
            <w:r w:rsidRPr="00922DF4">
              <w:rPr>
                <w:rFonts w:ascii="Times New Roman" w:hAnsi="Times New Roman" w:cs="Times New Roman"/>
                <w:sz w:val="20"/>
                <w:szCs w:val="20"/>
              </w:rPr>
              <w:br/>
            </w:r>
            <w:r w:rsidRPr="00922DF4">
              <w:rPr>
                <w:rFonts w:ascii="Times New Roman" w:hAnsi="Times New Roman"/>
                <w:sz w:val="20"/>
              </w:rPr>
              <w:t xml:space="preserve">  – autre code «reconnu» (par ex. CUSIP, Bloomberg Ticker, Reuters RIC)</w:t>
            </w:r>
            <w:r w:rsidRPr="00922DF4">
              <w:rPr>
                <w:rFonts w:ascii="Times New Roman" w:hAnsi="Times New Roman" w:cs="Times New Roman"/>
                <w:sz w:val="20"/>
                <w:szCs w:val="20"/>
              </w:rPr>
              <w:br/>
            </w:r>
            <w:r w:rsidRPr="00922DF4">
              <w:rPr>
                <w:rFonts w:ascii="Times New Roman" w:hAnsi="Times New Roman"/>
                <w:sz w:val="20"/>
              </w:rPr>
              <w:t xml:space="preserve">  – code attribué par </w:t>
            </w:r>
            <w:r w:rsidR="00B40D25" w:rsidRPr="00922DF4">
              <w:rPr>
                <w:rFonts w:ascii="Times New Roman" w:hAnsi="Times New Roman"/>
                <w:sz w:val="20"/>
              </w:rPr>
              <w:t>l’ORPS</w:t>
            </w:r>
            <w:r w:rsidRPr="00922DF4">
              <w:rPr>
                <w:rFonts w:ascii="Times New Roman" w:hAnsi="Times New Roman"/>
                <w:sz w:val="20"/>
              </w:rPr>
              <w:t>, lorsque les options ci-dessus ne sont pas disponibles. Ce code doit rester constant dans le temps.</w:t>
            </w:r>
          </w:p>
          <w:p w14:paraId="6D7CDBF6" w14:textId="77777777" w:rsidR="007A337E" w:rsidRPr="00922DF4" w:rsidRDefault="007A337E" w:rsidP="007A337E">
            <w:pPr>
              <w:spacing w:after="0" w:line="240" w:lineRule="auto"/>
              <w:rPr>
                <w:rFonts w:ascii="Times New Roman" w:eastAsia="Times New Roman" w:hAnsi="Times New Roman" w:cs="Times New Roman"/>
                <w:sz w:val="20"/>
                <w:szCs w:val="20"/>
              </w:rPr>
            </w:pPr>
          </w:p>
          <w:p w14:paraId="6A0F6825" w14:textId="77777777" w:rsidR="007A337E" w:rsidRPr="00922DF4" w:rsidRDefault="007A337E" w:rsidP="007A337E">
            <w:pPr>
              <w:spacing w:after="0" w:line="240" w:lineRule="auto"/>
              <w:rPr>
                <w:rFonts w:ascii="Times New Roman" w:eastAsia="Times New Roman" w:hAnsi="Times New Roman" w:cs="Times New Roman"/>
                <w:sz w:val="20"/>
                <w:szCs w:val="20"/>
              </w:rPr>
            </w:pPr>
            <w:r w:rsidRPr="00922DF4">
              <w:rPr>
                <w:rFonts w:ascii="Times New Roman" w:hAnsi="Times New Roman"/>
                <w:sz w:val="20"/>
              </w:rPr>
              <w:t>Il peut différer du code de transaction intragroupe indiqué en C0010.</w:t>
            </w:r>
          </w:p>
        </w:tc>
      </w:tr>
      <w:tr w:rsidR="007A337E" w:rsidRPr="00922DF4" w14:paraId="672C7696" w14:textId="77777777" w:rsidTr="007A337E">
        <w:trPr>
          <w:trHeight w:val="1425"/>
        </w:trPr>
        <w:tc>
          <w:tcPr>
            <w:tcW w:w="791" w:type="dxa"/>
            <w:tcBorders>
              <w:top w:val="single" w:sz="4" w:space="0" w:color="auto"/>
              <w:left w:val="single" w:sz="4" w:space="0" w:color="auto"/>
              <w:bottom w:val="single" w:sz="4" w:space="0" w:color="auto"/>
              <w:right w:val="single" w:sz="4" w:space="0" w:color="auto"/>
            </w:tcBorders>
            <w:shd w:val="clear" w:color="auto" w:fill="auto"/>
            <w:hideMark/>
          </w:tcPr>
          <w:p w14:paraId="6FCC2DF4" w14:textId="77777777" w:rsidR="007A337E" w:rsidRPr="00922DF4" w:rsidRDefault="007A337E" w:rsidP="007A337E">
            <w:pPr>
              <w:spacing w:after="0" w:line="240" w:lineRule="auto"/>
              <w:rPr>
                <w:rFonts w:ascii="Times New Roman" w:eastAsia="Times New Roman" w:hAnsi="Times New Roman" w:cs="Times New Roman"/>
                <w:sz w:val="20"/>
                <w:szCs w:val="20"/>
              </w:rPr>
            </w:pPr>
            <w:r w:rsidRPr="00922DF4">
              <w:rPr>
                <w:rFonts w:ascii="Times New Roman" w:hAnsi="Times New Roman"/>
                <w:sz w:val="20"/>
              </w:rPr>
              <w:t>C0090</w:t>
            </w:r>
          </w:p>
        </w:tc>
        <w:tc>
          <w:tcPr>
            <w:tcW w:w="3912" w:type="dxa"/>
            <w:tcBorders>
              <w:top w:val="single" w:sz="4" w:space="0" w:color="auto"/>
              <w:left w:val="nil"/>
              <w:bottom w:val="single" w:sz="4" w:space="0" w:color="auto"/>
              <w:right w:val="single" w:sz="4" w:space="0" w:color="auto"/>
            </w:tcBorders>
            <w:shd w:val="clear" w:color="auto" w:fill="auto"/>
            <w:hideMark/>
          </w:tcPr>
          <w:p w14:paraId="070BEEA4" w14:textId="77777777" w:rsidR="007A337E" w:rsidRPr="00922DF4" w:rsidRDefault="007A337E" w:rsidP="007A337E">
            <w:pPr>
              <w:spacing w:after="0" w:line="240" w:lineRule="auto"/>
              <w:rPr>
                <w:rFonts w:ascii="Times New Roman" w:eastAsia="Times New Roman" w:hAnsi="Times New Roman" w:cs="Times New Roman"/>
                <w:sz w:val="20"/>
                <w:szCs w:val="20"/>
              </w:rPr>
            </w:pPr>
            <w:r w:rsidRPr="00922DF4">
              <w:rPr>
                <w:rFonts w:ascii="Times New Roman" w:hAnsi="Times New Roman"/>
                <w:sz w:val="20"/>
              </w:rPr>
              <w:t>Code d’identification du type d’instrument</w:t>
            </w:r>
          </w:p>
        </w:tc>
        <w:tc>
          <w:tcPr>
            <w:tcW w:w="4544" w:type="dxa"/>
            <w:tcBorders>
              <w:top w:val="single" w:sz="4" w:space="0" w:color="auto"/>
              <w:left w:val="nil"/>
              <w:bottom w:val="nil"/>
              <w:right w:val="single" w:sz="4" w:space="0" w:color="auto"/>
            </w:tcBorders>
            <w:shd w:val="clear" w:color="auto" w:fill="auto"/>
            <w:hideMark/>
          </w:tcPr>
          <w:p w14:paraId="6FCECCF0" w14:textId="447F134B" w:rsidR="007A337E" w:rsidRPr="00922DF4" w:rsidRDefault="007A337E" w:rsidP="007A337E">
            <w:pPr>
              <w:rPr>
                <w:rFonts w:ascii="Times New Roman" w:hAnsi="Times New Roman" w:cs="Times New Roman"/>
                <w:sz w:val="20"/>
                <w:szCs w:val="20"/>
              </w:rPr>
            </w:pPr>
            <w:r w:rsidRPr="00922DF4">
              <w:rPr>
                <w:rFonts w:ascii="Times New Roman" w:hAnsi="Times New Roman"/>
                <w:sz w:val="20"/>
              </w:rPr>
              <w:t>Type de code d’identification utilisé dans la rubrique</w:t>
            </w:r>
            <w:r w:rsidR="007F1535" w:rsidRPr="00922DF4">
              <w:rPr>
                <w:rFonts w:ascii="Times New Roman" w:hAnsi="Times New Roman"/>
                <w:sz w:val="20"/>
              </w:rPr>
              <w:t xml:space="preserve"> « Code</w:t>
            </w:r>
            <w:r w:rsidRPr="00922DF4">
              <w:rPr>
                <w:rFonts w:ascii="Times New Roman" w:hAnsi="Times New Roman"/>
                <w:sz w:val="20"/>
              </w:rPr>
              <w:t xml:space="preserve"> d’identification de </w:t>
            </w:r>
            <w:r w:rsidR="007F1535" w:rsidRPr="00922DF4">
              <w:rPr>
                <w:rFonts w:ascii="Times New Roman" w:hAnsi="Times New Roman"/>
                <w:sz w:val="20"/>
              </w:rPr>
              <w:t>l’instrument »</w:t>
            </w:r>
            <w:r w:rsidRPr="00922DF4">
              <w:rPr>
                <w:rFonts w:ascii="Times New Roman" w:hAnsi="Times New Roman"/>
                <w:sz w:val="20"/>
              </w:rPr>
              <w:t>. Choisir impérativement l’une des options suivantes:</w:t>
            </w:r>
          </w:p>
          <w:p w14:paraId="6B98F857" w14:textId="77777777" w:rsidR="007A337E" w:rsidRPr="00922DF4" w:rsidRDefault="007A337E" w:rsidP="007A337E">
            <w:pPr>
              <w:spacing w:after="0"/>
              <w:rPr>
                <w:rFonts w:ascii="Times New Roman" w:hAnsi="Times New Roman" w:cs="Times New Roman"/>
                <w:sz w:val="20"/>
                <w:szCs w:val="20"/>
              </w:rPr>
            </w:pPr>
            <w:r w:rsidRPr="00922DF4">
              <w:rPr>
                <w:rFonts w:ascii="Times New Roman" w:hAnsi="Times New Roman"/>
                <w:sz w:val="20"/>
              </w:rPr>
              <w:t>1 – code ISIN de l’ISO 6166</w:t>
            </w:r>
          </w:p>
          <w:p w14:paraId="667C03D6" w14:textId="77777777" w:rsidR="007A337E" w:rsidRPr="00922DF4" w:rsidRDefault="007A337E" w:rsidP="007A337E">
            <w:pPr>
              <w:spacing w:after="0"/>
              <w:rPr>
                <w:rFonts w:ascii="Times New Roman" w:hAnsi="Times New Roman" w:cs="Times New Roman"/>
                <w:sz w:val="20"/>
                <w:szCs w:val="20"/>
              </w:rPr>
            </w:pPr>
            <w:r w:rsidRPr="00922DF4">
              <w:rPr>
                <w:rFonts w:ascii="Times New Roman" w:hAnsi="Times New Roman"/>
                <w:sz w:val="20"/>
              </w:rPr>
              <w:t>2 – code CUSIP (Committee on Uniform Securities Identification Procedures): numéro attribué par le CUSIP Service Bureau pour les entreprises américaines et canadiennes</w:t>
            </w:r>
          </w:p>
          <w:p w14:paraId="3EAC07AD" w14:textId="77777777" w:rsidR="007A337E" w:rsidRPr="00922DF4" w:rsidRDefault="007A337E" w:rsidP="007A337E">
            <w:pPr>
              <w:spacing w:after="0"/>
              <w:rPr>
                <w:rFonts w:ascii="Times New Roman" w:hAnsi="Times New Roman" w:cs="Times New Roman"/>
                <w:sz w:val="20"/>
                <w:szCs w:val="20"/>
              </w:rPr>
            </w:pPr>
            <w:r w:rsidRPr="00922DF4">
              <w:rPr>
                <w:rFonts w:ascii="Times New Roman" w:hAnsi="Times New Roman"/>
                <w:sz w:val="20"/>
              </w:rPr>
              <w:t>3 – SEDOL (Stock Exchange Daily Official List pour la bourse de Londres)</w:t>
            </w:r>
          </w:p>
          <w:p w14:paraId="68AF5701" w14:textId="77777777" w:rsidR="007A337E" w:rsidRPr="00922DF4" w:rsidRDefault="007A337E" w:rsidP="007A337E">
            <w:pPr>
              <w:spacing w:after="0"/>
              <w:rPr>
                <w:rFonts w:ascii="Times New Roman" w:hAnsi="Times New Roman" w:cs="Times New Roman"/>
                <w:sz w:val="20"/>
                <w:szCs w:val="20"/>
              </w:rPr>
            </w:pPr>
            <w:r w:rsidRPr="00922DF4">
              <w:rPr>
                <w:rFonts w:ascii="Times New Roman" w:hAnsi="Times New Roman"/>
                <w:sz w:val="20"/>
              </w:rPr>
              <w:t>4 – WKN (Wertpapier Kenn-Nummer, le numéro d’identification alphanumérique allemand)</w:t>
            </w:r>
          </w:p>
          <w:p w14:paraId="29A9B56E" w14:textId="77777777" w:rsidR="007A337E" w:rsidRPr="00922DF4" w:rsidRDefault="007A337E" w:rsidP="007A337E">
            <w:pPr>
              <w:spacing w:after="0"/>
              <w:rPr>
                <w:rFonts w:ascii="Times New Roman" w:hAnsi="Times New Roman" w:cs="Times New Roman"/>
                <w:sz w:val="20"/>
                <w:szCs w:val="20"/>
              </w:rPr>
            </w:pPr>
            <w:r w:rsidRPr="00922DF4">
              <w:rPr>
                <w:rFonts w:ascii="Times New Roman" w:hAnsi="Times New Roman"/>
                <w:sz w:val="20"/>
              </w:rPr>
              <w:t>5 – Bloomberg Ticker (code à lettres Bloomberg d’identification des titres d’une société)</w:t>
            </w:r>
          </w:p>
          <w:p w14:paraId="6EA1FE4C" w14:textId="77777777" w:rsidR="007A337E" w:rsidRPr="00922DF4" w:rsidRDefault="007A337E" w:rsidP="007A337E">
            <w:pPr>
              <w:spacing w:after="0"/>
              <w:rPr>
                <w:rFonts w:ascii="Times New Roman" w:hAnsi="Times New Roman" w:cs="Times New Roman"/>
                <w:sz w:val="20"/>
                <w:szCs w:val="20"/>
              </w:rPr>
            </w:pPr>
            <w:r w:rsidRPr="00922DF4">
              <w:rPr>
                <w:rFonts w:ascii="Times New Roman" w:hAnsi="Times New Roman"/>
                <w:sz w:val="20"/>
              </w:rPr>
              <w:t>6 – BBGID (Bloomberg Global ID)</w:t>
            </w:r>
          </w:p>
          <w:p w14:paraId="57A5926F" w14:textId="77777777" w:rsidR="007A337E" w:rsidRPr="00922DF4" w:rsidRDefault="007A337E" w:rsidP="007A337E">
            <w:pPr>
              <w:spacing w:after="0"/>
              <w:rPr>
                <w:rFonts w:ascii="Times New Roman" w:hAnsi="Times New Roman" w:cs="Times New Roman"/>
                <w:sz w:val="20"/>
                <w:szCs w:val="20"/>
              </w:rPr>
            </w:pPr>
            <w:r w:rsidRPr="00922DF4">
              <w:rPr>
                <w:rFonts w:ascii="Times New Roman" w:hAnsi="Times New Roman"/>
                <w:sz w:val="20"/>
              </w:rPr>
              <w:t>7 – Reuters RIC (Reuters Instrument Code)</w:t>
            </w:r>
          </w:p>
          <w:p w14:paraId="05EF8AAA" w14:textId="77777777" w:rsidR="007A337E" w:rsidRPr="00922DF4" w:rsidRDefault="007A337E" w:rsidP="007A337E">
            <w:pPr>
              <w:spacing w:after="0"/>
              <w:rPr>
                <w:rFonts w:ascii="Times New Roman" w:hAnsi="Times New Roman"/>
              </w:rPr>
            </w:pPr>
            <w:r w:rsidRPr="00922DF4">
              <w:t>8 – FIGI (Financial Instrument Global Identifier)</w:t>
            </w:r>
          </w:p>
          <w:p w14:paraId="51A7432B" w14:textId="77777777" w:rsidR="007A337E" w:rsidRPr="00922DF4" w:rsidRDefault="007A337E" w:rsidP="007A337E">
            <w:pPr>
              <w:spacing w:after="0"/>
              <w:rPr>
                <w:rFonts w:ascii="Times New Roman" w:hAnsi="Times New Roman" w:cs="Times New Roman"/>
                <w:sz w:val="20"/>
                <w:szCs w:val="20"/>
              </w:rPr>
            </w:pPr>
            <w:r w:rsidRPr="00922DF4">
              <w:rPr>
                <w:rFonts w:ascii="Times New Roman" w:hAnsi="Times New Roman"/>
                <w:sz w:val="20"/>
              </w:rPr>
              <w:t>9 – Autre code attribué par un membre de l’Association des agences nationales de codification</w:t>
            </w:r>
          </w:p>
          <w:p w14:paraId="18C8B74B" w14:textId="134EC916" w:rsidR="007A337E" w:rsidRPr="00922DF4" w:rsidRDefault="007A337E" w:rsidP="007A337E">
            <w:pPr>
              <w:spacing w:after="0" w:line="240" w:lineRule="auto"/>
              <w:rPr>
                <w:rFonts w:ascii="Times New Roman" w:eastAsia="Times New Roman" w:hAnsi="Times New Roman" w:cs="Times New Roman"/>
                <w:sz w:val="20"/>
                <w:szCs w:val="20"/>
              </w:rPr>
            </w:pPr>
            <w:r w:rsidRPr="00922DF4">
              <w:rPr>
                <w:rFonts w:ascii="Times New Roman" w:hAnsi="Times New Roman"/>
                <w:sz w:val="20"/>
              </w:rPr>
              <w:t xml:space="preserve">99 – Code attribué par </w:t>
            </w:r>
            <w:r w:rsidR="00B40D25" w:rsidRPr="00922DF4">
              <w:rPr>
                <w:rFonts w:ascii="Times New Roman" w:hAnsi="Times New Roman"/>
                <w:sz w:val="20"/>
              </w:rPr>
              <w:t>l’ORPS</w:t>
            </w:r>
          </w:p>
        </w:tc>
      </w:tr>
      <w:tr w:rsidR="007A337E" w:rsidRPr="00922DF4" w14:paraId="72CDC487" w14:textId="77777777" w:rsidTr="007A337E">
        <w:trPr>
          <w:trHeight w:val="1677"/>
        </w:trPr>
        <w:tc>
          <w:tcPr>
            <w:tcW w:w="791" w:type="dxa"/>
            <w:tcBorders>
              <w:top w:val="nil"/>
              <w:left w:val="single" w:sz="4" w:space="0" w:color="000000"/>
              <w:bottom w:val="nil"/>
              <w:right w:val="single" w:sz="4" w:space="0" w:color="000000"/>
            </w:tcBorders>
            <w:shd w:val="clear" w:color="auto" w:fill="auto"/>
            <w:hideMark/>
          </w:tcPr>
          <w:p w14:paraId="2FCE3721"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C0100</w:t>
            </w:r>
          </w:p>
        </w:tc>
        <w:tc>
          <w:tcPr>
            <w:tcW w:w="3912" w:type="dxa"/>
            <w:tcBorders>
              <w:top w:val="nil"/>
              <w:left w:val="nil"/>
              <w:bottom w:val="nil"/>
              <w:right w:val="single" w:sz="4" w:space="0" w:color="000000"/>
            </w:tcBorders>
            <w:shd w:val="clear" w:color="auto" w:fill="auto"/>
            <w:hideMark/>
          </w:tcPr>
          <w:p w14:paraId="1525B047"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 xml:space="preserve">Type de transaction </w:t>
            </w:r>
          </w:p>
        </w:tc>
        <w:tc>
          <w:tcPr>
            <w:tcW w:w="4544" w:type="dxa"/>
            <w:tcBorders>
              <w:top w:val="single" w:sz="4" w:space="0" w:color="auto"/>
              <w:left w:val="nil"/>
              <w:bottom w:val="nil"/>
              <w:right w:val="single" w:sz="4" w:space="0" w:color="000000"/>
            </w:tcBorders>
            <w:shd w:val="clear" w:color="auto" w:fill="auto"/>
            <w:hideMark/>
          </w:tcPr>
          <w:p w14:paraId="61E84B9D"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Indiquer le type de la transaction. Choisir impérativement l’une des options suivantes:</w:t>
            </w:r>
            <w:r w:rsidRPr="00922DF4">
              <w:rPr>
                <w:rFonts w:ascii="Times New Roman" w:eastAsia="Times New Roman" w:hAnsi="Times New Roman" w:cs="Times New Roman"/>
                <w:color w:val="000000"/>
                <w:sz w:val="20"/>
                <w:szCs w:val="20"/>
              </w:rPr>
              <w:br/>
            </w:r>
            <w:r w:rsidRPr="00922DF4">
              <w:rPr>
                <w:rFonts w:ascii="Times New Roman" w:hAnsi="Times New Roman"/>
                <w:color w:val="000000"/>
                <w:sz w:val="20"/>
              </w:rPr>
              <w:t>1 – Obligations/dette – garanties</w:t>
            </w:r>
          </w:p>
          <w:p w14:paraId="27A9AC3D"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2 – Obligations/dette – non garanties</w:t>
            </w:r>
            <w:r w:rsidRPr="00922DF4">
              <w:rPr>
                <w:rFonts w:ascii="Times New Roman" w:eastAsia="Times New Roman" w:hAnsi="Times New Roman" w:cs="Times New Roman"/>
                <w:color w:val="000000"/>
                <w:sz w:val="20"/>
                <w:szCs w:val="20"/>
              </w:rPr>
              <w:br/>
            </w:r>
            <w:r w:rsidRPr="00922DF4">
              <w:rPr>
                <w:rFonts w:ascii="Times New Roman" w:hAnsi="Times New Roman"/>
                <w:color w:val="000000"/>
                <w:sz w:val="20"/>
              </w:rPr>
              <w:t>3 – Actions et titres assimilés – parts/participations</w:t>
            </w:r>
          </w:p>
          <w:p w14:paraId="334170B6"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4 – Actions et titres assimilés – autres</w:t>
            </w:r>
          </w:p>
          <w:p w14:paraId="708DB3B5"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5 – Autre transfert d’actifs – biens</w:t>
            </w:r>
          </w:p>
          <w:p w14:paraId="07340C6F"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6 – Autre transfert d’actifs – autres</w:t>
            </w:r>
          </w:p>
        </w:tc>
      </w:tr>
      <w:tr w:rsidR="007A337E" w:rsidRPr="00922DF4" w14:paraId="4E8F7266" w14:textId="77777777" w:rsidTr="007A337E">
        <w:trPr>
          <w:trHeight w:val="285"/>
        </w:trPr>
        <w:tc>
          <w:tcPr>
            <w:tcW w:w="791" w:type="dxa"/>
            <w:tcBorders>
              <w:top w:val="single" w:sz="4" w:space="0" w:color="auto"/>
              <w:left w:val="single" w:sz="4" w:space="0" w:color="auto"/>
              <w:bottom w:val="single" w:sz="4" w:space="0" w:color="auto"/>
              <w:right w:val="single" w:sz="4" w:space="0" w:color="auto"/>
            </w:tcBorders>
            <w:shd w:val="clear" w:color="auto" w:fill="auto"/>
            <w:hideMark/>
          </w:tcPr>
          <w:p w14:paraId="5AF976D0"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C0110</w:t>
            </w:r>
          </w:p>
        </w:tc>
        <w:tc>
          <w:tcPr>
            <w:tcW w:w="3912" w:type="dxa"/>
            <w:tcBorders>
              <w:top w:val="single" w:sz="4" w:space="0" w:color="auto"/>
              <w:left w:val="nil"/>
              <w:bottom w:val="single" w:sz="4" w:space="0" w:color="auto"/>
              <w:right w:val="single" w:sz="4" w:space="0" w:color="auto"/>
            </w:tcBorders>
            <w:shd w:val="clear" w:color="auto" w:fill="auto"/>
            <w:hideMark/>
          </w:tcPr>
          <w:p w14:paraId="2F4FE87F"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 xml:space="preserve">Date d’émission de la transaction  </w:t>
            </w:r>
          </w:p>
        </w:tc>
        <w:tc>
          <w:tcPr>
            <w:tcW w:w="4544" w:type="dxa"/>
            <w:tcBorders>
              <w:top w:val="single" w:sz="4" w:space="0" w:color="auto"/>
              <w:left w:val="nil"/>
              <w:bottom w:val="single" w:sz="4" w:space="0" w:color="auto"/>
              <w:right w:val="single" w:sz="4" w:space="0" w:color="auto"/>
            </w:tcBorders>
            <w:shd w:val="clear" w:color="auto" w:fill="auto"/>
            <w:hideMark/>
          </w:tcPr>
          <w:p w14:paraId="27972F4C" w14:textId="77777777" w:rsidR="007A337E" w:rsidRPr="00922DF4" w:rsidRDefault="007A337E" w:rsidP="007A337E">
            <w:pPr>
              <w:spacing w:after="0" w:line="240" w:lineRule="auto"/>
              <w:rPr>
                <w:rFonts w:ascii="Times New Roman" w:hAnsi="Times New Roman" w:cs="Times New Roman"/>
                <w:sz w:val="20"/>
                <w:szCs w:val="20"/>
              </w:rPr>
            </w:pPr>
            <w:r w:rsidRPr="00922DF4">
              <w:rPr>
                <w:rFonts w:ascii="Times New Roman" w:hAnsi="Times New Roman"/>
                <w:sz w:val="20"/>
              </w:rPr>
              <w:t>La dette de la transaction ou de l’émission de la dette ou, si elle est antérieure, la date à laquelle la transaction intragroupe prend effet.</w:t>
            </w:r>
          </w:p>
          <w:p w14:paraId="6DFE444F"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sz w:val="20"/>
              </w:rPr>
              <w:t>La date doit respecter le format ISO 8601 (aaaa-mm-jj).</w:t>
            </w:r>
            <w:r w:rsidRPr="00922DF4">
              <w:rPr>
                <w:rFonts w:ascii="Times New Roman" w:hAnsi="Times New Roman"/>
                <w:color w:val="000000"/>
                <w:sz w:val="20"/>
              </w:rPr>
              <w:t xml:space="preserve"> </w:t>
            </w:r>
          </w:p>
        </w:tc>
      </w:tr>
      <w:tr w:rsidR="007A337E" w:rsidRPr="00922DF4" w14:paraId="05CD76B5" w14:textId="77777777" w:rsidTr="007F1535">
        <w:trPr>
          <w:trHeight w:val="1140"/>
        </w:trPr>
        <w:tc>
          <w:tcPr>
            <w:tcW w:w="791" w:type="dxa"/>
            <w:tcBorders>
              <w:top w:val="nil"/>
              <w:left w:val="single" w:sz="4" w:space="0" w:color="auto"/>
              <w:bottom w:val="single" w:sz="4" w:space="0" w:color="auto"/>
              <w:right w:val="single" w:sz="4" w:space="0" w:color="auto"/>
            </w:tcBorders>
            <w:shd w:val="clear" w:color="auto" w:fill="auto"/>
            <w:hideMark/>
          </w:tcPr>
          <w:p w14:paraId="70249BE0"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C0120</w:t>
            </w:r>
          </w:p>
        </w:tc>
        <w:tc>
          <w:tcPr>
            <w:tcW w:w="3912" w:type="dxa"/>
            <w:tcBorders>
              <w:top w:val="nil"/>
              <w:left w:val="nil"/>
              <w:bottom w:val="single" w:sz="4" w:space="0" w:color="auto"/>
              <w:right w:val="single" w:sz="4" w:space="0" w:color="auto"/>
            </w:tcBorders>
            <w:shd w:val="clear" w:color="auto" w:fill="auto"/>
            <w:hideMark/>
          </w:tcPr>
          <w:p w14:paraId="477CE4FF"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 xml:space="preserve">Date d’échéance de la transaction </w:t>
            </w:r>
          </w:p>
        </w:tc>
        <w:tc>
          <w:tcPr>
            <w:tcW w:w="4544" w:type="dxa"/>
            <w:tcBorders>
              <w:top w:val="nil"/>
              <w:left w:val="nil"/>
              <w:bottom w:val="single" w:sz="4" w:space="0" w:color="auto"/>
              <w:right w:val="single" w:sz="4" w:space="0" w:color="auto"/>
            </w:tcBorders>
            <w:shd w:val="clear" w:color="auto" w:fill="auto"/>
            <w:hideMark/>
          </w:tcPr>
          <w:p w14:paraId="1D69F7F6"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sz w:val="20"/>
              </w:rPr>
              <w:t>La date, au format ISO 8601 (aaaa-mm-jj) à laquelle l’opération arrive à terme ou à maturité, s’il y a lieu.</w:t>
            </w:r>
            <w:r w:rsidRPr="00922DF4">
              <w:rPr>
                <w:rFonts w:ascii="Times New Roman" w:hAnsi="Times New Roman"/>
                <w:color w:val="000000"/>
                <w:sz w:val="20"/>
              </w:rPr>
              <w:t xml:space="preserve">    </w:t>
            </w:r>
          </w:p>
          <w:p w14:paraId="055A4C5F" w14:textId="7FF95F1C" w:rsidR="007A337E" w:rsidRPr="00922DF4" w:rsidRDefault="007A337E" w:rsidP="007F1535">
            <w:pPr>
              <w:pStyle w:val="Paragraphedeliste"/>
              <w:numPr>
                <w:ilvl w:val="0"/>
                <w:numId w:val="6"/>
              </w:numPr>
              <w:jc w:val="left"/>
              <w:rPr>
                <w:color w:val="000000"/>
                <w:sz w:val="20"/>
              </w:rPr>
            </w:pPr>
            <w:r w:rsidRPr="00922DF4">
              <w:rPr>
                <w:color w:val="000000"/>
                <w:sz w:val="20"/>
              </w:rPr>
              <w:t>Lorsqu’aucune date d’échéance ne s’applique à la transaction intragroupe, indiquer «9999-12-</w:t>
            </w:r>
            <w:r w:rsidR="007F1535" w:rsidRPr="00922DF4">
              <w:rPr>
                <w:color w:val="000000"/>
                <w:sz w:val="20"/>
              </w:rPr>
              <w:t>31 »</w:t>
            </w:r>
            <w:r w:rsidRPr="00922DF4">
              <w:rPr>
                <w:color w:val="000000"/>
                <w:sz w:val="20"/>
              </w:rPr>
              <w:t xml:space="preserve">. </w:t>
            </w:r>
          </w:p>
          <w:p w14:paraId="74308E3C" w14:textId="77777777" w:rsidR="007A337E" w:rsidRPr="00922DF4" w:rsidRDefault="007A337E" w:rsidP="007F1535">
            <w:pPr>
              <w:pStyle w:val="Paragraphedeliste"/>
              <w:numPr>
                <w:ilvl w:val="0"/>
                <w:numId w:val="6"/>
              </w:numPr>
              <w:jc w:val="left"/>
              <w:rPr>
                <w:color w:val="000000"/>
                <w:sz w:val="20"/>
              </w:rPr>
            </w:pPr>
            <w:r w:rsidRPr="00922DF4">
              <w:rPr>
                <w:color w:val="000000"/>
                <w:sz w:val="20"/>
              </w:rPr>
              <w:t>Pour les titres à durée indéterminée, utiliser «9999-12-31»</w:t>
            </w:r>
          </w:p>
        </w:tc>
      </w:tr>
      <w:tr w:rsidR="007A337E" w:rsidRPr="00922DF4" w14:paraId="740D316B" w14:textId="77777777" w:rsidTr="007F1535">
        <w:trPr>
          <w:trHeight w:val="675"/>
        </w:trPr>
        <w:tc>
          <w:tcPr>
            <w:tcW w:w="791" w:type="dxa"/>
            <w:tcBorders>
              <w:top w:val="single" w:sz="4" w:space="0" w:color="auto"/>
              <w:left w:val="single" w:sz="4" w:space="0" w:color="auto"/>
              <w:bottom w:val="single" w:sz="4" w:space="0" w:color="auto"/>
              <w:right w:val="single" w:sz="4" w:space="0" w:color="auto"/>
            </w:tcBorders>
            <w:shd w:val="clear" w:color="auto" w:fill="auto"/>
            <w:hideMark/>
          </w:tcPr>
          <w:p w14:paraId="364FA83D"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C0130</w:t>
            </w:r>
          </w:p>
        </w:tc>
        <w:tc>
          <w:tcPr>
            <w:tcW w:w="3912" w:type="dxa"/>
            <w:tcBorders>
              <w:top w:val="single" w:sz="4" w:space="0" w:color="auto"/>
              <w:left w:val="nil"/>
              <w:bottom w:val="single" w:sz="4" w:space="0" w:color="auto"/>
              <w:right w:val="single" w:sz="4" w:space="0" w:color="auto"/>
            </w:tcBorders>
            <w:shd w:val="clear" w:color="auto" w:fill="auto"/>
            <w:hideMark/>
          </w:tcPr>
          <w:p w14:paraId="28F605A0"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 xml:space="preserve">Monnaie de la transaction </w:t>
            </w:r>
          </w:p>
        </w:tc>
        <w:tc>
          <w:tcPr>
            <w:tcW w:w="4544" w:type="dxa"/>
            <w:tcBorders>
              <w:top w:val="single" w:sz="4" w:space="0" w:color="auto"/>
              <w:left w:val="nil"/>
              <w:bottom w:val="single" w:sz="4" w:space="0" w:color="auto"/>
              <w:right w:val="single" w:sz="4" w:space="0" w:color="auto"/>
            </w:tcBorders>
            <w:shd w:val="clear" w:color="auto" w:fill="auto"/>
            <w:hideMark/>
          </w:tcPr>
          <w:p w14:paraId="0142A053"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sz w:val="20"/>
              </w:rPr>
              <w:t>Indiquer le code alphabétique ISO 4217 de la monnaie dans laquelle la transaction a eu lieu.</w:t>
            </w:r>
          </w:p>
        </w:tc>
      </w:tr>
      <w:tr w:rsidR="007A337E" w:rsidRPr="00922DF4" w14:paraId="0BF3FA88" w14:textId="77777777" w:rsidTr="007F1535">
        <w:trPr>
          <w:trHeight w:val="780"/>
        </w:trPr>
        <w:tc>
          <w:tcPr>
            <w:tcW w:w="791" w:type="dxa"/>
            <w:tcBorders>
              <w:top w:val="single" w:sz="4" w:space="0" w:color="auto"/>
              <w:left w:val="single" w:sz="4" w:space="0" w:color="auto"/>
              <w:bottom w:val="single" w:sz="4" w:space="0" w:color="auto"/>
              <w:right w:val="single" w:sz="4" w:space="0" w:color="auto"/>
            </w:tcBorders>
            <w:shd w:val="clear" w:color="auto" w:fill="auto"/>
            <w:hideMark/>
          </w:tcPr>
          <w:p w14:paraId="392DC897"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lastRenderedPageBreak/>
              <w:t>C0140</w:t>
            </w:r>
          </w:p>
        </w:tc>
        <w:tc>
          <w:tcPr>
            <w:tcW w:w="3912" w:type="dxa"/>
            <w:tcBorders>
              <w:top w:val="single" w:sz="4" w:space="0" w:color="auto"/>
              <w:left w:val="nil"/>
              <w:bottom w:val="single" w:sz="4" w:space="0" w:color="auto"/>
              <w:right w:val="single" w:sz="4" w:space="0" w:color="auto"/>
            </w:tcBorders>
            <w:shd w:val="clear" w:color="auto" w:fill="auto"/>
            <w:hideMark/>
          </w:tcPr>
          <w:p w14:paraId="2C750B78"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 xml:space="preserve">Montant contractuel de la transaction/prix de transaction  </w:t>
            </w:r>
          </w:p>
        </w:tc>
        <w:tc>
          <w:tcPr>
            <w:tcW w:w="4544" w:type="dxa"/>
            <w:tcBorders>
              <w:top w:val="single" w:sz="4" w:space="0" w:color="auto"/>
              <w:left w:val="nil"/>
              <w:bottom w:val="single" w:sz="4" w:space="0" w:color="auto"/>
              <w:right w:val="single" w:sz="4" w:space="0" w:color="auto"/>
            </w:tcBorders>
            <w:shd w:val="clear" w:color="auto" w:fill="auto"/>
            <w:hideMark/>
          </w:tcPr>
          <w:p w14:paraId="2145C06E"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 xml:space="preserve">Montant de la transaction ou prix figurant dans l’accord ou le contrat. </w:t>
            </w:r>
          </w:p>
        </w:tc>
      </w:tr>
      <w:tr w:rsidR="007A337E" w:rsidRPr="00922DF4" w14:paraId="02CD5BC0" w14:textId="77777777" w:rsidTr="007A337E">
        <w:trPr>
          <w:trHeight w:val="744"/>
        </w:trPr>
        <w:tc>
          <w:tcPr>
            <w:tcW w:w="791" w:type="dxa"/>
            <w:tcBorders>
              <w:top w:val="nil"/>
              <w:left w:val="single" w:sz="4" w:space="0" w:color="000000"/>
              <w:bottom w:val="nil"/>
              <w:right w:val="single" w:sz="4" w:space="0" w:color="000000"/>
            </w:tcBorders>
            <w:shd w:val="clear" w:color="auto" w:fill="auto"/>
            <w:hideMark/>
          </w:tcPr>
          <w:p w14:paraId="29DEDA39"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C0150</w:t>
            </w:r>
          </w:p>
        </w:tc>
        <w:tc>
          <w:tcPr>
            <w:tcW w:w="3912" w:type="dxa"/>
            <w:tcBorders>
              <w:top w:val="nil"/>
              <w:left w:val="nil"/>
              <w:bottom w:val="nil"/>
              <w:right w:val="single" w:sz="4" w:space="0" w:color="000000"/>
            </w:tcBorders>
            <w:shd w:val="clear" w:color="auto" w:fill="auto"/>
            <w:hideMark/>
          </w:tcPr>
          <w:p w14:paraId="656673A1"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 xml:space="preserve">Valeur des sûretés/du passif </w:t>
            </w:r>
          </w:p>
        </w:tc>
        <w:tc>
          <w:tcPr>
            <w:tcW w:w="4544" w:type="dxa"/>
            <w:tcBorders>
              <w:top w:val="nil"/>
              <w:left w:val="nil"/>
              <w:bottom w:val="nil"/>
              <w:right w:val="single" w:sz="4" w:space="0" w:color="000000"/>
            </w:tcBorders>
            <w:shd w:val="clear" w:color="auto" w:fill="auto"/>
            <w:hideMark/>
          </w:tcPr>
          <w:p w14:paraId="266EC6CD" w14:textId="608DB59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 xml:space="preserve">La valeur des sûretés, pour les dettes adossées à des actifs, ou la valeur de l’actif pour </w:t>
            </w:r>
            <w:r w:rsidR="00F82F5C" w:rsidRPr="00922DF4">
              <w:rPr>
                <w:rFonts w:ascii="Times New Roman" w:hAnsi="Times New Roman"/>
                <w:color w:val="000000"/>
                <w:sz w:val="20"/>
              </w:rPr>
              <w:t>les transactions intragroupes</w:t>
            </w:r>
            <w:r w:rsidRPr="00922DF4">
              <w:rPr>
                <w:rFonts w:ascii="Times New Roman" w:hAnsi="Times New Roman"/>
                <w:color w:val="000000"/>
                <w:sz w:val="20"/>
              </w:rPr>
              <w:t xml:space="preserve"> impliquant le transfert d’actifs. </w:t>
            </w:r>
          </w:p>
        </w:tc>
      </w:tr>
      <w:tr w:rsidR="007A337E" w:rsidRPr="00922DF4" w14:paraId="21B7F129" w14:textId="77777777" w:rsidTr="007A337E">
        <w:trPr>
          <w:trHeight w:val="863"/>
        </w:trPr>
        <w:tc>
          <w:tcPr>
            <w:tcW w:w="791" w:type="dxa"/>
            <w:tcBorders>
              <w:top w:val="single" w:sz="4" w:space="0" w:color="auto"/>
              <w:left w:val="single" w:sz="4" w:space="0" w:color="auto"/>
              <w:bottom w:val="single" w:sz="4" w:space="0" w:color="auto"/>
              <w:right w:val="single" w:sz="4" w:space="0" w:color="auto"/>
            </w:tcBorders>
            <w:shd w:val="clear" w:color="auto" w:fill="auto"/>
            <w:hideMark/>
          </w:tcPr>
          <w:p w14:paraId="1B458DD9"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C0160</w:t>
            </w:r>
          </w:p>
        </w:tc>
        <w:tc>
          <w:tcPr>
            <w:tcW w:w="3912" w:type="dxa"/>
            <w:tcBorders>
              <w:top w:val="single" w:sz="4" w:space="0" w:color="auto"/>
              <w:left w:val="nil"/>
              <w:bottom w:val="single" w:sz="4" w:space="0" w:color="auto"/>
              <w:right w:val="single" w:sz="4" w:space="0" w:color="auto"/>
            </w:tcBorders>
            <w:shd w:val="clear" w:color="auto" w:fill="auto"/>
            <w:hideMark/>
          </w:tcPr>
          <w:p w14:paraId="565F810B"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 xml:space="preserve">Montant des remboursements/prépaiements/restitutions au cours de la période de référence </w:t>
            </w:r>
          </w:p>
        </w:tc>
        <w:tc>
          <w:tcPr>
            <w:tcW w:w="4544" w:type="dxa"/>
            <w:tcBorders>
              <w:top w:val="single" w:sz="4" w:space="0" w:color="auto"/>
              <w:left w:val="nil"/>
              <w:bottom w:val="single" w:sz="4" w:space="0" w:color="auto"/>
              <w:right w:val="single" w:sz="4" w:space="0" w:color="auto"/>
            </w:tcBorders>
            <w:shd w:val="clear" w:color="auto" w:fill="auto"/>
            <w:hideMark/>
          </w:tcPr>
          <w:p w14:paraId="28E67138"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 xml:space="preserve">Montant total de remboursements/prépaiements/restitutions au cours de la période de référence s’il y a lieu. </w:t>
            </w:r>
          </w:p>
          <w:p w14:paraId="2B922C3D"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p>
        </w:tc>
      </w:tr>
      <w:tr w:rsidR="007A337E" w:rsidRPr="00922DF4" w14:paraId="61265581" w14:textId="77777777" w:rsidTr="007A337E">
        <w:trPr>
          <w:trHeight w:val="1140"/>
        </w:trPr>
        <w:tc>
          <w:tcPr>
            <w:tcW w:w="791" w:type="dxa"/>
            <w:tcBorders>
              <w:top w:val="nil"/>
              <w:left w:val="single" w:sz="4" w:space="0" w:color="auto"/>
              <w:bottom w:val="single" w:sz="4" w:space="0" w:color="auto"/>
              <w:right w:val="single" w:sz="4" w:space="0" w:color="auto"/>
            </w:tcBorders>
            <w:shd w:val="clear" w:color="auto" w:fill="auto"/>
            <w:hideMark/>
          </w:tcPr>
          <w:p w14:paraId="28AB72EF"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C0170</w:t>
            </w:r>
          </w:p>
        </w:tc>
        <w:tc>
          <w:tcPr>
            <w:tcW w:w="3912" w:type="dxa"/>
            <w:tcBorders>
              <w:top w:val="nil"/>
              <w:left w:val="nil"/>
              <w:bottom w:val="single" w:sz="4" w:space="0" w:color="auto"/>
              <w:right w:val="single" w:sz="4" w:space="0" w:color="auto"/>
            </w:tcBorders>
            <w:shd w:val="clear" w:color="auto" w:fill="auto"/>
            <w:hideMark/>
          </w:tcPr>
          <w:p w14:paraId="546507C6"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 xml:space="preserve">Montant des dividendes/intérêts/coupons et autres paiements effectués au cours de la période de référence </w:t>
            </w:r>
          </w:p>
        </w:tc>
        <w:tc>
          <w:tcPr>
            <w:tcW w:w="4544" w:type="dxa"/>
            <w:tcBorders>
              <w:top w:val="nil"/>
              <w:left w:val="nil"/>
              <w:bottom w:val="single" w:sz="4" w:space="0" w:color="auto"/>
              <w:right w:val="single" w:sz="4" w:space="0" w:color="auto"/>
            </w:tcBorders>
            <w:shd w:val="clear" w:color="auto" w:fill="auto"/>
            <w:hideMark/>
          </w:tcPr>
          <w:p w14:paraId="42E825AD" w14:textId="3494D829" w:rsidR="007A337E" w:rsidRPr="00922DF4" w:rsidRDefault="007A337E" w:rsidP="007A337E">
            <w:pPr>
              <w:snapToGrid w:val="0"/>
              <w:spacing w:after="0" w:line="240" w:lineRule="auto"/>
              <w:rPr>
                <w:rFonts w:ascii="Times New Roman" w:hAnsi="Times New Roman" w:cs="Times New Roman"/>
                <w:sz w:val="20"/>
                <w:szCs w:val="20"/>
              </w:rPr>
            </w:pPr>
            <w:r w:rsidRPr="00922DF4">
              <w:rPr>
                <w:rFonts w:ascii="Times New Roman" w:hAnsi="Times New Roman"/>
                <w:sz w:val="20"/>
              </w:rPr>
              <w:t xml:space="preserve">Indiquer dans cette cellule tous les paiements réalisés en lien avec </w:t>
            </w:r>
            <w:r w:rsidR="00F82F5C" w:rsidRPr="00922DF4">
              <w:rPr>
                <w:rFonts w:ascii="Times New Roman" w:hAnsi="Times New Roman"/>
                <w:sz w:val="20"/>
              </w:rPr>
              <w:t>des transactions intragroupes</w:t>
            </w:r>
            <w:r w:rsidRPr="00922DF4">
              <w:rPr>
                <w:rFonts w:ascii="Times New Roman" w:hAnsi="Times New Roman"/>
                <w:sz w:val="20"/>
              </w:rPr>
              <w:t xml:space="preserve"> enregistrées dans le présent modèle pour la période de référence (12 mois précédant la date de déclaration). </w:t>
            </w:r>
          </w:p>
          <w:p w14:paraId="5EFA2328" w14:textId="77777777" w:rsidR="007A337E" w:rsidRPr="00922DF4" w:rsidRDefault="007A337E" w:rsidP="007A337E">
            <w:pPr>
              <w:snapToGrid w:val="0"/>
              <w:spacing w:after="0" w:line="240" w:lineRule="auto"/>
              <w:rPr>
                <w:rFonts w:ascii="Times New Roman" w:hAnsi="Times New Roman" w:cs="Times New Roman"/>
                <w:sz w:val="20"/>
                <w:szCs w:val="20"/>
              </w:rPr>
            </w:pPr>
          </w:p>
          <w:p w14:paraId="3D23900C" w14:textId="77777777" w:rsidR="007A337E" w:rsidRPr="00922DF4" w:rsidRDefault="007A337E" w:rsidP="007A337E">
            <w:pPr>
              <w:snapToGrid w:val="0"/>
              <w:spacing w:after="0" w:line="240" w:lineRule="auto"/>
              <w:rPr>
                <w:rFonts w:ascii="Times New Roman" w:hAnsi="Times New Roman" w:cs="Times New Roman"/>
                <w:sz w:val="20"/>
                <w:szCs w:val="20"/>
              </w:rPr>
            </w:pPr>
            <w:r w:rsidRPr="00922DF4">
              <w:rPr>
                <w:rFonts w:ascii="Times New Roman" w:hAnsi="Times New Roman"/>
                <w:sz w:val="20"/>
              </w:rPr>
              <w:t xml:space="preserve">Il s’agit notamment, mais pas exclusivement: </w:t>
            </w:r>
          </w:p>
          <w:p w14:paraId="1859E006" w14:textId="77777777" w:rsidR="007A337E" w:rsidRPr="00922DF4" w:rsidRDefault="007A337E" w:rsidP="007115AB">
            <w:pPr>
              <w:numPr>
                <w:ilvl w:val="0"/>
                <w:numId w:val="2"/>
              </w:numPr>
              <w:suppressAutoHyphens/>
              <w:snapToGrid w:val="0"/>
              <w:spacing w:after="0" w:line="240" w:lineRule="auto"/>
              <w:rPr>
                <w:rFonts w:ascii="Times New Roman" w:hAnsi="Times New Roman" w:cs="Times New Roman"/>
                <w:sz w:val="20"/>
                <w:szCs w:val="20"/>
              </w:rPr>
            </w:pPr>
            <w:r w:rsidRPr="00922DF4">
              <w:rPr>
                <w:rFonts w:ascii="Times New Roman" w:hAnsi="Times New Roman"/>
                <w:sz w:val="20"/>
              </w:rPr>
              <w:t>des dividendes pour l’année en cours, y compris les dividendes versés et ceux déclarés mais non encore payés;</w:t>
            </w:r>
          </w:p>
          <w:p w14:paraId="4AF3FA7B" w14:textId="77777777" w:rsidR="007A337E" w:rsidRPr="00922DF4" w:rsidRDefault="007A337E" w:rsidP="007115AB">
            <w:pPr>
              <w:numPr>
                <w:ilvl w:val="0"/>
                <w:numId w:val="2"/>
              </w:numPr>
              <w:suppressAutoHyphens/>
              <w:snapToGrid w:val="0"/>
              <w:spacing w:after="0" w:line="240" w:lineRule="auto"/>
              <w:rPr>
                <w:rFonts w:ascii="Times New Roman" w:hAnsi="Times New Roman" w:cs="Times New Roman"/>
                <w:sz w:val="20"/>
                <w:szCs w:val="20"/>
              </w:rPr>
            </w:pPr>
            <w:r w:rsidRPr="00922DF4">
              <w:rPr>
                <w:rFonts w:ascii="Times New Roman" w:hAnsi="Times New Roman"/>
                <w:sz w:val="20"/>
              </w:rPr>
              <w:t>de tout dividende reporté des années précédentes et versé pendant l’année en cours (autrement dit, tout dividende reporté ayant eu une incidence sur le compte de résultat de la période de référence).</w:t>
            </w:r>
          </w:p>
          <w:p w14:paraId="0CDD1249" w14:textId="77777777" w:rsidR="007A337E" w:rsidRPr="00922DF4" w:rsidRDefault="007A337E" w:rsidP="007115AB">
            <w:pPr>
              <w:numPr>
                <w:ilvl w:val="0"/>
                <w:numId w:val="2"/>
              </w:numPr>
              <w:suppressAutoHyphens/>
              <w:snapToGrid w:val="0"/>
              <w:spacing w:after="0" w:line="240" w:lineRule="auto"/>
              <w:rPr>
                <w:rFonts w:ascii="Times New Roman" w:hAnsi="Times New Roman" w:cs="Times New Roman"/>
                <w:sz w:val="20"/>
                <w:szCs w:val="20"/>
              </w:rPr>
            </w:pPr>
            <w:r w:rsidRPr="00922DF4">
              <w:rPr>
                <w:rFonts w:ascii="Times New Roman" w:hAnsi="Times New Roman"/>
                <w:sz w:val="20"/>
              </w:rPr>
              <w:t>des paiements d’intérêts effectués en rapport avec des titres de créance;</w:t>
            </w:r>
          </w:p>
          <w:p w14:paraId="18132695" w14:textId="23F4E2C8" w:rsidR="007A337E" w:rsidRPr="00922DF4" w:rsidRDefault="007A337E" w:rsidP="007115AB">
            <w:pPr>
              <w:numPr>
                <w:ilvl w:val="0"/>
                <w:numId w:val="2"/>
              </w:numPr>
              <w:suppressAutoHyphens/>
              <w:snapToGrid w:val="0"/>
              <w:spacing w:after="0" w:line="240" w:lineRule="auto"/>
              <w:rPr>
                <w:rFonts w:ascii="Times New Roman" w:hAnsi="Times New Roman" w:cs="Times New Roman"/>
                <w:sz w:val="20"/>
                <w:szCs w:val="20"/>
              </w:rPr>
            </w:pPr>
            <w:r w:rsidRPr="00922DF4">
              <w:rPr>
                <w:rFonts w:ascii="Times New Roman" w:hAnsi="Times New Roman"/>
                <w:sz w:val="20"/>
              </w:rPr>
              <w:t xml:space="preserve">de tout autre paiement effectué en rapport avec </w:t>
            </w:r>
            <w:r w:rsidR="00F82F5C" w:rsidRPr="00922DF4">
              <w:rPr>
                <w:rFonts w:ascii="Times New Roman" w:hAnsi="Times New Roman"/>
                <w:sz w:val="20"/>
              </w:rPr>
              <w:t>les transactions intragroupes</w:t>
            </w:r>
            <w:r w:rsidRPr="00922DF4">
              <w:rPr>
                <w:rFonts w:ascii="Times New Roman" w:hAnsi="Times New Roman"/>
                <w:sz w:val="20"/>
              </w:rPr>
              <w:t xml:space="preserve"> déclaré dans le présent modèle, par exemple.  </w:t>
            </w:r>
          </w:p>
          <w:p w14:paraId="31BBCE1D"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p>
          <w:p w14:paraId="0CDEF9EB"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 xml:space="preserve">Le montant total des compléments le cas échéant, autrement dit les montants totaux investis au cours de la période de référence tels que les paiements additionnels pour des actions partiellement réglées ou une augmentation du montant prêté au cours de la période. </w:t>
            </w:r>
          </w:p>
        </w:tc>
      </w:tr>
      <w:tr w:rsidR="007A337E" w:rsidRPr="00922DF4" w14:paraId="0E24C4F1" w14:textId="77777777" w:rsidTr="007A337E">
        <w:trPr>
          <w:trHeight w:val="766"/>
        </w:trPr>
        <w:tc>
          <w:tcPr>
            <w:tcW w:w="791" w:type="dxa"/>
            <w:tcBorders>
              <w:top w:val="nil"/>
              <w:left w:val="single" w:sz="4" w:space="0" w:color="auto"/>
              <w:bottom w:val="single" w:sz="4" w:space="0" w:color="auto"/>
              <w:right w:val="single" w:sz="4" w:space="0" w:color="auto"/>
            </w:tcBorders>
            <w:shd w:val="clear" w:color="auto" w:fill="auto"/>
            <w:hideMark/>
          </w:tcPr>
          <w:p w14:paraId="16AB2B5B"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 xml:space="preserve">C0180 </w:t>
            </w:r>
          </w:p>
        </w:tc>
        <w:tc>
          <w:tcPr>
            <w:tcW w:w="3912" w:type="dxa"/>
            <w:tcBorders>
              <w:top w:val="nil"/>
              <w:left w:val="nil"/>
              <w:bottom w:val="single" w:sz="4" w:space="0" w:color="auto"/>
              <w:right w:val="single" w:sz="4" w:space="0" w:color="auto"/>
            </w:tcBorders>
            <w:shd w:val="clear" w:color="auto" w:fill="auto"/>
            <w:hideMark/>
          </w:tcPr>
          <w:p w14:paraId="3FAAEE57"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 xml:space="preserve">Solde du montant contractuel de la transaction à la date de déclaration </w:t>
            </w:r>
          </w:p>
        </w:tc>
        <w:tc>
          <w:tcPr>
            <w:tcW w:w="4544" w:type="dxa"/>
            <w:tcBorders>
              <w:top w:val="nil"/>
              <w:left w:val="nil"/>
              <w:bottom w:val="single" w:sz="4" w:space="0" w:color="auto"/>
              <w:right w:val="single" w:sz="4" w:space="0" w:color="auto"/>
            </w:tcBorders>
            <w:shd w:val="clear" w:color="auto" w:fill="auto"/>
            <w:hideMark/>
          </w:tcPr>
          <w:p w14:paraId="1B8666DC"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 xml:space="preserve">Solde de la transaction à la date de déclaration s’il y a lieu, par exemple pour les émissions de dette. En cas de règlement ou de remboursement anticipé intégral, ce montant sera égal à zéro. </w:t>
            </w:r>
          </w:p>
        </w:tc>
      </w:tr>
      <w:tr w:rsidR="007A337E" w:rsidRPr="00922DF4" w14:paraId="5F6943CC" w14:textId="77777777" w:rsidTr="007A337E">
        <w:trPr>
          <w:trHeight w:val="706"/>
        </w:trPr>
        <w:tc>
          <w:tcPr>
            <w:tcW w:w="791" w:type="dxa"/>
            <w:tcBorders>
              <w:top w:val="nil"/>
              <w:left w:val="single" w:sz="4" w:space="0" w:color="auto"/>
              <w:bottom w:val="single" w:sz="4" w:space="0" w:color="auto"/>
              <w:right w:val="single" w:sz="4" w:space="0" w:color="auto"/>
            </w:tcBorders>
            <w:shd w:val="clear" w:color="auto" w:fill="auto"/>
            <w:hideMark/>
          </w:tcPr>
          <w:p w14:paraId="33A3FBD0"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C0190</w:t>
            </w:r>
          </w:p>
        </w:tc>
        <w:tc>
          <w:tcPr>
            <w:tcW w:w="3912" w:type="dxa"/>
            <w:tcBorders>
              <w:top w:val="nil"/>
              <w:left w:val="nil"/>
              <w:bottom w:val="single" w:sz="4" w:space="0" w:color="auto"/>
              <w:right w:val="single" w:sz="4" w:space="0" w:color="auto"/>
            </w:tcBorders>
            <w:shd w:val="clear" w:color="auto" w:fill="auto"/>
            <w:hideMark/>
          </w:tcPr>
          <w:p w14:paraId="35001F1F"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 xml:space="preserve">Taux du coupon/taux d’intérêt </w:t>
            </w:r>
          </w:p>
        </w:tc>
        <w:tc>
          <w:tcPr>
            <w:tcW w:w="4544" w:type="dxa"/>
            <w:tcBorders>
              <w:top w:val="nil"/>
              <w:left w:val="nil"/>
              <w:bottom w:val="single" w:sz="4" w:space="0" w:color="auto"/>
              <w:right w:val="single" w:sz="4" w:space="0" w:color="auto"/>
            </w:tcBorders>
            <w:shd w:val="clear" w:color="auto" w:fill="auto"/>
            <w:hideMark/>
          </w:tcPr>
          <w:p w14:paraId="3159D5C3" w14:textId="77777777" w:rsidR="007A337E" w:rsidRPr="00922DF4" w:rsidRDefault="007A337E" w:rsidP="007A337E">
            <w:pPr>
              <w:spacing w:after="0" w:line="240" w:lineRule="auto"/>
              <w:rPr>
                <w:rFonts w:ascii="Times New Roman" w:hAnsi="Times New Roman"/>
                <w:color w:val="000000"/>
                <w:sz w:val="20"/>
              </w:rPr>
            </w:pPr>
            <w:r w:rsidRPr="00922DF4">
              <w:rPr>
                <w:rFonts w:ascii="Times New Roman" w:hAnsi="Times New Roman"/>
                <w:color w:val="000000"/>
                <w:sz w:val="20"/>
              </w:rPr>
              <w:t>Le taux du coupon ou le taux d’intérêt, en pourcentage, le cas échéant. Pour les taux d’intérêt variables, inclure le taux de référence et le taux d’intérêt supérieur.</w:t>
            </w:r>
          </w:p>
          <w:p w14:paraId="60B6C9D1" w14:textId="314155C9" w:rsidR="00A22022" w:rsidRPr="00922DF4" w:rsidRDefault="00A22022" w:rsidP="007A337E">
            <w:pPr>
              <w:spacing w:after="0" w:line="240" w:lineRule="auto"/>
              <w:rPr>
                <w:rFonts w:ascii="Times New Roman" w:eastAsia="Times New Roman" w:hAnsi="Times New Roman" w:cs="Times New Roman"/>
                <w:color w:val="000000"/>
                <w:sz w:val="20"/>
                <w:szCs w:val="20"/>
              </w:rPr>
            </w:pPr>
            <w:r w:rsidRPr="00922DF4">
              <w:rPr>
                <w:rFonts w:ascii="Times New Roman" w:eastAsia="Times New Roman" w:hAnsi="Times New Roman" w:cs="Times New Roman"/>
                <w:color w:val="000000"/>
                <w:sz w:val="20"/>
                <w:szCs w:val="20"/>
              </w:rPr>
              <w:t>Si nécessaire, cet élément peut être déclaré comme une chaîne pour refléter la façon dont le Taux d'intérêt est calculé</w:t>
            </w:r>
            <w:bookmarkStart w:id="0" w:name="_GoBack"/>
            <w:bookmarkEnd w:id="0"/>
          </w:p>
        </w:tc>
      </w:tr>
    </w:tbl>
    <w:p w14:paraId="645AC006" w14:textId="7D8B7E58" w:rsidR="007A337E" w:rsidRPr="00922DF4" w:rsidRDefault="007A337E" w:rsidP="007A337E">
      <w:pPr>
        <w:rPr>
          <w:rFonts w:ascii="Times New Roman" w:hAnsi="Times New Roman"/>
          <w:b/>
          <w:sz w:val="20"/>
        </w:rPr>
      </w:pPr>
    </w:p>
    <w:p w14:paraId="1C54D566" w14:textId="77777777" w:rsidR="007A337E" w:rsidRPr="00922DF4" w:rsidRDefault="007A337E" w:rsidP="007A337E">
      <w:pPr>
        <w:rPr>
          <w:rFonts w:ascii="Times New Roman" w:hAnsi="Times New Roman"/>
          <w:b/>
          <w:sz w:val="20"/>
        </w:rPr>
      </w:pPr>
      <w:r w:rsidRPr="00922DF4">
        <w:rPr>
          <w:rFonts w:ascii="Times New Roman" w:hAnsi="Times New Roman"/>
          <w:b/>
          <w:sz w:val="20"/>
        </w:rPr>
        <w:br w:type="column"/>
      </w:r>
    </w:p>
    <w:p w14:paraId="46D341F7" w14:textId="07F858CF" w:rsidR="007A337E" w:rsidRPr="00922DF4" w:rsidRDefault="00524DAC" w:rsidP="00524DAC">
      <w:pPr>
        <w:rPr>
          <w:b/>
          <w:bCs/>
        </w:rPr>
      </w:pPr>
      <w:r w:rsidRPr="00922DF4">
        <w:rPr>
          <w:b/>
        </w:rPr>
        <w:t xml:space="preserve"> 3. </w:t>
      </w:r>
      <w:r w:rsidR="007A337E" w:rsidRPr="00922DF4">
        <w:rPr>
          <w:b/>
        </w:rPr>
        <w:t>Tableau</w:t>
      </w:r>
      <w:r w:rsidR="00802BBF" w:rsidRPr="00922DF4">
        <w:rPr>
          <w:b/>
        </w:rPr>
        <w:t xml:space="preserve"> de l’état</w:t>
      </w:r>
    </w:p>
    <w:p w14:paraId="6B3FA9BA" w14:textId="77777777" w:rsidR="0085062E" w:rsidRPr="00922DF4" w:rsidRDefault="0085062E" w:rsidP="003C4153">
      <w:pPr>
        <w:spacing w:after="100" w:afterAutospacing="1"/>
        <w:rPr>
          <w:rFonts w:ascii="Times New Roman" w:hAnsi="Times New Roman"/>
          <w:b/>
          <w:sz w:val="20"/>
        </w:rPr>
      </w:pPr>
      <w:r w:rsidRPr="00922DF4">
        <w:rPr>
          <w:rFonts w:ascii="Times New Roman" w:hAnsi="Times New Roman"/>
          <w:b/>
          <w:noProof/>
          <w:sz w:val="20"/>
          <w:lang w:bidi="ar-SA"/>
        </w:rPr>
        <w:drawing>
          <wp:inline distT="0" distB="0" distL="0" distR="0" wp14:anchorId="0570A37F" wp14:editId="2CF8EE29">
            <wp:extent cx="6124575" cy="2437345"/>
            <wp:effectExtent l="0" t="0" r="0" b="127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144262" cy="2445180"/>
                    </a:xfrm>
                    <a:prstGeom prst="rect">
                      <a:avLst/>
                    </a:prstGeom>
                  </pic:spPr>
                </pic:pic>
              </a:graphicData>
            </a:graphic>
          </wp:inline>
        </w:drawing>
      </w:r>
    </w:p>
    <w:p w14:paraId="08859AFF" w14:textId="64D5703C" w:rsidR="007A337E" w:rsidRPr="00922DF4" w:rsidRDefault="007A337E" w:rsidP="003C4153">
      <w:pPr>
        <w:spacing w:after="100" w:afterAutospacing="1"/>
        <w:rPr>
          <w:rFonts w:ascii="Times New Roman" w:hAnsi="Times New Roman"/>
          <w:b/>
          <w:sz w:val="20"/>
        </w:rPr>
      </w:pPr>
      <w:r w:rsidRPr="00922DF4">
        <w:rPr>
          <w:rFonts w:ascii="Times New Roman" w:hAnsi="Times New Roman"/>
          <w:b/>
          <w:sz w:val="20"/>
        </w:rPr>
        <w:br w:type="page"/>
      </w:r>
    </w:p>
    <w:p w14:paraId="0897E2EF" w14:textId="78CAE2F4" w:rsidR="007A337E" w:rsidRPr="00922DF4" w:rsidRDefault="007A337E" w:rsidP="007A337E">
      <w:pPr>
        <w:rPr>
          <w:rFonts w:ascii="Times New Roman" w:eastAsia="Times New Roman" w:hAnsi="Times New Roman" w:cs="Times New Roman"/>
          <w:b/>
          <w:bCs/>
          <w:sz w:val="20"/>
          <w:szCs w:val="20"/>
        </w:rPr>
      </w:pPr>
      <w:r w:rsidRPr="00922DF4">
        <w:rPr>
          <w:rFonts w:ascii="Times New Roman" w:hAnsi="Times New Roman"/>
          <w:b/>
          <w:sz w:val="20"/>
        </w:rPr>
        <w:lastRenderedPageBreak/>
        <w:t>RP.36.02.01 – Transactions intragroupe – Produits dérivés</w:t>
      </w:r>
    </w:p>
    <w:p w14:paraId="55936C9E" w14:textId="31B2AC06" w:rsidR="007A337E" w:rsidRPr="00922DF4" w:rsidRDefault="007A337E" w:rsidP="007115AB">
      <w:pPr>
        <w:pStyle w:val="Paragraphedeliste"/>
        <w:numPr>
          <w:ilvl w:val="0"/>
          <w:numId w:val="7"/>
        </w:numPr>
        <w:rPr>
          <w:b/>
          <w:bCs/>
        </w:rPr>
      </w:pPr>
      <w:r w:rsidRPr="00922DF4">
        <w:rPr>
          <w:b/>
        </w:rPr>
        <w:t>Observations</w:t>
      </w:r>
    </w:p>
    <w:p w14:paraId="7B129F7A" w14:textId="241DC41C" w:rsidR="00F46999" w:rsidRPr="00922DF4" w:rsidRDefault="00F46999" w:rsidP="00F46999">
      <w:pPr>
        <w:jc w:val="both"/>
        <w:rPr>
          <w:rFonts w:ascii="Times New Roman" w:hAnsi="Times New Roman"/>
          <w:sz w:val="20"/>
        </w:rPr>
      </w:pPr>
      <w:r w:rsidRPr="00922DF4">
        <w:rPr>
          <w:rFonts w:ascii="Times New Roman" w:hAnsi="Times New Roman"/>
          <w:sz w:val="20"/>
        </w:rPr>
        <w:t xml:space="preserve">Ce modèle vise à recueillir des informations sur toutes </w:t>
      </w:r>
      <w:r w:rsidR="00F82F5C" w:rsidRPr="00922DF4">
        <w:rPr>
          <w:rFonts w:ascii="Times New Roman" w:hAnsi="Times New Roman"/>
          <w:sz w:val="20"/>
        </w:rPr>
        <w:t>les transactions intragroupes</w:t>
      </w:r>
      <w:r w:rsidRPr="00922DF4">
        <w:rPr>
          <w:rFonts w:ascii="Times New Roman" w:hAnsi="Times New Roman"/>
          <w:sz w:val="20"/>
        </w:rPr>
        <w:t xml:space="preserve"> concernant les produits dérivés au sein d’un groupe tel que défini au 5° de l’article L.356-1 du code des assurances.</w:t>
      </w:r>
    </w:p>
    <w:p w14:paraId="4B964600" w14:textId="5BC770BA" w:rsidR="007A337E" w:rsidRPr="00922DF4" w:rsidRDefault="007A337E" w:rsidP="00F46999">
      <w:pPr>
        <w:tabs>
          <w:tab w:val="left" w:pos="459"/>
        </w:tabs>
        <w:suppressAutoHyphens/>
        <w:snapToGrid w:val="0"/>
        <w:spacing w:after="0" w:line="240" w:lineRule="auto"/>
        <w:rPr>
          <w:rFonts w:ascii="Times New Roman" w:hAnsi="Times New Roman" w:cs="Times New Roman"/>
          <w:color w:val="000000"/>
          <w:sz w:val="20"/>
          <w:szCs w:val="20"/>
        </w:rPr>
      </w:pPr>
    </w:p>
    <w:p w14:paraId="5D24DD4F" w14:textId="117962AB" w:rsidR="007A337E" w:rsidRPr="00922DF4" w:rsidRDefault="007A337E" w:rsidP="007115AB">
      <w:pPr>
        <w:pStyle w:val="Paragraphedeliste"/>
        <w:numPr>
          <w:ilvl w:val="0"/>
          <w:numId w:val="7"/>
        </w:numPr>
        <w:rPr>
          <w:b/>
          <w:bCs/>
        </w:rPr>
      </w:pPr>
      <w:r w:rsidRPr="00922DF4">
        <w:rPr>
          <w:b/>
        </w:rPr>
        <w:t>Utilisation de l’état</w:t>
      </w:r>
    </w:p>
    <w:p w14:paraId="325760AF" w14:textId="77777777" w:rsidR="007A337E" w:rsidRPr="00922DF4" w:rsidRDefault="007A337E" w:rsidP="007A337E">
      <w:pPr>
        <w:jc w:val="both"/>
        <w:rPr>
          <w:rFonts w:ascii="Times New Roman" w:hAnsi="Times New Roman"/>
          <w:sz w:val="20"/>
        </w:rPr>
      </w:pPr>
    </w:p>
    <w:tbl>
      <w:tblPr>
        <w:tblW w:w="9224" w:type="dxa"/>
        <w:tblInd w:w="98" w:type="dxa"/>
        <w:tblLook w:val="04A0" w:firstRow="1" w:lastRow="0" w:firstColumn="1" w:lastColumn="0" w:noHBand="0" w:noVBand="1"/>
      </w:tblPr>
      <w:tblGrid>
        <w:gridCol w:w="10"/>
        <w:gridCol w:w="841"/>
        <w:gridCol w:w="2136"/>
        <w:gridCol w:w="6237"/>
      </w:tblGrid>
      <w:tr w:rsidR="007A337E" w:rsidRPr="00922DF4" w14:paraId="448D3BA9" w14:textId="77777777" w:rsidTr="007A337E">
        <w:trPr>
          <w:trHeight w:val="261"/>
        </w:trPr>
        <w:tc>
          <w:tcPr>
            <w:tcW w:w="851" w:type="dxa"/>
            <w:gridSpan w:val="2"/>
            <w:tcBorders>
              <w:top w:val="single" w:sz="4" w:space="0" w:color="auto"/>
              <w:left w:val="single" w:sz="4" w:space="0" w:color="auto"/>
              <w:bottom w:val="single" w:sz="4" w:space="0" w:color="auto"/>
              <w:right w:val="single" w:sz="4" w:space="0" w:color="auto"/>
            </w:tcBorders>
            <w:shd w:val="clear" w:color="auto" w:fill="auto"/>
            <w:hideMark/>
          </w:tcPr>
          <w:p w14:paraId="407AD489" w14:textId="77777777" w:rsidR="007A337E" w:rsidRPr="00922DF4" w:rsidRDefault="007A337E" w:rsidP="007A337E">
            <w:pPr>
              <w:spacing w:after="0" w:line="240" w:lineRule="auto"/>
              <w:jc w:val="center"/>
              <w:rPr>
                <w:rFonts w:ascii="Times New Roman" w:eastAsia="Times New Roman" w:hAnsi="Times New Roman" w:cs="Times New Roman"/>
                <w:b/>
                <w:color w:val="000000"/>
                <w:sz w:val="20"/>
                <w:szCs w:val="20"/>
              </w:rPr>
            </w:pPr>
          </w:p>
        </w:tc>
        <w:tc>
          <w:tcPr>
            <w:tcW w:w="2136" w:type="dxa"/>
            <w:tcBorders>
              <w:top w:val="single" w:sz="4" w:space="0" w:color="auto"/>
              <w:left w:val="nil"/>
              <w:bottom w:val="single" w:sz="4" w:space="0" w:color="auto"/>
              <w:right w:val="single" w:sz="4" w:space="0" w:color="auto"/>
            </w:tcBorders>
            <w:shd w:val="clear" w:color="auto" w:fill="auto"/>
            <w:hideMark/>
          </w:tcPr>
          <w:p w14:paraId="4338726C" w14:textId="77777777" w:rsidR="007A337E" w:rsidRPr="00922DF4" w:rsidRDefault="007A337E" w:rsidP="007A337E">
            <w:pPr>
              <w:spacing w:after="0" w:line="240" w:lineRule="auto"/>
              <w:jc w:val="center"/>
              <w:rPr>
                <w:rFonts w:ascii="Times New Roman" w:eastAsia="Times New Roman" w:hAnsi="Times New Roman" w:cs="Times New Roman"/>
                <w:b/>
                <w:color w:val="000000"/>
                <w:sz w:val="20"/>
                <w:szCs w:val="20"/>
              </w:rPr>
            </w:pPr>
            <w:r w:rsidRPr="00922DF4">
              <w:rPr>
                <w:rFonts w:ascii="Times New Roman" w:hAnsi="Times New Roman"/>
                <w:b/>
                <w:color w:val="000000"/>
                <w:sz w:val="20"/>
              </w:rPr>
              <w:t>ÉLÉMENT À DÉCLARER</w:t>
            </w:r>
          </w:p>
        </w:tc>
        <w:tc>
          <w:tcPr>
            <w:tcW w:w="6237" w:type="dxa"/>
            <w:tcBorders>
              <w:top w:val="single" w:sz="4" w:space="0" w:color="auto"/>
              <w:left w:val="nil"/>
              <w:bottom w:val="single" w:sz="4" w:space="0" w:color="auto"/>
              <w:right w:val="single" w:sz="4" w:space="0" w:color="auto"/>
            </w:tcBorders>
            <w:shd w:val="clear" w:color="auto" w:fill="auto"/>
            <w:hideMark/>
          </w:tcPr>
          <w:p w14:paraId="678A6D3A" w14:textId="77777777" w:rsidR="007A337E" w:rsidRPr="00922DF4" w:rsidRDefault="007A337E" w:rsidP="007A337E">
            <w:pPr>
              <w:spacing w:after="0" w:line="240" w:lineRule="auto"/>
              <w:jc w:val="center"/>
              <w:rPr>
                <w:rFonts w:ascii="Times New Roman" w:eastAsia="Times New Roman" w:hAnsi="Times New Roman" w:cs="Times New Roman"/>
                <w:b/>
                <w:color w:val="000000"/>
                <w:sz w:val="20"/>
                <w:szCs w:val="20"/>
              </w:rPr>
            </w:pPr>
            <w:r w:rsidRPr="00922DF4">
              <w:rPr>
                <w:rFonts w:ascii="Times New Roman" w:hAnsi="Times New Roman"/>
                <w:b/>
                <w:color w:val="000000"/>
                <w:sz w:val="20"/>
              </w:rPr>
              <w:t>INSTRUCTIONS</w:t>
            </w:r>
          </w:p>
        </w:tc>
      </w:tr>
      <w:tr w:rsidR="007A337E" w:rsidRPr="00922DF4" w14:paraId="5FD1CEA2" w14:textId="77777777" w:rsidTr="007A337E">
        <w:trPr>
          <w:trHeight w:val="570"/>
        </w:trPr>
        <w:tc>
          <w:tcPr>
            <w:tcW w:w="851" w:type="dxa"/>
            <w:gridSpan w:val="2"/>
            <w:tcBorders>
              <w:top w:val="single" w:sz="4" w:space="0" w:color="auto"/>
              <w:left w:val="single" w:sz="4" w:space="0" w:color="auto"/>
              <w:bottom w:val="single" w:sz="4" w:space="0" w:color="auto"/>
              <w:right w:val="single" w:sz="4" w:space="0" w:color="auto"/>
            </w:tcBorders>
            <w:shd w:val="clear" w:color="auto" w:fill="auto"/>
            <w:hideMark/>
          </w:tcPr>
          <w:p w14:paraId="7936AA51"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 xml:space="preserve">C0010 </w:t>
            </w:r>
          </w:p>
        </w:tc>
        <w:tc>
          <w:tcPr>
            <w:tcW w:w="2136" w:type="dxa"/>
            <w:tcBorders>
              <w:top w:val="single" w:sz="4" w:space="0" w:color="auto"/>
              <w:left w:val="nil"/>
              <w:bottom w:val="single" w:sz="4" w:space="0" w:color="auto"/>
              <w:right w:val="single" w:sz="4" w:space="0" w:color="auto"/>
            </w:tcBorders>
            <w:shd w:val="clear" w:color="auto" w:fill="auto"/>
            <w:hideMark/>
          </w:tcPr>
          <w:p w14:paraId="4130E328"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Identifiant de la transaction intragroupe</w:t>
            </w:r>
          </w:p>
        </w:tc>
        <w:tc>
          <w:tcPr>
            <w:tcW w:w="6237" w:type="dxa"/>
            <w:tcBorders>
              <w:top w:val="single" w:sz="4" w:space="0" w:color="auto"/>
              <w:left w:val="nil"/>
              <w:bottom w:val="single" w:sz="4" w:space="0" w:color="auto"/>
              <w:right w:val="single" w:sz="4" w:space="0" w:color="auto"/>
            </w:tcBorders>
            <w:shd w:val="clear" w:color="auto" w:fill="auto"/>
            <w:hideMark/>
          </w:tcPr>
          <w:p w14:paraId="0B874795"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Code d’identification interne unique pour chaque transaction intragroupe. Doit rester constant dans le temps.</w:t>
            </w:r>
          </w:p>
        </w:tc>
      </w:tr>
      <w:tr w:rsidR="007A337E" w:rsidRPr="00922DF4" w14:paraId="0FF105B0" w14:textId="77777777" w:rsidTr="007A337E">
        <w:trPr>
          <w:trHeight w:val="855"/>
        </w:trPr>
        <w:tc>
          <w:tcPr>
            <w:tcW w:w="851" w:type="dxa"/>
            <w:gridSpan w:val="2"/>
            <w:tcBorders>
              <w:top w:val="nil"/>
              <w:left w:val="single" w:sz="4" w:space="0" w:color="auto"/>
              <w:bottom w:val="single" w:sz="4" w:space="0" w:color="auto"/>
              <w:right w:val="single" w:sz="4" w:space="0" w:color="auto"/>
            </w:tcBorders>
            <w:shd w:val="clear" w:color="auto" w:fill="auto"/>
            <w:hideMark/>
          </w:tcPr>
          <w:p w14:paraId="0EF0FCD7"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 xml:space="preserve">C0020 </w:t>
            </w:r>
          </w:p>
        </w:tc>
        <w:tc>
          <w:tcPr>
            <w:tcW w:w="2136" w:type="dxa"/>
            <w:tcBorders>
              <w:top w:val="nil"/>
              <w:left w:val="nil"/>
              <w:bottom w:val="single" w:sz="4" w:space="0" w:color="auto"/>
              <w:right w:val="single" w:sz="4" w:space="0" w:color="auto"/>
            </w:tcBorders>
            <w:shd w:val="clear" w:color="auto" w:fill="auto"/>
            <w:hideMark/>
          </w:tcPr>
          <w:p w14:paraId="4E206B5E"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Nom de l’investisseur/de l’acheteur</w:t>
            </w:r>
          </w:p>
        </w:tc>
        <w:tc>
          <w:tcPr>
            <w:tcW w:w="6237" w:type="dxa"/>
            <w:tcBorders>
              <w:top w:val="nil"/>
              <w:left w:val="nil"/>
              <w:bottom w:val="single" w:sz="4" w:space="0" w:color="auto"/>
              <w:right w:val="single" w:sz="4" w:space="0" w:color="auto"/>
            </w:tcBorders>
            <w:shd w:val="clear" w:color="auto" w:fill="auto"/>
            <w:hideMark/>
          </w:tcPr>
          <w:p w14:paraId="4CC3D5E1" w14:textId="77777777" w:rsidR="007A337E" w:rsidRPr="00922DF4" w:rsidRDefault="007A337E" w:rsidP="007A337E">
            <w:pPr>
              <w:spacing w:after="0" w:line="240" w:lineRule="auto"/>
              <w:rPr>
                <w:rFonts w:ascii="Times New Roman" w:eastAsia="Times New Roman" w:hAnsi="Times New Roman" w:cs="Times New Roman"/>
                <w:color w:val="000000" w:themeColor="text1"/>
                <w:sz w:val="20"/>
                <w:szCs w:val="20"/>
              </w:rPr>
            </w:pPr>
            <w:r w:rsidRPr="00922DF4">
              <w:rPr>
                <w:rFonts w:ascii="Times New Roman" w:hAnsi="Times New Roman"/>
                <w:color w:val="000000" w:themeColor="text1"/>
                <w:sz w:val="20"/>
              </w:rPr>
              <w:t xml:space="preserve">Le nom de l’entité qui achète le dérivé ou y investit, ou la contrepartie dont la position est longue. Pour les swaps, il s’agit du payeur du taux fixe qui reçoit le taux variable.  </w:t>
            </w:r>
          </w:p>
        </w:tc>
      </w:tr>
      <w:tr w:rsidR="007A337E" w:rsidRPr="00922DF4" w:rsidDel="00AB7A73" w14:paraId="2408BD09" w14:textId="77777777" w:rsidTr="007A337E">
        <w:trPr>
          <w:trHeight w:val="50"/>
        </w:trPr>
        <w:tc>
          <w:tcPr>
            <w:tcW w:w="851" w:type="dxa"/>
            <w:gridSpan w:val="2"/>
            <w:tcBorders>
              <w:top w:val="nil"/>
              <w:left w:val="single" w:sz="4" w:space="0" w:color="auto"/>
              <w:bottom w:val="single" w:sz="4" w:space="0" w:color="auto"/>
              <w:right w:val="single" w:sz="4" w:space="0" w:color="auto"/>
            </w:tcBorders>
            <w:shd w:val="clear" w:color="auto" w:fill="auto"/>
            <w:hideMark/>
          </w:tcPr>
          <w:p w14:paraId="2C73E876" w14:textId="77777777" w:rsidR="007A337E" w:rsidRPr="00922DF4" w:rsidDel="00AB7A73"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 xml:space="preserve">C0030 </w:t>
            </w:r>
          </w:p>
        </w:tc>
        <w:tc>
          <w:tcPr>
            <w:tcW w:w="2136" w:type="dxa"/>
            <w:tcBorders>
              <w:top w:val="nil"/>
              <w:left w:val="nil"/>
              <w:bottom w:val="single" w:sz="4" w:space="0" w:color="auto"/>
              <w:right w:val="single" w:sz="4" w:space="0" w:color="auto"/>
            </w:tcBorders>
            <w:shd w:val="clear" w:color="auto" w:fill="auto"/>
            <w:hideMark/>
          </w:tcPr>
          <w:p w14:paraId="75A9C131" w14:textId="77777777" w:rsidR="007A337E" w:rsidRPr="00922DF4" w:rsidDel="00AB7A73"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 xml:space="preserve">Code d’identification de l’investisseur ou de l’acheteur </w:t>
            </w:r>
          </w:p>
        </w:tc>
        <w:tc>
          <w:tcPr>
            <w:tcW w:w="6237" w:type="dxa"/>
            <w:tcBorders>
              <w:top w:val="nil"/>
              <w:left w:val="nil"/>
              <w:bottom w:val="single" w:sz="4" w:space="0" w:color="auto"/>
              <w:right w:val="single" w:sz="4" w:space="0" w:color="auto"/>
            </w:tcBorders>
            <w:shd w:val="clear" w:color="auto" w:fill="auto"/>
            <w:hideMark/>
          </w:tcPr>
          <w:p w14:paraId="0C657C33" w14:textId="77777777" w:rsidR="007A337E" w:rsidRPr="00922DF4" w:rsidRDefault="007A337E" w:rsidP="007A337E">
            <w:pPr>
              <w:spacing w:after="0" w:line="240" w:lineRule="auto"/>
              <w:rPr>
                <w:rFonts w:ascii="Times New Roman" w:eastAsia="Times New Roman" w:hAnsi="Times New Roman" w:cs="Times New Roman"/>
                <w:sz w:val="20"/>
                <w:szCs w:val="20"/>
              </w:rPr>
            </w:pPr>
            <w:r w:rsidRPr="00922DF4">
              <w:rPr>
                <w:rFonts w:ascii="Times New Roman" w:hAnsi="Times New Roman"/>
                <w:color w:val="000000"/>
                <w:sz w:val="20"/>
              </w:rPr>
              <w:t>Le code d’identification unique de l’investisseur/de l’acheteur/du cessionnaire, par ordre de priorité suivant:</w:t>
            </w:r>
            <w:r w:rsidRPr="00922DF4">
              <w:rPr>
                <w:rFonts w:ascii="Times New Roman" w:hAnsi="Times New Roman"/>
                <w:sz w:val="20"/>
              </w:rPr>
              <w:t xml:space="preserve"> </w:t>
            </w:r>
            <w:r w:rsidRPr="00922DF4">
              <w:rPr>
                <w:rFonts w:ascii="Times New Roman" w:eastAsia="Times New Roman" w:hAnsi="Times New Roman" w:cs="Times New Roman"/>
                <w:sz w:val="20"/>
                <w:szCs w:val="20"/>
              </w:rPr>
              <w:br/>
            </w:r>
            <w:r w:rsidRPr="00922DF4">
              <w:rPr>
                <w:rFonts w:ascii="Times New Roman" w:hAnsi="Times New Roman"/>
                <w:sz w:val="20"/>
              </w:rPr>
              <w:t xml:space="preserve">– Identifiant d’entité juridique (LEI); </w:t>
            </w:r>
            <w:r w:rsidRPr="00922DF4">
              <w:rPr>
                <w:rFonts w:ascii="Times New Roman" w:eastAsia="Times New Roman" w:hAnsi="Times New Roman" w:cs="Times New Roman"/>
                <w:sz w:val="20"/>
                <w:szCs w:val="20"/>
              </w:rPr>
              <w:br/>
            </w:r>
            <w:r w:rsidRPr="00922DF4">
              <w:rPr>
                <w:rFonts w:ascii="Times New Roman" w:hAnsi="Times New Roman"/>
                <w:sz w:val="20"/>
              </w:rPr>
              <w:t>– code spécifique.</w:t>
            </w:r>
            <w:r w:rsidRPr="00922DF4">
              <w:rPr>
                <w:rFonts w:ascii="Times New Roman" w:eastAsia="Times New Roman" w:hAnsi="Times New Roman" w:cs="Times New Roman"/>
                <w:sz w:val="20"/>
                <w:szCs w:val="20"/>
              </w:rPr>
              <w:br/>
            </w:r>
            <w:r w:rsidRPr="00922DF4">
              <w:rPr>
                <w:rFonts w:ascii="Times New Roman" w:eastAsia="Times New Roman" w:hAnsi="Times New Roman" w:cs="Times New Roman"/>
                <w:sz w:val="20"/>
                <w:szCs w:val="20"/>
              </w:rPr>
              <w:br/>
            </w:r>
            <w:r w:rsidRPr="00922DF4">
              <w:rPr>
                <w:rFonts w:ascii="Times New Roman" w:hAnsi="Times New Roman"/>
                <w:sz w:val="20"/>
              </w:rPr>
              <w:t xml:space="preserve">Code spécifique: </w:t>
            </w:r>
            <w:r w:rsidRPr="00922DF4">
              <w:rPr>
                <w:rFonts w:ascii="Times New Roman" w:eastAsia="Times New Roman" w:hAnsi="Times New Roman" w:cs="Times New Roman"/>
                <w:sz w:val="20"/>
                <w:szCs w:val="20"/>
              </w:rPr>
              <w:br/>
            </w:r>
            <w:r w:rsidRPr="00922DF4">
              <w:rPr>
                <w:rFonts w:ascii="Times New Roman" w:hAnsi="Times New Roman"/>
                <w:sz w:val="20"/>
              </w:rPr>
              <w:t>– pour les entreprises d’assurance et de réassurance EEE et les autres entreprises EEE réglementées du groupe: le code d’identification, attribué par l’autorité de contrôle compétente nationale, qui est utilisé sur le marché local;</w:t>
            </w:r>
          </w:p>
          <w:p w14:paraId="2C5A6CB2" w14:textId="77777777" w:rsidR="007A337E" w:rsidRPr="00922DF4" w:rsidDel="00AB7A73" w:rsidRDefault="007A337E" w:rsidP="007A337E">
            <w:pPr>
              <w:spacing w:after="0" w:line="240" w:lineRule="auto"/>
              <w:rPr>
                <w:rFonts w:ascii="Times New Roman" w:eastAsia="Times New Roman" w:hAnsi="Times New Roman" w:cs="Times New Roman"/>
                <w:color w:val="000000" w:themeColor="text1"/>
                <w:sz w:val="20"/>
                <w:szCs w:val="20"/>
              </w:rPr>
            </w:pPr>
            <w:r w:rsidRPr="00922DF4">
              <w:rPr>
                <w:rFonts w:ascii="Times New Roman" w:hAnsi="Times New Roman"/>
                <w:sz w:val="20"/>
              </w:rPr>
              <w:t xml:space="preserve">– pour les entreprises hors EEE et les entreprises non réglementées du groupe, le code d’identification est fourni par le groupe. Le code d’identification attribué à chaque entreprise hors EEE ou non réglementée doit systématiquement respecter le format suivant: </w:t>
            </w:r>
            <w:r w:rsidRPr="00922DF4">
              <w:rPr>
                <w:rFonts w:ascii="Times New Roman" w:eastAsia="Times New Roman" w:hAnsi="Times New Roman" w:cs="Times New Roman"/>
                <w:sz w:val="20"/>
                <w:szCs w:val="20"/>
              </w:rPr>
              <w:br/>
            </w:r>
            <w:r w:rsidRPr="00922DF4">
              <w:rPr>
                <w:rFonts w:ascii="Times New Roman" w:hAnsi="Times New Roman"/>
                <w:sz w:val="20"/>
              </w:rPr>
              <w:t xml:space="preserve"> code d’identification de l’entreprise mère + </w:t>
            </w:r>
            <w:r w:rsidRPr="00922DF4">
              <w:rPr>
                <w:rFonts w:ascii="Times New Roman" w:eastAsia="Times New Roman" w:hAnsi="Times New Roman" w:cs="Times New Roman"/>
                <w:sz w:val="20"/>
                <w:szCs w:val="20"/>
              </w:rPr>
              <w:br/>
            </w:r>
            <w:r w:rsidRPr="00922DF4">
              <w:rPr>
                <w:rFonts w:ascii="Times New Roman" w:hAnsi="Times New Roman"/>
                <w:sz w:val="20"/>
              </w:rPr>
              <w:t xml:space="preserve"> code ISO 3166-1 alpha-2 du pays de l’entreprise + </w:t>
            </w:r>
            <w:r w:rsidRPr="00922DF4">
              <w:rPr>
                <w:rFonts w:ascii="Times New Roman" w:eastAsia="Times New Roman" w:hAnsi="Times New Roman" w:cs="Times New Roman"/>
                <w:sz w:val="20"/>
                <w:szCs w:val="20"/>
              </w:rPr>
              <w:br/>
            </w:r>
            <w:r w:rsidRPr="00922DF4">
              <w:rPr>
                <w:rFonts w:ascii="Times New Roman" w:hAnsi="Times New Roman"/>
                <w:sz w:val="20"/>
              </w:rPr>
              <w:t xml:space="preserve"> 5 chiffres</w:t>
            </w:r>
          </w:p>
        </w:tc>
      </w:tr>
      <w:tr w:rsidR="007A337E" w:rsidRPr="00922DF4" w14:paraId="77D3AE42" w14:textId="77777777" w:rsidTr="007A337E">
        <w:trPr>
          <w:gridBefore w:val="1"/>
          <w:wBefore w:w="10" w:type="dxa"/>
          <w:trHeight w:val="934"/>
        </w:trPr>
        <w:tc>
          <w:tcPr>
            <w:tcW w:w="841" w:type="dxa"/>
            <w:tcBorders>
              <w:top w:val="nil"/>
              <w:left w:val="single" w:sz="4" w:space="0" w:color="auto"/>
              <w:bottom w:val="single" w:sz="4" w:space="0" w:color="auto"/>
              <w:right w:val="single" w:sz="4" w:space="0" w:color="auto"/>
            </w:tcBorders>
            <w:shd w:val="clear" w:color="auto" w:fill="auto"/>
          </w:tcPr>
          <w:p w14:paraId="7E48C9F9" w14:textId="77777777" w:rsidR="007A337E" w:rsidRPr="00922DF4" w:rsidRDefault="007A337E" w:rsidP="007A337E">
            <w:pPr>
              <w:rPr>
                <w:rFonts w:ascii="Times New Roman" w:eastAsia="Times New Roman" w:hAnsi="Times New Roman" w:cs="Times New Roman"/>
                <w:sz w:val="20"/>
                <w:szCs w:val="20"/>
              </w:rPr>
            </w:pPr>
            <w:r w:rsidRPr="00922DF4">
              <w:rPr>
                <w:rFonts w:ascii="Times New Roman" w:hAnsi="Times New Roman"/>
                <w:sz w:val="20"/>
              </w:rPr>
              <w:t>C0040</w:t>
            </w:r>
          </w:p>
        </w:tc>
        <w:tc>
          <w:tcPr>
            <w:tcW w:w="2136" w:type="dxa"/>
            <w:tcBorders>
              <w:top w:val="nil"/>
              <w:left w:val="nil"/>
              <w:bottom w:val="single" w:sz="4" w:space="0" w:color="auto"/>
              <w:right w:val="single" w:sz="4" w:space="0" w:color="auto"/>
            </w:tcBorders>
            <w:shd w:val="clear" w:color="auto" w:fill="auto"/>
          </w:tcPr>
          <w:p w14:paraId="49794F24"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Type de code d’identification de l’investisseur/de l’acheteur</w:t>
            </w:r>
          </w:p>
          <w:p w14:paraId="4DDDF151"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p>
        </w:tc>
        <w:tc>
          <w:tcPr>
            <w:tcW w:w="6237" w:type="dxa"/>
            <w:tcBorders>
              <w:top w:val="nil"/>
              <w:left w:val="nil"/>
              <w:bottom w:val="single" w:sz="4" w:space="0" w:color="auto"/>
              <w:right w:val="single" w:sz="4" w:space="0" w:color="auto"/>
            </w:tcBorders>
            <w:shd w:val="clear" w:color="auto" w:fill="auto"/>
          </w:tcPr>
          <w:p w14:paraId="567F9714"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Indiquer le type de code utilisé dans la rubrique «Code d’identification de l’investisseur/de l’acheteur».</w:t>
            </w:r>
            <w:r w:rsidRPr="00922DF4">
              <w:rPr>
                <w:rFonts w:ascii="Times New Roman" w:eastAsia="Times New Roman" w:hAnsi="Times New Roman" w:cs="Times New Roman"/>
                <w:color w:val="000000"/>
                <w:sz w:val="20"/>
                <w:szCs w:val="20"/>
              </w:rPr>
              <w:br/>
            </w:r>
            <w:r w:rsidRPr="00922DF4">
              <w:rPr>
                <w:rFonts w:ascii="Times New Roman" w:hAnsi="Times New Roman"/>
                <w:color w:val="000000"/>
                <w:sz w:val="20"/>
              </w:rPr>
              <w:t xml:space="preserve">1 – LEI </w:t>
            </w:r>
            <w:r w:rsidRPr="00922DF4">
              <w:rPr>
                <w:rFonts w:ascii="Times New Roman" w:eastAsia="Times New Roman" w:hAnsi="Times New Roman" w:cs="Times New Roman"/>
                <w:color w:val="000000"/>
                <w:sz w:val="20"/>
                <w:szCs w:val="20"/>
              </w:rPr>
              <w:br/>
            </w:r>
            <w:r w:rsidRPr="00922DF4">
              <w:rPr>
                <w:rFonts w:ascii="Times New Roman" w:hAnsi="Times New Roman"/>
                <w:color w:val="000000"/>
                <w:sz w:val="20"/>
              </w:rPr>
              <w:t>2 – Code spécifique</w:t>
            </w:r>
          </w:p>
        </w:tc>
      </w:tr>
      <w:tr w:rsidR="007A337E" w:rsidRPr="00922DF4" w14:paraId="357F96F6" w14:textId="77777777" w:rsidTr="007A337E">
        <w:trPr>
          <w:trHeight w:val="766"/>
        </w:trPr>
        <w:tc>
          <w:tcPr>
            <w:tcW w:w="851" w:type="dxa"/>
            <w:gridSpan w:val="2"/>
            <w:tcBorders>
              <w:top w:val="single" w:sz="4" w:space="0" w:color="auto"/>
              <w:left w:val="single" w:sz="4" w:space="0" w:color="auto"/>
              <w:bottom w:val="single" w:sz="4" w:space="0" w:color="auto"/>
              <w:right w:val="single" w:sz="4" w:space="0" w:color="auto"/>
            </w:tcBorders>
            <w:shd w:val="clear" w:color="auto" w:fill="auto"/>
            <w:hideMark/>
          </w:tcPr>
          <w:p w14:paraId="0ED10B92"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C0050</w:t>
            </w:r>
          </w:p>
        </w:tc>
        <w:tc>
          <w:tcPr>
            <w:tcW w:w="2136" w:type="dxa"/>
            <w:tcBorders>
              <w:top w:val="single" w:sz="4" w:space="0" w:color="auto"/>
              <w:left w:val="nil"/>
              <w:bottom w:val="single" w:sz="4" w:space="0" w:color="auto"/>
              <w:right w:val="single" w:sz="4" w:space="0" w:color="auto"/>
            </w:tcBorders>
            <w:shd w:val="clear" w:color="auto" w:fill="auto"/>
            <w:hideMark/>
          </w:tcPr>
          <w:p w14:paraId="04B5A19B"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Nom de l’émetteur/du vendeur</w:t>
            </w:r>
          </w:p>
        </w:tc>
        <w:tc>
          <w:tcPr>
            <w:tcW w:w="6237" w:type="dxa"/>
            <w:tcBorders>
              <w:top w:val="single" w:sz="4" w:space="0" w:color="auto"/>
              <w:left w:val="nil"/>
              <w:bottom w:val="single" w:sz="4" w:space="0" w:color="auto"/>
              <w:right w:val="single" w:sz="4" w:space="0" w:color="auto"/>
            </w:tcBorders>
            <w:shd w:val="clear" w:color="auto" w:fill="auto"/>
            <w:hideMark/>
          </w:tcPr>
          <w:p w14:paraId="47056850"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Le nom de l’entité qui émet ou vend dérivé, ou la contrepartie dont la position est courte.  Pour les swaps, il s’agit du payeur du taux variable qui reçoit le taux fixe.</w:t>
            </w:r>
          </w:p>
        </w:tc>
      </w:tr>
      <w:tr w:rsidR="007A337E" w:rsidRPr="00922DF4" w:rsidDel="00AB7A73" w14:paraId="39274A8A" w14:textId="77777777" w:rsidTr="003929BD">
        <w:trPr>
          <w:trHeight w:val="302"/>
        </w:trPr>
        <w:tc>
          <w:tcPr>
            <w:tcW w:w="851" w:type="dxa"/>
            <w:gridSpan w:val="2"/>
            <w:tcBorders>
              <w:top w:val="single" w:sz="4" w:space="0" w:color="auto"/>
              <w:left w:val="single" w:sz="4" w:space="0" w:color="auto"/>
              <w:bottom w:val="single" w:sz="4" w:space="0" w:color="auto"/>
              <w:right w:val="single" w:sz="4" w:space="0" w:color="auto"/>
            </w:tcBorders>
            <w:shd w:val="clear" w:color="auto" w:fill="auto"/>
            <w:hideMark/>
          </w:tcPr>
          <w:p w14:paraId="7ACF234C" w14:textId="77777777" w:rsidR="007A337E" w:rsidRPr="00922DF4" w:rsidDel="00AB7A73"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C0060</w:t>
            </w:r>
          </w:p>
        </w:tc>
        <w:tc>
          <w:tcPr>
            <w:tcW w:w="2136" w:type="dxa"/>
            <w:tcBorders>
              <w:top w:val="single" w:sz="4" w:space="0" w:color="auto"/>
              <w:left w:val="nil"/>
              <w:bottom w:val="single" w:sz="4" w:space="0" w:color="auto"/>
              <w:right w:val="single" w:sz="4" w:space="0" w:color="auto"/>
            </w:tcBorders>
            <w:shd w:val="clear" w:color="auto" w:fill="auto"/>
            <w:hideMark/>
          </w:tcPr>
          <w:p w14:paraId="778A02D5" w14:textId="77777777" w:rsidR="007A337E" w:rsidRPr="00922DF4" w:rsidDel="00AB7A73"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Code d’identification de l’émetteur/du vendeur</w:t>
            </w:r>
          </w:p>
        </w:tc>
        <w:tc>
          <w:tcPr>
            <w:tcW w:w="6237" w:type="dxa"/>
            <w:tcBorders>
              <w:top w:val="single" w:sz="4" w:space="0" w:color="auto"/>
              <w:left w:val="nil"/>
              <w:bottom w:val="single" w:sz="4" w:space="0" w:color="auto"/>
              <w:right w:val="single" w:sz="4" w:space="0" w:color="auto"/>
            </w:tcBorders>
            <w:shd w:val="clear" w:color="auto" w:fill="auto"/>
            <w:hideMark/>
          </w:tcPr>
          <w:p w14:paraId="049B98B3" w14:textId="77777777" w:rsidR="007A337E" w:rsidRPr="00922DF4" w:rsidRDefault="007A337E" w:rsidP="007A337E">
            <w:pPr>
              <w:spacing w:after="0" w:line="240" w:lineRule="auto"/>
              <w:rPr>
                <w:rFonts w:ascii="Times New Roman" w:eastAsia="Times New Roman" w:hAnsi="Times New Roman" w:cs="Times New Roman"/>
                <w:sz w:val="20"/>
                <w:szCs w:val="20"/>
              </w:rPr>
            </w:pPr>
            <w:r w:rsidRPr="00922DF4">
              <w:rPr>
                <w:rFonts w:ascii="Times New Roman" w:hAnsi="Times New Roman"/>
                <w:color w:val="000000"/>
                <w:sz w:val="20"/>
              </w:rPr>
              <w:t>Le code d’identification unique de l’investisseur/de l’acheteur/du cessionnaire, par ordre de priorité suivant:</w:t>
            </w:r>
            <w:r w:rsidRPr="00922DF4">
              <w:rPr>
                <w:rFonts w:ascii="Times New Roman" w:hAnsi="Times New Roman"/>
                <w:sz w:val="20"/>
              </w:rPr>
              <w:t xml:space="preserve"> </w:t>
            </w:r>
            <w:r w:rsidRPr="00922DF4">
              <w:rPr>
                <w:rFonts w:ascii="Times New Roman" w:eastAsia="Times New Roman" w:hAnsi="Times New Roman" w:cs="Times New Roman"/>
                <w:sz w:val="20"/>
                <w:szCs w:val="20"/>
              </w:rPr>
              <w:br/>
            </w:r>
            <w:r w:rsidRPr="00922DF4">
              <w:rPr>
                <w:rFonts w:ascii="Times New Roman" w:hAnsi="Times New Roman"/>
                <w:sz w:val="20"/>
              </w:rPr>
              <w:t xml:space="preserve">– Identifiant d’entité juridique (LEI); </w:t>
            </w:r>
            <w:r w:rsidRPr="00922DF4">
              <w:rPr>
                <w:rFonts w:ascii="Times New Roman" w:eastAsia="Times New Roman" w:hAnsi="Times New Roman" w:cs="Times New Roman"/>
                <w:sz w:val="20"/>
                <w:szCs w:val="20"/>
              </w:rPr>
              <w:br/>
            </w:r>
            <w:r w:rsidRPr="00922DF4">
              <w:rPr>
                <w:rFonts w:ascii="Times New Roman" w:hAnsi="Times New Roman"/>
                <w:sz w:val="20"/>
              </w:rPr>
              <w:t>– code spécifique.</w:t>
            </w:r>
            <w:r w:rsidRPr="00922DF4">
              <w:rPr>
                <w:rFonts w:ascii="Times New Roman" w:eastAsia="Times New Roman" w:hAnsi="Times New Roman" w:cs="Times New Roman"/>
                <w:sz w:val="20"/>
                <w:szCs w:val="20"/>
              </w:rPr>
              <w:br/>
            </w:r>
            <w:r w:rsidRPr="00922DF4">
              <w:rPr>
                <w:rFonts w:ascii="Times New Roman" w:eastAsia="Times New Roman" w:hAnsi="Times New Roman" w:cs="Times New Roman"/>
                <w:sz w:val="20"/>
                <w:szCs w:val="20"/>
              </w:rPr>
              <w:br/>
            </w:r>
            <w:r w:rsidRPr="00922DF4">
              <w:rPr>
                <w:rFonts w:ascii="Times New Roman" w:hAnsi="Times New Roman"/>
                <w:sz w:val="20"/>
              </w:rPr>
              <w:t xml:space="preserve">Code spécifique: </w:t>
            </w:r>
            <w:r w:rsidRPr="00922DF4">
              <w:rPr>
                <w:rFonts w:ascii="Times New Roman" w:eastAsia="Times New Roman" w:hAnsi="Times New Roman" w:cs="Times New Roman"/>
                <w:sz w:val="20"/>
                <w:szCs w:val="20"/>
              </w:rPr>
              <w:br/>
            </w:r>
            <w:r w:rsidRPr="00922DF4">
              <w:rPr>
                <w:rFonts w:ascii="Times New Roman" w:hAnsi="Times New Roman"/>
                <w:sz w:val="20"/>
              </w:rPr>
              <w:t>– pour les entreprises d’assurance et de réassurance EEE et les autres entreprises EEE réglementées du groupe: le code d’identification, attribué par l’autorité de contrôle compétente nationale, qui est utilisé sur le marché local;</w:t>
            </w:r>
          </w:p>
          <w:p w14:paraId="603DAD1E" w14:textId="77777777" w:rsidR="007A337E" w:rsidRPr="00922DF4" w:rsidDel="00AB7A73"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sz w:val="20"/>
              </w:rPr>
              <w:t xml:space="preserve">– pour les entreprises hors EEE et les entreprises non réglementées du groupe, le code d’identification est fourni par le groupe. Le code d’identification attribué à chaque entreprise hors EEE ou non réglementée doit systématiquement respecter le format suivant: </w:t>
            </w:r>
            <w:r w:rsidRPr="00922DF4">
              <w:rPr>
                <w:rFonts w:ascii="Times New Roman" w:eastAsia="Times New Roman" w:hAnsi="Times New Roman" w:cs="Times New Roman"/>
                <w:sz w:val="20"/>
                <w:szCs w:val="20"/>
              </w:rPr>
              <w:br/>
            </w:r>
            <w:r w:rsidRPr="00922DF4">
              <w:rPr>
                <w:rFonts w:ascii="Times New Roman" w:hAnsi="Times New Roman"/>
                <w:sz w:val="20"/>
              </w:rPr>
              <w:t xml:space="preserve"> code d’identification de l’entreprise mère + </w:t>
            </w:r>
            <w:r w:rsidRPr="00922DF4">
              <w:rPr>
                <w:rFonts w:ascii="Times New Roman" w:eastAsia="Times New Roman" w:hAnsi="Times New Roman" w:cs="Times New Roman"/>
                <w:sz w:val="20"/>
                <w:szCs w:val="20"/>
              </w:rPr>
              <w:br/>
            </w:r>
            <w:r w:rsidRPr="00922DF4">
              <w:rPr>
                <w:rFonts w:ascii="Times New Roman" w:hAnsi="Times New Roman"/>
                <w:sz w:val="20"/>
              </w:rPr>
              <w:t xml:space="preserve"> code ISO 3166-1 alpha-2 du pays de l’entreprise + </w:t>
            </w:r>
            <w:r w:rsidRPr="00922DF4">
              <w:rPr>
                <w:rFonts w:ascii="Times New Roman" w:eastAsia="Times New Roman" w:hAnsi="Times New Roman" w:cs="Times New Roman"/>
                <w:sz w:val="20"/>
                <w:szCs w:val="20"/>
              </w:rPr>
              <w:br/>
            </w:r>
            <w:r w:rsidRPr="00922DF4">
              <w:rPr>
                <w:rFonts w:ascii="Times New Roman" w:hAnsi="Times New Roman"/>
                <w:sz w:val="20"/>
              </w:rPr>
              <w:t xml:space="preserve"> 5 chiffres</w:t>
            </w:r>
          </w:p>
        </w:tc>
      </w:tr>
      <w:tr w:rsidR="007A337E" w:rsidRPr="00922DF4" w14:paraId="6E6D6C22" w14:textId="77777777" w:rsidTr="003929BD">
        <w:trPr>
          <w:gridBefore w:val="1"/>
          <w:wBefore w:w="10" w:type="dxa"/>
          <w:trHeight w:val="991"/>
        </w:trPr>
        <w:tc>
          <w:tcPr>
            <w:tcW w:w="841" w:type="dxa"/>
            <w:tcBorders>
              <w:top w:val="single" w:sz="4" w:space="0" w:color="auto"/>
              <w:left w:val="single" w:sz="4" w:space="0" w:color="auto"/>
              <w:bottom w:val="single" w:sz="4" w:space="0" w:color="auto"/>
              <w:right w:val="single" w:sz="4" w:space="0" w:color="auto"/>
            </w:tcBorders>
            <w:shd w:val="clear" w:color="auto" w:fill="auto"/>
          </w:tcPr>
          <w:p w14:paraId="33636687" w14:textId="77777777" w:rsidR="007A337E" w:rsidRPr="00922DF4" w:rsidRDefault="007A337E" w:rsidP="007A337E">
            <w:pPr>
              <w:rPr>
                <w:rFonts w:ascii="Times New Roman" w:eastAsia="Times New Roman" w:hAnsi="Times New Roman" w:cs="Times New Roman"/>
                <w:sz w:val="20"/>
                <w:szCs w:val="20"/>
              </w:rPr>
            </w:pPr>
            <w:r w:rsidRPr="00922DF4">
              <w:rPr>
                <w:rFonts w:ascii="Times New Roman" w:hAnsi="Times New Roman"/>
                <w:sz w:val="20"/>
              </w:rPr>
              <w:t>C0070</w:t>
            </w:r>
          </w:p>
        </w:tc>
        <w:tc>
          <w:tcPr>
            <w:tcW w:w="2136" w:type="dxa"/>
            <w:tcBorders>
              <w:top w:val="single" w:sz="4" w:space="0" w:color="auto"/>
              <w:left w:val="nil"/>
              <w:bottom w:val="single" w:sz="4" w:space="0" w:color="auto"/>
              <w:right w:val="single" w:sz="4" w:space="0" w:color="auto"/>
            </w:tcBorders>
            <w:shd w:val="clear" w:color="auto" w:fill="auto"/>
          </w:tcPr>
          <w:p w14:paraId="07610D15"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 xml:space="preserve">Type de code d’identification de l’émetteur/du vendeur </w:t>
            </w:r>
          </w:p>
        </w:tc>
        <w:tc>
          <w:tcPr>
            <w:tcW w:w="6237" w:type="dxa"/>
            <w:tcBorders>
              <w:top w:val="single" w:sz="4" w:space="0" w:color="auto"/>
              <w:left w:val="nil"/>
              <w:bottom w:val="single" w:sz="4" w:space="0" w:color="auto"/>
              <w:right w:val="single" w:sz="4" w:space="0" w:color="auto"/>
            </w:tcBorders>
            <w:shd w:val="clear" w:color="auto" w:fill="auto"/>
          </w:tcPr>
          <w:p w14:paraId="313F8F69"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Indiquer le type de code utilisé dans la rubrique «Code d’identification de l’émetteur/du vendeur».</w:t>
            </w:r>
            <w:r w:rsidRPr="00922DF4">
              <w:rPr>
                <w:rFonts w:ascii="Times New Roman" w:eastAsia="Times New Roman" w:hAnsi="Times New Roman" w:cs="Times New Roman"/>
                <w:color w:val="000000"/>
                <w:sz w:val="20"/>
                <w:szCs w:val="20"/>
              </w:rPr>
              <w:br/>
            </w:r>
            <w:r w:rsidRPr="00922DF4">
              <w:rPr>
                <w:rFonts w:ascii="Times New Roman" w:hAnsi="Times New Roman"/>
                <w:color w:val="000000"/>
                <w:sz w:val="20"/>
              </w:rPr>
              <w:t xml:space="preserve">1 – LEI </w:t>
            </w:r>
            <w:r w:rsidRPr="00922DF4">
              <w:rPr>
                <w:rFonts w:ascii="Times New Roman" w:eastAsia="Times New Roman" w:hAnsi="Times New Roman" w:cs="Times New Roman"/>
                <w:color w:val="000000"/>
                <w:sz w:val="20"/>
                <w:szCs w:val="20"/>
              </w:rPr>
              <w:br/>
            </w:r>
            <w:r w:rsidRPr="00922DF4">
              <w:rPr>
                <w:rFonts w:ascii="Times New Roman" w:hAnsi="Times New Roman"/>
                <w:color w:val="000000"/>
                <w:sz w:val="20"/>
              </w:rPr>
              <w:t>2 – Code spécifique</w:t>
            </w:r>
          </w:p>
        </w:tc>
      </w:tr>
      <w:tr w:rsidR="007A337E" w:rsidRPr="00922DF4" w14:paraId="5E7654F6" w14:textId="77777777" w:rsidTr="003929BD">
        <w:trPr>
          <w:gridBefore w:val="1"/>
          <w:wBefore w:w="10" w:type="dxa"/>
          <w:trHeight w:val="1425"/>
        </w:trPr>
        <w:tc>
          <w:tcPr>
            <w:tcW w:w="841" w:type="dxa"/>
            <w:tcBorders>
              <w:top w:val="single" w:sz="4" w:space="0" w:color="auto"/>
              <w:left w:val="single" w:sz="4" w:space="0" w:color="auto"/>
              <w:bottom w:val="nil"/>
              <w:right w:val="single" w:sz="4" w:space="0" w:color="auto"/>
            </w:tcBorders>
            <w:shd w:val="clear" w:color="auto" w:fill="auto"/>
            <w:hideMark/>
          </w:tcPr>
          <w:p w14:paraId="76DA4F02" w14:textId="77777777" w:rsidR="007A337E" w:rsidRPr="00922DF4" w:rsidRDefault="007A337E" w:rsidP="007A337E">
            <w:pPr>
              <w:spacing w:after="0" w:line="240" w:lineRule="auto"/>
              <w:rPr>
                <w:rFonts w:ascii="Times New Roman" w:eastAsia="Times New Roman" w:hAnsi="Times New Roman" w:cs="Times New Roman"/>
                <w:sz w:val="20"/>
                <w:szCs w:val="20"/>
              </w:rPr>
            </w:pPr>
            <w:r w:rsidRPr="00922DF4">
              <w:rPr>
                <w:rFonts w:ascii="Times New Roman" w:hAnsi="Times New Roman"/>
                <w:sz w:val="20"/>
              </w:rPr>
              <w:lastRenderedPageBreak/>
              <w:t>C0080</w:t>
            </w:r>
          </w:p>
        </w:tc>
        <w:tc>
          <w:tcPr>
            <w:tcW w:w="2136" w:type="dxa"/>
            <w:tcBorders>
              <w:top w:val="single" w:sz="4" w:space="0" w:color="auto"/>
              <w:left w:val="nil"/>
              <w:bottom w:val="nil"/>
              <w:right w:val="single" w:sz="4" w:space="0" w:color="auto"/>
            </w:tcBorders>
            <w:shd w:val="clear" w:color="auto" w:fill="auto"/>
            <w:hideMark/>
          </w:tcPr>
          <w:p w14:paraId="3015E6E7" w14:textId="77777777" w:rsidR="007A337E" w:rsidRPr="00922DF4" w:rsidRDefault="007A337E" w:rsidP="007A337E">
            <w:pPr>
              <w:spacing w:after="0" w:line="240" w:lineRule="auto"/>
              <w:rPr>
                <w:rFonts w:ascii="Times New Roman" w:eastAsia="Times New Roman" w:hAnsi="Times New Roman" w:cs="Times New Roman"/>
                <w:sz w:val="20"/>
                <w:szCs w:val="20"/>
              </w:rPr>
            </w:pPr>
            <w:r w:rsidRPr="00922DF4">
              <w:rPr>
                <w:rFonts w:ascii="Times New Roman" w:hAnsi="Times New Roman"/>
                <w:sz w:val="20"/>
              </w:rPr>
              <w:t>Code d’identification de l’instrument</w:t>
            </w:r>
          </w:p>
        </w:tc>
        <w:tc>
          <w:tcPr>
            <w:tcW w:w="6237" w:type="dxa"/>
            <w:tcBorders>
              <w:top w:val="single" w:sz="4" w:space="0" w:color="auto"/>
              <w:left w:val="nil"/>
              <w:bottom w:val="nil"/>
              <w:right w:val="single" w:sz="4" w:space="0" w:color="auto"/>
            </w:tcBorders>
            <w:shd w:val="clear" w:color="auto" w:fill="auto"/>
            <w:hideMark/>
          </w:tcPr>
          <w:p w14:paraId="53480A67" w14:textId="6D706576" w:rsidR="007A337E" w:rsidRPr="00922DF4" w:rsidRDefault="007A337E" w:rsidP="007A337E">
            <w:pPr>
              <w:spacing w:after="0" w:line="240" w:lineRule="auto"/>
              <w:rPr>
                <w:rFonts w:ascii="Times New Roman" w:eastAsia="Times New Roman" w:hAnsi="Times New Roman" w:cs="Times New Roman"/>
                <w:sz w:val="20"/>
                <w:szCs w:val="20"/>
              </w:rPr>
            </w:pPr>
            <w:r w:rsidRPr="00922DF4">
              <w:rPr>
                <w:rFonts w:ascii="Times New Roman" w:hAnsi="Times New Roman"/>
                <w:sz w:val="20"/>
              </w:rPr>
              <w:t xml:space="preserve">Le code d’identification de l’instrument (dérivé) transmis entre les parties, identifié, par ordre de priorité, par: </w:t>
            </w:r>
            <w:r w:rsidRPr="00922DF4">
              <w:rPr>
                <w:rFonts w:ascii="Times New Roman" w:hAnsi="Times New Roman" w:cs="Times New Roman"/>
                <w:sz w:val="20"/>
                <w:szCs w:val="20"/>
              </w:rPr>
              <w:br/>
            </w:r>
            <w:r w:rsidRPr="00922DF4">
              <w:rPr>
                <w:rFonts w:ascii="Times New Roman" w:hAnsi="Times New Roman"/>
                <w:sz w:val="20"/>
              </w:rPr>
              <w:t xml:space="preserve">  – code ISIN ISO 6166 lorsqu’il est disponible;</w:t>
            </w:r>
            <w:r w:rsidRPr="00922DF4">
              <w:rPr>
                <w:rFonts w:ascii="Times New Roman" w:hAnsi="Times New Roman" w:cs="Times New Roman"/>
                <w:sz w:val="20"/>
                <w:szCs w:val="20"/>
              </w:rPr>
              <w:br/>
            </w:r>
            <w:r w:rsidRPr="00922DF4">
              <w:rPr>
                <w:rFonts w:ascii="Times New Roman" w:hAnsi="Times New Roman"/>
                <w:sz w:val="20"/>
              </w:rPr>
              <w:t xml:space="preserve">  – autre code «reconnu» (par ex. CUSIP, Bloomberg Ticker, Reuters RIC)</w:t>
            </w:r>
            <w:r w:rsidRPr="00922DF4">
              <w:rPr>
                <w:rFonts w:ascii="Times New Roman" w:hAnsi="Times New Roman" w:cs="Times New Roman"/>
                <w:sz w:val="20"/>
                <w:szCs w:val="20"/>
              </w:rPr>
              <w:br/>
            </w:r>
            <w:r w:rsidRPr="00922DF4">
              <w:rPr>
                <w:rFonts w:ascii="Times New Roman" w:hAnsi="Times New Roman"/>
                <w:sz w:val="20"/>
              </w:rPr>
              <w:t xml:space="preserve">  – code attribué par </w:t>
            </w:r>
            <w:r w:rsidR="00B40D25" w:rsidRPr="00922DF4">
              <w:rPr>
                <w:rFonts w:ascii="Times New Roman" w:hAnsi="Times New Roman"/>
                <w:sz w:val="20"/>
              </w:rPr>
              <w:t>l’ORPS</w:t>
            </w:r>
            <w:r w:rsidRPr="00922DF4">
              <w:rPr>
                <w:rFonts w:ascii="Times New Roman" w:hAnsi="Times New Roman"/>
                <w:sz w:val="20"/>
              </w:rPr>
              <w:t>, lorsque les options ci-dessus ne sont pas disponibles. Ce code doit rester constant dans le temps.</w:t>
            </w:r>
          </w:p>
          <w:p w14:paraId="0DC3ED22" w14:textId="77777777" w:rsidR="007A337E" w:rsidRPr="00922DF4" w:rsidRDefault="007A337E" w:rsidP="007A337E">
            <w:pPr>
              <w:spacing w:after="0" w:line="240" w:lineRule="auto"/>
              <w:rPr>
                <w:rFonts w:ascii="Times New Roman" w:eastAsia="Times New Roman" w:hAnsi="Times New Roman" w:cs="Times New Roman"/>
                <w:sz w:val="20"/>
                <w:szCs w:val="20"/>
              </w:rPr>
            </w:pPr>
          </w:p>
          <w:p w14:paraId="306CF16B" w14:textId="77777777" w:rsidR="007A337E" w:rsidRPr="00922DF4" w:rsidRDefault="007A337E" w:rsidP="007A337E">
            <w:pPr>
              <w:spacing w:after="0" w:line="240" w:lineRule="auto"/>
              <w:rPr>
                <w:rFonts w:ascii="Times New Roman" w:eastAsia="Times New Roman" w:hAnsi="Times New Roman" w:cs="Times New Roman"/>
                <w:sz w:val="20"/>
                <w:szCs w:val="20"/>
              </w:rPr>
            </w:pPr>
            <w:r w:rsidRPr="00922DF4">
              <w:rPr>
                <w:rFonts w:ascii="Times New Roman" w:hAnsi="Times New Roman"/>
                <w:sz w:val="20"/>
              </w:rPr>
              <w:t>Il peut différer du code de transaction intragroupe indiqué en C0010.</w:t>
            </w:r>
          </w:p>
        </w:tc>
      </w:tr>
      <w:tr w:rsidR="007A337E" w:rsidRPr="00922DF4" w14:paraId="532F846E" w14:textId="77777777" w:rsidTr="007A337E">
        <w:trPr>
          <w:gridBefore w:val="1"/>
          <w:wBefore w:w="10" w:type="dxa"/>
          <w:trHeight w:val="1425"/>
        </w:trPr>
        <w:tc>
          <w:tcPr>
            <w:tcW w:w="841" w:type="dxa"/>
            <w:tcBorders>
              <w:top w:val="single" w:sz="4" w:space="0" w:color="auto"/>
              <w:left w:val="single" w:sz="4" w:space="0" w:color="auto"/>
              <w:bottom w:val="single" w:sz="4" w:space="0" w:color="auto"/>
              <w:right w:val="single" w:sz="4" w:space="0" w:color="auto"/>
            </w:tcBorders>
            <w:shd w:val="clear" w:color="auto" w:fill="auto"/>
            <w:hideMark/>
          </w:tcPr>
          <w:p w14:paraId="7CA638F4" w14:textId="77777777" w:rsidR="007A337E" w:rsidRPr="00922DF4" w:rsidRDefault="007A337E" w:rsidP="007A337E">
            <w:pPr>
              <w:spacing w:after="0" w:line="240" w:lineRule="auto"/>
              <w:rPr>
                <w:rFonts w:ascii="Times New Roman" w:eastAsia="Times New Roman" w:hAnsi="Times New Roman" w:cs="Times New Roman"/>
                <w:sz w:val="20"/>
                <w:szCs w:val="20"/>
              </w:rPr>
            </w:pPr>
            <w:r w:rsidRPr="00922DF4">
              <w:rPr>
                <w:rFonts w:ascii="Times New Roman" w:hAnsi="Times New Roman"/>
                <w:sz w:val="20"/>
              </w:rPr>
              <w:t>C0090</w:t>
            </w:r>
          </w:p>
        </w:tc>
        <w:tc>
          <w:tcPr>
            <w:tcW w:w="2136" w:type="dxa"/>
            <w:tcBorders>
              <w:top w:val="single" w:sz="4" w:space="0" w:color="auto"/>
              <w:left w:val="nil"/>
              <w:bottom w:val="single" w:sz="4" w:space="0" w:color="auto"/>
              <w:right w:val="single" w:sz="4" w:space="0" w:color="auto"/>
            </w:tcBorders>
            <w:shd w:val="clear" w:color="auto" w:fill="auto"/>
            <w:hideMark/>
          </w:tcPr>
          <w:p w14:paraId="0FE3F5CF" w14:textId="77777777" w:rsidR="007A337E" w:rsidRPr="00922DF4" w:rsidRDefault="007A337E" w:rsidP="007A337E">
            <w:pPr>
              <w:spacing w:after="0" w:line="240" w:lineRule="auto"/>
              <w:rPr>
                <w:rFonts w:ascii="Times New Roman" w:eastAsia="Times New Roman" w:hAnsi="Times New Roman" w:cs="Times New Roman"/>
                <w:sz w:val="20"/>
                <w:szCs w:val="20"/>
              </w:rPr>
            </w:pPr>
            <w:r w:rsidRPr="00922DF4">
              <w:rPr>
                <w:rFonts w:ascii="Times New Roman" w:hAnsi="Times New Roman"/>
                <w:sz w:val="20"/>
              </w:rPr>
              <w:t>Code d’identification du type d’instrument</w:t>
            </w:r>
          </w:p>
        </w:tc>
        <w:tc>
          <w:tcPr>
            <w:tcW w:w="6237" w:type="dxa"/>
            <w:tcBorders>
              <w:top w:val="single" w:sz="4" w:space="0" w:color="auto"/>
              <w:left w:val="nil"/>
              <w:bottom w:val="nil"/>
              <w:right w:val="single" w:sz="4" w:space="0" w:color="auto"/>
            </w:tcBorders>
            <w:shd w:val="clear" w:color="auto" w:fill="auto"/>
            <w:hideMark/>
          </w:tcPr>
          <w:p w14:paraId="3759C1C5" w14:textId="686AE121" w:rsidR="007A337E" w:rsidRPr="00922DF4" w:rsidRDefault="007A337E" w:rsidP="007A337E">
            <w:pPr>
              <w:rPr>
                <w:rFonts w:ascii="Times New Roman" w:hAnsi="Times New Roman" w:cs="Times New Roman"/>
                <w:sz w:val="20"/>
                <w:szCs w:val="20"/>
              </w:rPr>
            </w:pPr>
            <w:r w:rsidRPr="00922DF4">
              <w:rPr>
                <w:rFonts w:ascii="Times New Roman" w:hAnsi="Times New Roman"/>
                <w:sz w:val="20"/>
              </w:rPr>
              <w:t>Type de code d’identification utilisé dans la rubrique</w:t>
            </w:r>
            <w:r w:rsidR="003929BD" w:rsidRPr="00922DF4">
              <w:rPr>
                <w:rFonts w:ascii="Times New Roman" w:hAnsi="Times New Roman"/>
                <w:sz w:val="20"/>
              </w:rPr>
              <w:t xml:space="preserve"> « Code</w:t>
            </w:r>
            <w:r w:rsidRPr="00922DF4">
              <w:rPr>
                <w:rFonts w:ascii="Times New Roman" w:hAnsi="Times New Roman"/>
                <w:sz w:val="20"/>
              </w:rPr>
              <w:t xml:space="preserve"> d’identification de </w:t>
            </w:r>
            <w:r w:rsidR="003929BD" w:rsidRPr="00922DF4">
              <w:rPr>
                <w:rFonts w:ascii="Times New Roman" w:hAnsi="Times New Roman"/>
                <w:sz w:val="20"/>
              </w:rPr>
              <w:t>l’instrument »</w:t>
            </w:r>
            <w:r w:rsidRPr="00922DF4">
              <w:rPr>
                <w:rFonts w:ascii="Times New Roman" w:hAnsi="Times New Roman"/>
                <w:sz w:val="20"/>
              </w:rPr>
              <w:t>. Choisir impérativement l’une des options suivantes:</w:t>
            </w:r>
          </w:p>
          <w:p w14:paraId="096B658E" w14:textId="77777777" w:rsidR="007A337E" w:rsidRPr="00922DF4" w:rsidRDefault="007A337E" w:rsidP="007A337E">
            <w:pPr>
              <w:spacing w:after="0"/>
              <w:rPr>
                <w:rFonts w:ascii="Times New Roman" w:hAnsi="Times New Roman" w:cs="Times New Roman"/>
                <w:sz w:val="20"/>
                <w:szCs w:val="20"/>
              </w:rPr>
            </w:pPr>
            <w:r w:rsidRPr="00922DF4">
              <w:rPr>
                <w:rFonts w:ascii="Times New Roman" w:hAnsi="Times New Roman"/>
                <w:sz w:val="20"/>
              </w:rPr>
              <w:t>1 – code ISIN de l’ISO 6166</w:t>
            </w:r>
          </w:p>
          <w:p w14:paraId="7823BAE5" w14:textId="77777777" w:rsidR="007A337E" w:rsidRPr="00922DF4" w:rsidRDefault="007A337E" w:rsidP="007A337E">
            <w:pPr>
              <w:spacing w:after="0"/>
              <w:rPr>
                <w:rFonts w:ascii="Times New Roman" w:hAnsi="Times New Roman" w:cs="Times New Roman"/>
                <w:sz w:val="20"/>
                <w:szCs w:val="20"/>
              </w:rPr>
            </w:pPr>
            <w:r w:rsidRPr="00922DF4">
              <w:rPr>
                <w:rFonts w:ascii="Times New Roman" w:hAnsi="Times New Roman"/>
                <w:sz w:val="20"/>
              </w:rPr>
              <w:t>2 – code CUSIP (Committee on Uniform Securities Identification Procedures): numéro attribué par le CUSIP Service Bureau pour les entreprises américaines et canadiennes</w:t>
            </w:r>
          </w:p>
          <w:p w14:paraId="0DC5D9E2" w14:textId="77777777" w:rsidR="007A337E" w:rsidRPr="00922DF4" w:rsidRDefault="007A337E" w:rsidP="007A337E">
            <w:pPr>
              <w:spacing w:after="0"/>
              <w:rPr>
                <w:rFonts w:ascii="Times New Roman" w:hAnsi="Times New Roman" w:cs="Times New Roman"/>
                <w:sz w:val="20"/>
                <w:szCs w:val="20"/>
              </w:rPr>
            </w:pPr>
            <w:r w:rsidRPr="00922DF4">
              <w:rPr>
                <w:rFonts w:ascii="Times New Roman" w:hAnsi="Times New Roman"/>
                <w:sz w:val="20"/>
              </w:rPr>
              <w:t>3 – SEDOL (Stock Exchange Daily Official List pour la bourse de Londres)</w:t>
            </w:r>
          </w:p>
          <w:p w14:paraId="7A445BC9" w14:textId="77777777" w:rsidR="007A337E" w:rsidRPr="00922DF4" w:rsidRDefault="007A337E" w:rsidP="007A337E">
            <w:pPr>
              <w:spacing w:after="0"/>
              <w:rPr>
                <w:rFonts w:ascii="Times New Roman" w:hAnsi="Times New Roman" w:cs="Times New Roman"/>
                <w:sz w:val="20"/>
                <w:szCs w:val="20"/>
              </w:rPr>
            </w:pPr>
            <w:r w:rsidRPr="00922DF4">
              <w:rPr>
                <w:rFonts w:ascii="Times New Roman" w:hAnsi="Times New Roman"/>
                <w:sz w:val="20"/>
              </w:rPr>
              <w:t>4 – WKN (Wertpapier Kenn-Nummer, le numéro d’identification alphanumérique allemand)</w:t>
            </w:r>
          </w:p>
          <w:p w14:paraId="2B822010" w14:textId="77777777" w:rsidR="007A337E" w:rsidRPr="00922DF4" w:rsidRDefault="007A337E" w:rsidP="007A337E">
            <w:pPr>
              <w:spacing w:after="0"/>
              <w:rPr>
                <w:rFonts w:ascii="Times New Roman" w:hAnsi="Times New Roman" w:cs="Times New Roman"/>
                <w:sz w:val="20"/>
                <w:szCs w:val="20"/>
              </w:rPr>
            </w:pPr>
            <w:r w:rsidRPr="00922DF4">
              <w:rPr>
                <w:rFonts w:ascii="Times New Roman" w:hAnsi="Times New Roman"/>
                <w:sz w:val="20"/>
              </w:rPr>
              <w:t>5 – Bloomberg Ticker (code à lettres Bloomberg d’identification des titres d’une société)</w:t>
            </w:r>
          </w:p>
          <w:p w14:paraId="3A14CAF9" w14:textId="77777777" w:rsidR="007A337E" w:rsidRPr="00922DF4" w:rsidRDefault="007A337E" w:rsidP="007A337E">
            <w:pPr>
              <w:spacing w:after="0"/>
              <w:rPr>
                <w:rFonts w:ascii="Times New Roman" w:hAnsi="Times New Roman" w:cs="Times New Roman"/>
                <w:sz w:val="20"/>
                <w:szCs w:val="20"/>
              </w:rPr>
            </w:pPr>
            <w:r w:rsidRPr="00922DF4">
              <w:rPr>
                <w:rFonts w:ascii="Times New Roman" w:hAnsi="Times New Roman"/>
                <w:sz w:val="20"/>
              </w:rPr>
              <w:t>6 – BBGID (Bloomberg Global ID)</w:t>
            </w:r>
          </w:p>
          <w:p w14:paraId="4ABB7F09" w14:textId="77777777" w:rsidR="007A337E" w:rsidRPr="00922DF4" w:rsidRDefault="007A337E" w:rsidP="007A337E">
            <w:pPr>
              <w:spacing w:after="0"/>
              <w:rPr>
                <w:rFonts w:ascii="Times New Roman" w:hAnsi="Times New Roman" w:cs="Times New Roman"/>
                <w:sz w:val="20"/>
                <w:szCs w:val="20"/>
              </w:rPr>
            </w:pPr>
            <w:r w:rsidRPr="00922DF4">
              <w:rPr>
                <w:rFonts w:ascii="Times New Roman" w:hAnsi="Times New Roman"/>
                <w:sz w:val="20"/>
              </w:rPr>
              <w:t>7 – Reuters RIC (Reuters Instrument Code)</w:t>
            </w:r>
          </w:p>
          <w:p w14:paraId="1605482D" w14:textId="77777777" w:rsidR="007A337E" w:rsidRPr="00922DF4" w:rsidRDefault="007A337E" w:rsidP="007A337E">
            <w:pPr>
              <w:spacing w:after="0"/>
              <w:rPr>
                <w:rFonts w:ascii="Times New Roman" w:hAnsi="Times New Roman"/>
              </w:rPr>
            </w:pPr>
            <w:r w:rsidRPr="00922DF4">
              <w:t>8 – FIGI (Financial Instrument Global Identifier)</w:t>
            </w:r>
          </w:p>
          <w:p w14:paraId="63AE99E5" w14:textId="77777777" w:rsidR="007A337E" w:rsidRPr="00922DF4" w:rsidRDefault="007A337E" w:rsidP="007A337E">
            <w:pPr>
              <w:spacing w:after="0"/>
              <w:rPr>
                <w:rFonts w:ascii="Times New Roman" w:hAnsi="Times New Roman" w:cs="Times New Roman"/>
                <w:sz w:val="20"/>
                <w:szCs w:val="20"/>
              </w:rPr>
            </w:pPr>
            <w:r w:rsidRPr="00922DF4">
              <w:rPr>
                <w:rFonts w:ascii="Times New Roman" w:hAnsi="Times New Roman"/>
                <w:sz w:val="20"/>
              </w:rPr>
              <w:t>9 – Autre code attribué par un membre de l’Association des agences nationales de codification</w:t>
            </w:r>
          </w:p>
          <w:p w14:paraId="3C52E532" w14:textId="465E3FF1" w:rsidR="007A337E" w:rsidRPr="00922DF4" w:rsidRDefault="007A337E" w:rsidP="007A337E">
            <w:pPr>
              <w:spacing w:after="0" w:line="240" w:lineRule="auto"/>
              <w:rPr>
                <w:rFonts w:ascii="Times New Roman" w:eastAsia="Times New Roman" w:hAnsi="Times New Roman" w:cs="Times New Roman"/>
                <w:sz w:val="20"/>
                <w:szCs w:val="20"/>
              </w:rPr>
            </w:pPr>
            <w:r w:rsidRPr="00922DF4">
              <w:rPr>
                <w:rFonts w:ascii="Times New Roman" w:hAnsi="Times New Roman"/>
                <w:sz w:val="20"/>
              </w:rPr>
              <w:t xml:space="preserve">99 – Code attribué par </w:t>
            </w:r>
            <w:r w:rsidR="00B40D25" w:rsidRPr="00922DF4">
              <w:rPr>
                <w:rFonts w:ascii="Times New Roman" w:hAnsi="Times New Roman"/>
                <w:sz w:val="20"/>
              </w:rPr>
              <w:t>l’ORPS</w:t>
            </w:r>
          </w:p>
        </w:tc>
      </w:tr>
      <w:tr w:rsidR="007A337E" w:rsidRPr="00922DF4" w14:paraId="5718192A" w14:textId="77777777" w:rsidTr="007A337E">
        <w:trPr>
          <w:gridBefore w:val="1"/>
          <w:wBefore w:w="10" w:type="dxa"/>
          <w:trHeight w:val="3252"/>
        </w:trPr>
        <w:tc>
          <w:tcPr>
            <w:tcW w:w="841" w:type="dxa"/>
            <w:tcBorders>
              <w:top w:val="nil"/>
              <w:left w:val="single" w:sz="4" w:space="0" w:color="000000"/>
              <w:bottom w:val="nil"/>
              <w:right w:val="single" w:sz="4" w:space="0" w:color="000000"/>
            </w:tcBorders>
            <w:shd w:val="clear" w:color="auto" w:fill="auto"/>
            <w:hideMark/>
          </w:tcPr>
          <w:p w14:paraId="60F864EC"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C0100</w:t>
            </w:r>
          </w:p>
        </w:tc>
        <w:tc>
          <w:tcPr>
            <w:tcW w:w="2136" w:type="dxa"/>
            <w:tcBorders>
              <w:top w:val="nil"/>
              <w:left w:val="nil"/>
              <w:bottom w:val="nil"/>
              <w:right w:val="single" w:sz="4" w:space="0" w:color="000000"/>
            </w:tcBorders>
            <w:shd w:val="clear" w:color="auto" w:fill="auto"/>
            <w:hideMark/>
          </w:tcPr>
          <w:p w14:paraId="3444A054"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 xml:space="preserve">Type de transaction </w:t>
            </w:r>
          </w:p>
        </w:tc>
        <w:tc>
          <w:tcPr>
            <w:tcW w:w="6237" w:type="dxa"/>
            <w:tcBorders>
              <w:top w:val="single" w:sz="4" w:space="0" w:color="auto"/>
              <w:left w:val="nil"/>
              <w:bottom w:val="nil"/>
              <w:right w:val="single" w:sz="4" w:space="0" w:color="000000"/>
            </w:tcBorders>
            <w:shd w:val="clear" w:color="auto" w:fill="auto"/>
            <w:hideMark/>
          </w:tcPr>
          <w:p w14:paraId="47C79440"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 xml:space="preserve">Indiquer le type de la transaction. Choisir impérativement l’une des options suivantes: </w:t>
            </w:r>
            <w:r w:rsidRPr="00922DF4">
              <w:rPr>
                <w:rFonts w:ascii="Times New Roman" w:eastAsia="Times New Roman" w:hAnsi="Times New Roman" w:cs="Times New Roman"/>
                <w:color w:val="000000"/>
                <w:sz w:val="20"/>
                <w:szCs w:val="20"/>
              </w:rPr>
              <w:br/>
            </w:r>
            <w:r w:rsidRPr="00922DF4">
              <w:rPr>
                <w:rFonts w:ascii="Times New Roman" w:hAnsi="Times New Roman"/>
                <w:color w:val="000000"/>
                <w:sz w:val="20"/>
              </w:rPr>
              <w:t>1 – Dérivé – contrat à terme standardisé (future)</w:t>
            </w:r>
            <w:r w:rsidRPr="00922DF4">
              <w:rPr>
                <w:rFonts w:ascii="Times New Roman" w:eastAsia="Times New Roman" w:hAnsi="Times New Roman" w:cs="Times New Roman"/>
                <w:color w:val="000000"/>
                <w:sz w:val="20"/>
                <w:szCs w:val="20"/>
              </w:rPr>
              <w:br/>
            </w:r>
            <w:r w:rsidRPr="00922DF4">
              <w:rPr>
                <w:rFonts w:ascii="Times New Roman" w:hAnsi="Times New Roman"/>
                <w:color w:val="000000"/>
                <w:sz w:val="20"/>
              </w:rPr>
              <w:t>2 – Dérivé – contrat à terme de gré à gré (forward)</w:t>
            </w:r>
          </w:p>
          <w:p w14:paraId="4E8F3E01"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3 – Dérivé – option</w:t>
            </w:r>
            <w:r w:rsidRPr="00922DF4">
              <w:rPr>
                <w:rFonts w:ascii="Times New Roman" w:eastAsia="Times New Roman" w:hAnsi="Times New Roman" w:cs="Times New Roman"/>
                <w:color w:val="000000"/>
                <w:sz w:val="20"/>
                <w:szCs w:val="20"/>
              </w:rPr>
              <w:br/>
            </w:r>
            <w:r w:rsidRPr="00922DF4">
              <w:rPr>
                <w:rFonts w:ascii="Times New Roman" w:hAnsi="Times New Roman"/>
                <w:color w:val="000000"/>
                <w:sz w:val="20"/>
              </w:rPr>
              <w:t>4 – Dérivé – autre</w:t>
            </w:r>
          </w:p>
          <w:p w14:paraId="684A95A3"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5 – Garantie – protection de crédit</w:t>
            </w:r>
            <w:r w:rsidRPr="00922DF4">
              <w:rPr>
                <w:rFonts w:ascii="Times New Roman" w:eastAsia="Times New Roman" w:hAnsi="Times New Roman" w:cs="Times New Roman"/>
                <w:color w:val="000000"/>
                <w:sz w:val="20"/>
                <w:szCs w:val="20"/>
              </w:rPr>
              <w:br/>
            </w:r>
            <w:r w:rsidRPr="00922DF4">
              <w:rPr>
                <w:rFonts w:ascii="Times New Roman" w:hAnsi="Times New Roman"/>
                <w:color w:val="000000"/>
                <w:sz w:val="20"/>
              </w:rPr>
              <w:t>6 – Garantie – autre</w:t>
            </w:r>
            <w:r w:rsidRPr="00922DF4">
              <w:rPr>
                <w:rFonts w:ascii="Times New Roman" w:eastAsia="Times New Roman" w:hAnsi="Times New Roman" w:cs="Times New Roman"/>
                <w:color w:val="000000"/>
                <w:sz w:val="20"/>
                <w:szCs w:val="20"/>
              </w:rPr>
              <w:br/>
            </w:r>
            <w:r w:rsidRPr="00922DF4">
              <w:rPr>
                <w:rFonts w:ascii="Times New Roman" w:hAnsi="Times New Roman"/>
                <w:color w:val="000000"/>
                <w:sz w:val="20"/>
              </w:rPr>
              <w:t>7 – Swap – risque de défaut (CDS)</w:t>
            </w:r>
            <w:r w:rsidRPr="00922DF4">
              <w:rPr>
                <w:rFonts w:ascii="Times New Roman" w:eastAsia="Times New Roman" w:hAnsi="Times New Roman" w:cs="Times New Roman"/>
                <w:color w:val="000000"/>
                <w:sz w:val="20"/>
                <w:szCs w:val="20"/>
              </w:rPr>
              <w:br/>
            </w:r>
            <w:r w:rsidRPr="00922DF4">
              <w:rPr>
                <w:rFonts w:ascii="Times New Roman" w:hAnsi="Times New Roman"/>
                <w:color w:val="000000"/>
                <w:sz w:val="20"/>
              </w:rPr>
              <w:t>8 – Swap – taux d’intérêt</w:t>
            </w:r>
            <w:r w:rsidRPr="00922DF4">
              <w:rPr>
                <w:rFonts w:ascii="Times New Roman" w:eastAsia="Times New Roman" w:hAnsi="Times New Roman" w:cs="Times New Roman"/>
                <w:color w:val="000000"/>
                <w:sz w:val="20"/>
                <w:szCs w:val="20"/>
              </w:rPr>
              <w:br/>
            </w:r>
            <w:r w:rsidRPr="00922DF4">
              <w:rPr>
                <w:rFonts w:ascii="Times New Roman" w:hAnsi="Times New Roman"/>
                <w:color w:val="000000"/>
                <w:sz w:val="20"/>
              </w:rPr>
              <w:t>9 – Swap – devises</w:t>
            </w:r>
          </w:p>
          <w:p w14:paraId="105B6FED"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10 – Swap – autre</w:t>
            </w:r>
          </w:p>
          <w:p w14:paraId="1EE1852E"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p>
          <w:p w14:paraId="4CBF0463"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Une opération de pension livrée (repo) est considérée comme une opération au comptant associée à un forward.</w:t>
            </w:r>
          </w:p>
        </w:tc>
      </w:tr>
      <w:tr w:rsidR="007A337E" w:rsidRPr="00922DF4" w14:paraId="74F9F57A" w14:textId="77777777" w:rsidTr="007A337E">
        <w:trPr>
          <w:gridBefore w:val="1"/>
          <w:wBefore w:w="10" w:type="dxa"/>
          <w:trHeight w:val="570"/>
        </w:trPr>
        <w:tc>
          <w:tcPr>
            <w:tcW w:w="841" w:type="dxa"/>
            <w:tcBorders>
              <w:top w:val="single" w:sz="4" w:space="0" w:color="000000"/>
              <w:left w:val="single" w:sz="4" w:space="0" w:color="000000"/>
              <w:bottom w:val="nil"/>
              <w:right w:val="single" w:sz="4" w:space="0" w:color="000000"/>
            </w:tcBorders>
            <w:shd w:val="clear" w:color="auto" w:fill="auto"/>
            <w:hideMark/>
          </w:tcPr>
          <w:p w14:paraId="528A39DF"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C0110</w:t>
            </w:r>
          </w:p>
        </w:tc>
        <w:tc>
          <w:tcPr>
            <w:tcW w:w="2136" w:type="dxa"/>
            <w:tcBorders>
              <w:top w:val="single" w:sz="4" w:space="0" w:color="000000"/>
              <w:left w:val="nil"/>
              <w:bottom w:val="nil"/>
              <w:right w:val="single" w:sz="4" w:space="0" w:color="000000"/>
            </w:tcBorders>
            <w:shd w:val="clear" w:color="auto" w:fill="auto"/>
            <w:hideMark/>
          </w:tcPr>
          <w:p w14:paraId="1BDB0325"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Date de transaction</w:t>
            </w:r>
          </w:p>
        </w:tc>
        <w:tc>
          <w:tcPr>
            <w:tcW w:w="6237" w:type="dxa"/>
            <w:tcBorders>
              <w:top w:val="single" w:sz="4" w:space="0" w:color="000000"/>
              <w:left w:val="nil"/>
              <w:bottom w:val="nil"/>
              <w:right w:val="single" w:sz="4" w:space="0" w:color="000000"/>
            </w:tcBorders>
            <w:shd w:val="clear" w:color="auto" w:fill="auto"/>
            <w:hideMark/>
          </w:tcPr>
          <w:p w14:paraId="3C1461D5"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sz w:val="20"/>
              </w:rPr>
              <w:t>Le code ISO 8601 (aaaa-mm-jj) de la date de transaction du contrat dérivé.</w:t>
            </w:r>
            <w:r w:rsidRPr="00922DF4">
              <w:rPr>
                <w:rFonts w:ascii="Times New Roman" w:hAnsi="Times New Roman"/>
                <w:color w:val="000000"/>
                <w:sz w:val="20"/>
              </w:rPr>
              <w:t xml:space="preserve">  Pour les contrats automatiquement reconduits, utiliser la date de transaction initiale.</w:t>
            </w:r>
          </w:p>
        </w:tc>
      </w:tr>
      <w:tr w:rsidR="007A337E" w:rsidRPr="00922DF4" w14:paraId="7385A1AF" w14:textId="77777777" w:rsidTr="007A337E">
        <w:trPr>
          <w:gridBefore w:val="1"/>
          <w:wBefore w:w="10" w:type="dxa"/>
          <w:trHeight w:val="690"/>
        </w:trPr>
        <w:tc>
          <w:tcPr>
            <w:tcW w:w="841" w:type="dxa"/>
            <w:tcBorders>
              <w:top w:val="single" w:sz="4" w:space="0" w:color="auto"/>
              <w:left w:val="single" w:sz="4" w:space="0" w:color="auto"/>
              <w:bottom w:val="single" w:sz="4" w:space="0" w:color="auto"/>
              <w:right w:val="single" w:sz="4" w:space="0" w:color="auto"/>
            </w:tcBorders>
            <w:shd w:val="clear" w:color="auto" w:fill="auto"/>
            <w:hideMark/>
          </w:tcPr>
          <w:p w14:paraId="344B4601"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C0120</w:t>
            </w:r>
          </w:p>
        </w:tc>
        <w:tc>
          <w:tcPr>
            <w:tcW w:w="2136" w:type="dxa"/>
            <w:tcBorders>
              <w:top w:val="single" w:sz="4" w:space="0" w:color="auto"/>
              <w:left w:val="nil"/>
              <w:bottom w:val="single" w:sz="4" w:space="0" w:color="auto"/>
              <w:right w:val="single" w:sz="4" w:space="0" w:color="auto"/>
            </w:tcBorders>
            <w:shd w:val="clear" w:color="auto" w:fill="auto"/>
            <w:hideMark/>
          </w:tcPr>
          <w:p w14:paraId="46C9516E"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 xml:space="preserve">Date d’échéance  </w:t>
            </w:r>
          </w:p>
        </w:tc>
        <w:tc>
          <w:tcPr>
            <w:tcW w:w="6237" w:type="dxa"/>
            <w:tcBorders>
              <w:top w:val="single" w:sz="4" w:space="0" w:color="auto"/>
              <w:left w:val="nil"/>
              <w:bottom w:val="single" w:sz="4" w:space="0" w:color="auto"/>
              <w:right w:val="single" w:sz="4" w:space="0" w:color="auto"/>
            </w:tcBorders>
            <w:shd w:val="clear" w:color="auto" w:fill="auto"/>
            <w:hideMark/>
          </w:tcPr>
          <w:p w14:paraId="3445C43A"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sz w:val="20"/>
              </w:rPr>
              <w:t>Le code ISO 8601 (aaaa-mm-jj) de la date contractuelle de fin du contrat dérivé, soit la date d’échéance, la date d’expiration des options (européennes ou américaines), etc.</w:t>
            </w:r>
          </w:p>
        </w:tc>
      </w:tr>
      <w:tr w:rsidR="007A337E" w:rsidRPr="00922DF4" w14:paraId="50ECD003" w14:textId="77777777" w:rsidTr="007A337E">
        <w:trPr>
          <w:gridBefore w:val="1"/>
          <w:wBefore w:w="10" w:type="dxa"/>
          <w:trHeight w:val="405"/>
        </w:trPr>
        <w:tc>
          <w:tcPr>
            <w:tcW w:w="841" w:type="dxa"/>
            <w:vMerge w:val="restart"/>
            <w:tcBorders>
              <w:top w:val="nil"/>
              <w:left w:val="single" w:sz="4" w:space="0" w:color="auto"/>
              <w:bottom w:val="single" w:sz="4" w:space="0" w:color="000000"/>
              <w:right w:val="single" w:sz="4" w:space="0" w:color="auto"/>
            </w:tcBorders>
            <w:shd w:val="clear" w:color="auto" w:fill="auto"/>
            <w:hideMark/>
          </w:tcPr>
          <w:p w14:paraId="6898B4C0"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C0130</w:t>
            </w:r>
          </w:p>
        </w:tc>
        <w:tc>
          <w:tcPr>
            <w:tcW w:w="2136" w:type="dxa"/>
            <w:vMerge w:val="restart"/>
            <w:tcBorders>
              <w:top w:val="nil"/>
              <w:left w:val="single" w:sz="4" w:space="0" w:color="auto"/>
              <w:bottom w:val="single" w:sz="4" w:space="0" w:color="000000"/>
              <w:right w:val="single" w:sz="4" w:space="0" w:color="auto"/>
            </w:tcBorders>
            <w:shd w:val="clear" w:color="auto" w:fill="auto"/>
            <w:hideMark/>
          </w:tcPr>
          <w:p w14:paraId="455B2575"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 xml:space="preserve">Monnaie </w:t>
            </w:r>
          </w:p>
        </w:tc>
        <w:tc>
          <w:tcPr>
            <w:tcW w:w="6237" w:type="dxa"/>
            <w:vMerge w:val="restart"/>
            <w:tcBorders>
              <w:top w:val="nil"/>
              <w:left w:val="single" w:sz="4" w:space="0" w:color="auto"/>
              <w:bottom w:val="single" w:sz="4" w:space="0" w:color="000000"/>
              <w:right w:val="single" w:sz="4" w:space="0" w:color="auto"/>
            </w:tcBorders>
            <w:shd w:val="clear" w:color="auto" w:fill="auto"/>
            <w:hideMark/>
          </w:tcPr>
          <w:p w14:paraId="54B8CF12"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Le cas échéant, le code alphabétique ISO 4217 de la monnaie du dérivé, autrement dit la monnaie du montant notionnel du dérivé (par exemple dans le cas d’une option dont le sous-jacent est en USD). Ne s’applique pas aux swaps de devises.</w:t>
            </w:r>
          </w:p>
        </w:tc>
      </w:tr>
      <w:tr w:rsidR="007A337E" w:rsidRPr="00922DF4" w14:paraId="66B757F4" w14:textId="77777777" w:rsidTr="003929BD">
        <w:trPr>
          <w:gridBefore w:val="1"/>
          <w:wBefore w:w="10" w:type="dxa"/>
          <w:trHeight w:val="520"/>
        </w:trPr>
        <w:tc>
          <w:tcPr>
            <w:tcW w:w="841" w:type="dxa"/>
            <w:vMerge/>
            <w:tcBorders>
              <w:top w:val="nil"/>
              <w:left w:val="single" w:sz="4" w:space="0" w:color="auto"/>
              <w:bottom w:val="single" w:sz="4" w:space="0" w:color="auto"/>
              <w:right w:val="single" w:sz="4" w:space="0" w:color="auto"/>
            </w:tcBorders>
            <w:vAlign w:val="center"/>
            <w:hideMark/>
          </w:tcPr>
          <w:p w14:paraId="27F4E134"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p>
        </w:tc>
        <w:tc>
          <w:tcPr>
            <w:tcW w:w="2136" w:type="dxa"/>
            <w:vMerge/>
            <w:tcBorders>
              <w:top w:val="nil"/>
              <w:left w:val="single" w:sz="4" w:space="0" w:color="auto"/>
              <w:bottom w:val="single" w:sz="4" w:space="0" w:color="auto"/>
              <w:right w:val="single" w:sz="4" w:space="0" w:color="auto"/>
            </w:tcBorders>
            <w:vAlign w:val="center"/>
            <w:hideMark/>
          </w:tcPr>
          <w:p w14:paraId="787040C2"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p>
        </w:tc>
        <w:tc>
          <w:tcPr>
            <w:tcW w:w="6237" w:type="dxa"/>
            <w:vMerge/>
            <w:tcBorders>
              <w:top w:val="nil"/>
              <w:left w:val="single" w:sz="4" w:space="0" w:color="auto"/>
              <w:bottom w:val="single" w:sz="4" w:space="0" w:color="auto"/>
              <w:right w:val="single" w:sz="4" w:space="0" w:color="auto"/>
            </w:tcBorders>
            <w:vAlign w:val="center"/>
            <w:hideMark/>
          </w:tcPr>
          <w:p w14:paraId="05714D83"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p>
        </w:tc>
      </w:tr>
      <w:tr w:rsidR="007A337E" w:rsidRPr="00922DF4" w14:paraId="47AC3665" w14:textId="77777777" w:rsidTr="003929BD">
        <w:trPr>
          <w:gridBefore w:val="1"/>
          <w:wBefore w:w="10" w:type="dxa"/>
          <w:trHeight w:val="969"/>
        </w:trPr>
        <w:tc>
          <w:tcPr>
            <w:tcW w:w="841" w:type="dxa"/>
            <w:tcBorders>
              <w:top w:val="single" w:sz="4" w:space="0" w:color="auto"/>
              <w:left w:val="single" w:sz="4" w:space="0" w:color="000000"/>
              <w:bottom w:val="single" w:sz="4" w:space="0" w:color="000000"/>
              <w:right w:val="single" w:sz="4" w:space="0" w:color="000000"/>
            </w:tcBorders>
            <w:shd w:val="clear" w:color="auto" w:fill="auto"/>
            <w:hideMark/>
          </w:tcPr>
          <w:p w14:paraId="22B622C7"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C0140</w:t>
            </w:r>
          </w:p>
        </w:tc>
        <w:tc>
          <w:tcPr>
            <w:tcW w:w="2136" w:type="dxa"/>
            <w:tcBorders>
              <w:top w:val="single" w:sz="4" w:space="0" w:color="auto"/>
              <w:left w:val="nil"/>
              <w:bottom w:val="single" w:sz="4" w:space="0" w:color="000000"/>
              <w:right w:val="single" w:sz="4" w:space="0" w:color="000000"/>
            </w:tcBorders>
            <w:shd w:val="clear" w:color="auto" w:fill="auto"/>
            <w:hideMark/>
          </w:tcPr>
          <w:p w14:paraId="4060FECA"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Montant notionnel à la date de la transaction</w:t>
            </w:r>
          </w:p>
        </w:tc>
        <w:tc>
          <w:tcPr>
            <w:tcW w:w="6237" w:type="dxa"/>
            <w:tcBorders>
              <w:top w:val="single" w:sz="4" w:space="0" w:color="auto"/>
              <w:left w:val="nil"/>
              <w:bottom w:val="single" w:sz="4" w:space="0" w:color="000000"/>
              <w:right w:val="single" w:sz="4" w:space="0" w:color="000000"/>
            </w:tcBorders>
            <w:shd w:val="clear" w:color="auto" w:fill="auto"/>
            <w:hideMark/>
          </w:tcPr>
          <w:p w14:paraId="641B64B2"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 xml:space="preserve">Le montant couvert ou exposé au dérivé à la date de la transaction.  </w:t>
            </w:r>
          </w:p>
          <w:p w14:paraId="09F2EE4A"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Pour les futures et les options, il s’agit de la taille du contrat multipliée par le nombre de contrats.  Pour les swaps et les forwards, il s’agit du montant du contrat.</w:t>
            </w:r>
          </w:p>
        </w:tc>
      </w:tr>
      <w:tr w:rsidR="007A337E" w:rsidRPr="00922DF4" w14:paraId="6DF9FC6D" w14:textId="77777777" w:rsidTr="003929BD">
        <w:trPr>
          <w:gridBefore w:val="1"/>
          <w:wBefore w:w="10" w:type="dxa"/>
          <w:trHeight w:val="1890"/>
        </w:trPr>
        <w:tc>
          <w:tcPr>
            <w:tcW w:w="841" w:type="dxa"/>
            <w:tcBorders>
              <w:top w:val="single" w:sz="4" w:space="0" w:color="000000"/>
              <w:left w:val="single" w:sz="4" w:space="0" w:color="000000"/>
              <w:bottom w:val="nil"/>
              <w:right w:val="single" w:sz="4" w:space="0" w:color="000000"/>
            </w:tcBorders>
            <w:shd w:val="clear" w:color="auto" w:fill="auto"/>
            <w:hideMark/>
          </w:tcPr>
          <w:p w14:paraId="34AF8C4C"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lastRenderedPageBreak/>
              <w:t>C0150</w:t>
            </w:r>
          </w:p>
        </w:tc>
        <w:tc>
          <w:tcPr>
            <w:tcW w:w="2136" w:type="dxa"/>
            <w:tcBorders>
              <w:top w:val="single" w:sz="4" w:space="0" w:color="000000"/>
              <w:left w:val="nil"/>
              <w:bottom w:val="nil"/>
              <w:right w:val="single" w:sz="4" w:space="0" w:color="000000"/>
            </w:tcBorders>
            <w:shd w:val="clear" w:color="auto" w:fill="auto"/>
            <w:hideMark/>
          </w:tcPr>
          <w:p w14:paraId="4DA5FDA6"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 xml:space="preserve">Montant notionnel à la date de déclaration </w:t>
            </w:r>
          </w:p>
        </w:tc>
        <w:tc>
          <w:tcPr>
            <w:tcW w:w="6237" w:type="dxa"/>
            <w:tcBorders>
              <w:top w:val="single" w:sz="4" w:space="0" w:color="000000"/>
              <w:left w:val="nil"/>
              <w:bottom w:val="nil"/>
              <w:right w:val="single" w:sz="4" w:space="0" w:color="000000"/>
            </w:tcBorders>
            <w:shd w:val="clear" w:color="auto" w:fill="auto"/>
            <w:hideMark/>
          </w:tcPr>
          <w:p w14:paraId="7400B26D"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 xml:space="preserve">Le montant couvert ou exposé au dérivé à la date de la de déclaration, autrement dit le solde de clôture.  </w:t>
            </w:r>
          </w:p>
          <w:p w14:paraId="59C9F9BB"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p>
          <w:p w14:paraId="347E57C5"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Pour les futures et les options, il s’agit de la taille du contrat multipliée par le nombre de contrats.  Pour les swaps et les forwards, il s’agit du montant du contrat.  Lorsqu’une transaction arrive à échéance ou expire pendant la période de déclaration et avant la date de déclaration, le montant notionnel à la date de déclaration est nul.</w:t>
            </w:r>
          </w:p>
        </w:tc>
      </w:tr>
      <w:tr w:rsidR="007A337E" w:rsidRPr="00922DF4" w14:paraId="5F66B675" w14:textId="77777777" w:rsidTr="00F105BE">
        <w:trPr>
          <w:gridBefore w:val="1"/>
          <w:wBefore w:w="10" w:type="dxa"/>
          <w:trHeight w:val="639"/>
        </w:trPr>
        <w:tc>
          <w:tcPr>
            <w:tcW w:w="841" w:type="dxa"/>
            <w:tcBorders>
              <w:top w:val="single" w:sz="4" w:space="0" w:color="000000"/>
              <w:left w:val="single" w:sz="4" w:space="0" w:color="000000"/>
              <w:bottom w:val="single" w:sz="4" w:space="0" w:color="auto"/>
              <w:right w:val="single" w:sz="4" w:space="0" w:color="000000"/>
            </w:tcBorders>
            <w:shd w:val="clear" w:color="auto" w:fill="auto"/>
            <w:hideMark/>
          </w:tcPr>
          <w:p w14:paraId="2A55D5F7"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C0160</w:t>
            </w:r>
          </w:p>
        </w:tc>
        <w:tc>
          <w:tcPr>
            <w:tcW w:w="2136" w:type="dxa"/>
            <w:tcBorders>
              <w:top w:val="single" w:sz="4" w:space="0" w:color="000000"/>
              <w:left w:val="nil"/>
              <w:bottom w:val="single" w:sz="4" w:space="0" w:color="auto"/>
              <w:right w:val="single" w:sz="4" w:space="0" w:color="000000"/>
            </w:tcBorders>
            <w:shd w:val="clear" w:color="auto" w:fill="auto"/>
            <w:hideMark/>
          </w:tcPr>
          <w:p w14:paraId="39FE1BA7"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 xml:space="preserve">Valeur des sûretés </w:t>
            </w:r>
          </w:p>
        </w:tc>
        <w:tc>
          <w:tcPr>
            <w:tcW w:w="6237" w:type="dxa"/>
            <w:tcBorders>
              <w:top w:val="single" w:sz="4" w:space="0" w:color="000000"/>
              <w:left w:val="nil"/>
              <w:bottom w:val="single" w:sz="4" w:space="0" w:color="auto"/>
              <w:right w:val="single" w:sz="4" w:space="0" w:color="000000"/>
            </w:tcBorders>
            <w:shd w:val="clear" w:color="auto" w:fill="auto"/>
            <w:hideMark/>
          </w:tcPr>
          <w:p w14:paraId="6477B4FA"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 xml:space="preserve">Valeur des sûretés fournies à la date de la déclaration (zéro si dérivé a été clôturé) s’il y a lieu. </w:t>
            </w:r>
          </w:p>
        </w:tc>
      </w:tr>
      <w:tr w:rsidR="007A337E" w:rsidRPr="00922DF4" w14:paraId="1D06EF63" w14:textId="77777777" w:rsidTr="00F105BE">
        <w:trPr>
          <w:gridBefore w:val="1"/>
          <w:wBefore w:w="10" w:type="dxa"/>
          <w:trHeight w:val="3256"/>
        </w:trPr>
        <w:tc>
          <w:tcPr>
            <w:tcW w:w="841" w:type="dxa"/>
            <w:tcBorders>
              <w:top w:val="single" w:sz="4" w:space="0" w:color="auto"/>
              <w:left w:val="single" w:sz="4" w:space="0" w:color="auto"/>
              <w:right w:val="single" w:sz="4" w:space="0" w:color="auto"/>
            </w:tcBorders>
            <w:shd w:val="clear" w:color="auto" w:fill="auto"/>
            <w:hideMark/>
          </w:tcPr>
          <w:p w14:paraId="027285F7" w14:textId="77777777" w:rsidR="007A337E" w:rsidRPr="00922DF4" w:rsidRDefault="007A337E" w:rsidP="007A337E">
            <w:pPr>
              <w:spacing w:after="0" w:line="240" w:lineRule="auto"/>
              <w:rPr>
                <w:rFonts w:ascii="Times New Roman" w:eastAsia="Times New Roman" w:hAnsi="Times New Roman" w:cs="Times New Roman"/>
                <w:sz w:val="20"/>
                <w:szCs w:val="20"/>
              </w:rPr>
            </w:pPr>
            <w:r w:rsidRPr="00922DF4">
              <w:rPr>
                <w:rFonts w:ascii="Times New Roman" w:hAnsi="Times New Roman"/>
                <w:sz w:val="20"/>
              </w:rPr>
              <w:t>C0170</w:t>
            </w:r>
          </w:p>
        </w:tc>
        <w:tc>
          <w:tcPr>
            <w:tcW w:w="2136" w:type="dxa"/>
            <w:tcBorders>
              <w:top w:val="single" w:sz="4" w:space="0" w:color="auto"/>
              <w:left w:val="nil"/>
              <w:right w:val="nil"/>
            </w:tcBorders>
            <w:shd w:val="clear" w:color="auto" w:fill="auto"/>
            <w:hideMark/>
          </w:tcPr>
          <w:p w14:paraId="7E8A17F0" w14:textId="77777777" w:rsidR="007A337E" w:rsidRPr="00922DF4" w:rsidRDefault="007A337E" w:rsidP="007A337E">
            <w:pPr>
              <w:spacing w:after="0" w:line="240" w:lineRule="auto"/>
              <w:rPr>
                <w:rFonts w:ascii="Times New Roman" w:eastAsia="Times New Roman" w:hAnsi="Times New Roman" w:cs="Times New Roman"/>
                <w:sz w:val="20"/>
                <w:szCs w:val="20"/>
              </w:rPr>
            </w:pPr>
            <w:r w:rsidRPr="00922DF4">
              <w:rPr>
                <w:rFonts w:ascii="Times New Roman" w:hAnsi="Times New Roman"/>
                <w:color w:val="000000"/>
                <w:sz w:val="20"/>
              </w:rPr>
              <w:t>Options, contrats à terme standardisés, contrats à terme de gré à gré et autres dérivés — utilisation des dérivés (par l’acheteur)</w:t>
            </w:r>
          </w:p>
        </w:tc>
        <w:tc>
          <w:tcPr>
            <w:tcW w:w="6237" w:type="dxa"/>
            <w:tcBorders>
              <w:top w:val="single" w:sz="4" w:space="0" w:color="auto"/>
              <w:left w:val="single" w:sz="4" w:space="0" w:color="auto"/>
              <w:right w:val="single" w:sz="4" w:space="0" w:color="auto"/>
            </w:tcBorders>
            <w:shd w:val="clear" w:color="auto" w:fill="auto"/>
            <w:hideMark/>
          </w:tcPr>
          <w:p w14:paraId="12C54FC6" w14:textId="77777777" w:rsidR="007A337E" w:rsidRPr="00922DF4" w:rsidRDefault="007A337E" w:rsidP="007A337E">
            <w:pPr>
              <w:spacing w:after="0"/>
              <w:rPr>
                <w:rFonts w:ascii="Times New Roman" w:hAnsi="Times New Roman" w:cs="Times New Roman"/>
                <w:sz w:val="20"/>
                <w:szCs w:val="20"/>
              </w:rPr>
            </w:pPr>
            <w:r w:rsidRPr="00922DF4">
              <w:rPr>
                <w:rFonts w:ascii="Times New Roman" w:hAnsi="Times New Roman"/>
                <w:sz w:val="20"/>
              </w:rPr>
              <w:t>Décrire ce pour quoi le dérivé est utilisé (micro- ou macro-couverture, gestion efficace de portefeuille). On parle de micro-couverture dans le cas de dérivés couvrant un instrument financier unique, une transaction prévue ou un autre engagement. On parle de macro-couverture dans le cas de dérivés couvrant un ensemble d’instruments financiers, de transactions prévues ou d’autres engagements. Choisir impérativement l’une des options suivantes:</w:t>
            </w:r>
            <w:r w:rsidRPr="00922DF4">
              <w:rPr>
                <w:rFonts w:ascii="Times New Roman" w:eastAsia="Times New Roman" w:hAnsi="Times New Roman" w:cs="Times New Roman"/>
                <w:sz w:val="20"/>
                <w:szCs w:val="20"/>
              </w:rPr>
              <w:br/>
            </w:r>
            <w:r w:rsidRPr="00922DF4">
              <w:rPr>
                <w:rFonts w:ascii="Times New Roman" w:hAnsi="Times New Roman"/>
                <w:sz w:val="20"/>
              </w:rPr>
              <w:t>1 – Micro-couverture</w:t>
            </w:r>
            <w:r w:rsidRPr="00922DF4">
              <w:rPr>
                <w:rFonts w:ascii="Times New Roman" w:hAnsi="Times New Roman" w:cs="Times New Roman"/>
                <w:sz w:val="20"/>
                <w:szCs w:val="20"/>
              </w:rPr>
              <w:br/>
            </w:r>
            <w:r w:rsidRPr="00922DF4">
              <w:rPr>
                <w:rFonts w:ascii="Times New Roman" w:hAnsi="Times New Roman"/>
                <w:sz w:val="20"/>
              </w:rPr>
              <w:t>2 – Macro-couverture</w:t>
            </w:r>
            <w:r w:rsidRPr="00922DF4">
              <w:rPr>
                <w:rFonts w:ascii="Times New Roman" w:hAnsi="Times New Roman" w:cs="Times New Roman"/>
                <w:sz w:val="20"/>
                <w:szCs w:val="20"/>
              </w:rPr>
              <w:br/>
            </w:r>
            <w:r w:rsidRPr="00922DF4">
              <w:rPr>
                <w:rFonts w:ascii="Times New Roman" w:hAnsi="Times New Roman"/>
                <w:sz w:val="20"/>
              </w:rPr>
              <w:t xml:space="preserve">3 – Mise en correspondance des flux de trésorerie des actifs et des passifs </w:t>
            </w:r>
          </w:p>
          <w:p w14:paraId="3692139B" w14:textId="77777777" w:rsidR="007A337E" w:rsidRPr="00922DF4" w:rsidRDefault="007A337E" w:rsidP="007A337E">
            <w:pPr>
              <w:spacing w:after="0" w:line="240" w:lineRule="auto"/>
              <w:rPr>
                <w:rFonts w:ascii="Times New Roman" w:eastAsia="Times New Roman" w:hAnsi="Times New Roman" w:cs="Times New Roman"/>
                <w:sz w:val="20"/>
                <w:szCs w:val="20"/>
              </w:rPr>
            </w:pPr>
            <w:r w:rsidRPr="00922DF4">
              <w:rPr>
                <w:rFonts w:ascii="Times New Roman" w:hAnsi="Times New Roman"/>
                <w:sz w:val="20"/>
              </w:rPr>
              <w:t>4 – Gestion efficace du portefeuille, autre que mise en correspondance des flux de trésorerie des actifs et des passifs</w:t>
            </w:r>
          </w:p>
        </w:tc>
      </w:tr>
      <w:tr w:rsidR="007A337E" w:rsidRPr="00922DF4" w14:paraId="0C93D924" w14:textId="77777777" w:rsidTr="007A337E">
        <w:trPr>
          <w:gridBefore w:val="1"/>
          <w:wBefore w:w="10" w:type="dxa"/>
          <w:trHeight w:val="855"/>
        </w:trPr>
        <w:tc>
          <w:tcPr>
            <w:tcW w:w="841" w:type="dxa"/>
            <w:tcBorders>
              <w:top w:val="single" w:sz="4" w:space="0" w:color="auto"/>
              <w:left w:val="single" w:sz="4" w:space="0" w:color="auto"/>
              <w:bottom w:val="single" w:sz="4" w:space="0" w:color="auto"/>
              <w:right w:val="single" w:sz="4" w:space="0" w:color="auto"/>
            </w:tcBorders>
            <w:shd w:val="clear" w:color="auto" w:fill="auto"/>
            <w:hideMark/>
          </w:tcPr>
          <w:p w14:paraId="2E1A66C8"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 xml:space="preserve">C0180 </w:t>
            </w:r>
          </w:p>
        </w:tc>
        <w:tc>
          <w:tcPr>
            <w:tcW w:w="2136" w:type="dxa"/>
            <w:tcBorders>
              <w:top w:val="single" w:sz="4" w:space="0" w:color="auto"/>
              <w:left w:val="nil"/>
              <w:bottom w:val="single" w:sz="4" w:space="0" w:color="auto"/>
              <w:right w:val="single" w:sz="4" w:space="0" w:color="auto"/>
            </w:tcBorders>
            <w:shd w:val="clear" w:color="auto" w:fill="auto"/>
            <w:hideMark/>
          </w:tcPr>
          <w:p w14:paraId="45E5DAE0"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 xml:space="preserve">Options, contrats à terme standardisés, contrats à terme de gré à gré et autres dérivés – Actif ou passif sous-jacent au dérivé </w:t>
            </w:r>
          </w:p>
        </w:tc>
        <w:tc>
          <w:tcPr>
            <w:tcW w:w="6237" w:type="dxa"/>
            <w:tcBorders>
              <w:top w:val="single" w:sz="4" w:space="0" w:color="auto"/>
              <w:left w:val="nil"/>
              <w:bottom w:val="single" w:sz="4" w:space="0" w:color="auto"/>
              <w:right w:val="single" w:sz="4" w:space="0" w:color="auto"/>
            </w:tcBorders>
            <w:shd w:val="clear" w:color="auto" w:fill="auto"/>
            <w:hideMark/>
          </w:tcPr>
          <w:p w14:paraId="1E0AA383"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sz w:val="20"/>
              </w:rPr>
              <w:t>Code d’identification de l’instrument (actif ou passif) sous-jacent au contrat dérivé.</w:t>
            </w:r>
            <w:r w:rsidRPr="00922DF4">
              <w:rPr>
                <w:rFonts w:ascii="Times New Roman" w:hAnsi="Times New Roman"/>
                <w:color w:val="000000"/>
                <w:sz w:val="20"/>
              </w:rPr>
              <w:t xml:space="preserve"> Cet élément est à déclarer pour les dérivés ayant un seul instrument ou indice sous-jacent dans le portefeuille de l’entreprise.</w:t>
            </w:r>
          </w:p>
          <w:p w14:paraId="192F8DCB" w14:textId="77777777" w:rsidR="007A337E" w:rsidRPr="00922DF4" w:rsidRDefault="007A337E" w:rsidP="007A337E">
            <w:pPr>
              <w:rPr>
                <w:rFonts w:ascii="Times New Roman" w:hAnsi="Times New Roman" w:cs="Times New Roman"/>
                <w:sz w:val="20"/>
                <w:szCs w:val="20"/>
              </w:rPr>
            </w:pPr>
            <w:r w:rsidRPr="00922DF4">
              <w:rPr>
                <w:rFonts w:ascii="Times New Roman" w:hAnsi="Times New Roman"/>
                <w:sz w:val="20"/>
              </w:rPr>
              <w:t xml:space="preserve">Un indice est considéré comme un instrument unique et doit être déclaré. </w:t>
            </w:r>
          </w:p>
          <w:p w14:paraId="54B3E862" w14:textId="77777777" w:rsidR="001F268C" w:rsidRPr="00922DF4" w:rsidRDefault="007A337E" w:rsidP="007A337E">
            <w:pPr>
              <w:spacing w:after="120"/>
              <w:rPr>
                <w:rFonts w:ascii="Times New Roman" w:hAnsi="Times New Roman"/>
                <w:sz w:val="20"/>
              </w:rPr>
            </w:pPr>
            <w:r w:rsidRPr="00922DF4">
              <w:rPr>
                <w:rFonts w:ascii="Times New Roman" w:hAnsi="Times New Roman"/>
                <w:sz w:val="20"/>
              </w:rPr>
              <w:t xml:space="preserve">Indiquer le code d’identification de l’instrument sous-jacent au dérivé, par ordre de priorité suivant:  </w:t>
            </w:r>
            <w:r w:rsidRPr="00922DF4">
              <w:rPr>
                <w:rFonts w:ascii="Times New Roman" w:hAnsi="Times New Roman" w:cs="Times New Roman"/>
                <w:sz w:val="20"/>
                <w:szCs w:val="20"/>
              </w:rPr>
              <w:br/>
            </w:r>
            <w:r w:rsidRPr="00922DF4">
              <w:rPr>
                <w:rFonts w:ascii="Times New Roman" w:hAnsi="Times New Roman"/>
                <w:sz w:val="20"/>
              </w:rPr>
              <w:t xml:space="preserve">  – code ISIN ISO 6166 lorsqu’il est disponible;</w:t>
            </w:r>
            <w:r w:rsidRPr="00922DF4">
              <w:rPr>
                <w:rFonts w:ascii="Times New Roman" w:hAnsi="Times New Roman" w:cs="Times New Roman"/>
                <w:sz w:val="20"/>
                <w:szCs w:val="20"/>
              </w:rPr>
              <w:br/>
            </w:r>
            <w:r w:rsidRPr="00922DF4">
              <w:rPr>
                <w:rFonts w:ascii="Times New Roman" w:hAnsi="Times New Roman"/>
                <w:sz w:val="20"/>
              </w:rPr>
              <w:t xml:space="preserve">  – autre code «reconnu» (par ex. CUSIP, Bloomberg Ticker, Reuters RIC)</w:t>
            </w:r>
            <w:r w:rsidRPr="00922DF4">
              <w:rPr>
                <w:rFonts w:ascii="Times New Roman" w:hAnsi="Times New Roman" w:cs="Times New Roman"/>
                <w:sz w:val="20"/>
                <w:szCs w:val="20"/>
              </w:rPr>
              <w:br/>
            </w:r>
            <w:r w:rsidRPr="00922DF4">
              <w:rPr>
                <w:rFonts w:ascii="Times New Roman" w:hAnsi="Times New Roman"/>
                <w:sz w:val="20"/>
              </w:rPr>
              <w:t xml:space="preserve">  – code attribué par l’entreprise, lorsque les options ci-dessus ne sont pas disponibles, qui doit rester constant dans le temps</w:t>
            </w:r>
          </w:p>
          <w:p w14:paraId="749496B4" w14:textId="78A107C4" w:rsidR="007A337E" w:rsidRPr="00922DF4" w:rsidRDefault="007A337E" w:rsidP="007A337E">
            <w:pPr>
              <w:spacing w:after="120"/>
              <w:rPr>
                <w:rFonts w:ascii="Times New Roman" w:hAnsi="Times New Roman" w:cs="Times New Roman"/>
                <w:sz w:val="20"/>
                <w:szCs w:val="20"/>
              </w:rPr>
            </w:pPr>
            <w:r w:rsidRPr="00922DF4">
              <w:rPr>
                <w:rFonts w:ascii="Times New Roman" w:hAnsi="Times New Roman"/>
                <w:sz w:val="20"/>
              </w:rPr>
              <w:t>–</w:t>
            </w:r>
            <w:r w:rsidR="003929BD" w:rsidRPr="00922DF4">
              <w:rPr>
                <w:rFonts w:ascii="Times New Roman" w:hAnsi="Times New Roman"/>
                <w:sz w:val="20"/>
              </w:rPr>
              <w:t xml:space="preserve"> « actifs</w:t>
            </w:r>
            <w:r w:rsidRPr="00922DF4">
              <w:rPr>
                <w:rFonts w:ascii="Times New Roman" w:hAnsi="Times New Roman"/>
                <w:sz w:val="20"/>
              </w:rPr>
              <w:t xml:space="preserve">/passifs </w:t>
            </w:r>
            <w:r w:rsidR="003929BD" w:rsidRPr="00922DF4">
              <w:rPr>
                <w:rFonts w:ascii="Times New Roman" w:hAnsi="Times New Roman"/>
                <w:sz w:val="20"/>
              </w:rPr>
              <w:t>multiples »</w:t>
            </w:r>
            <w:r w:rsidRPr="00922DF4">
              <w:rPr>
                <w:rFonts w:ascii="Times New Roman" w:hAnsi="Times New Roman"/>
                <w:sz w:val="20"/>
              </w:rPr>
              <w:t>, s’il y a plusieurs actifs ou passifs sous-jacents</w:t>
            </w:r>
          </w:p>
          <w:p w14:paraId="6216DF0D" w14:textId="77777777" w:rsidR="007A337E" w:rsidRPr="00922DF4" w:rsidRDefault="007A337E" w:rsidP="007A337E">
            <w:pPr>
              <w:spacing w:after="0" w:line="240" w:lineRule="auto"/>
              <w:rPr>
                <w:rFonts w:ascii="Times New Roman" w:hAnsi="Times New Roman"/>
                <w:sz w:val="20"/>
              </w:rPr>
            </w:pPr>
            <w:r w:rsidRPr="00922DF4">
              <w:rPr>
                <w:rFonts w:ascii="Times New Roman" w:hAnsi="Times New Roman"/>
                <w:sz w:val="20"/>
              </w:rPr>
              <w:t>Lorsque le sous-jacent est un indice, déclarer le code de l’indice.</w:t>
            </w:r>
          </w:p>
          <w:p w14:paraId="0366749A" w14:textId="027F20B8" w:rsidR="00F105BE" w:rsidRPr="00922DF4" w:rsidRDefault="00F105BE" w:rsidP="007A337E">
            <w:pPr>
              <w:spacing w:after="0" w:line="240" w:lineRule="auto"/>
              <w:rPr>
                <w:rFonts w:ascii="Times New Roman" w:eastAsia="Times New Roman" w:hAnsi="Times New Roman" w:cs="Times New Roman"/>
                <w:color w:val="000000"/>
                <w:sz w:val="20"/>
                <w:szCs w:val="20"/>
              </w:rPr>
            </w:pPr>
          </w:p>
        </w:tc>
      </w:tr>
      <w:tr w:rsidR="007A337E" w:rsidRPr="00922DF4" w14:paraId="01B6D5E5" w14:textId="77777777" w:rsidTr="001F268C">
        <w:trPr>
          <w:gridBefore w:val="1"/>
          <w:wBefore w:w="10" w:type="dxa"/>
          <w:trHeight w:val="558"/>
        </w:trPr>
        <w:tc>
          <w:tcPr>
            <w:tcW w:w="841" w:type="dxa"/>
            <w:tcBorders>
              <w:top w:val="single" w:sz="4" w:space="0" w:color="auto"/>
              <w:left w:val="single" w:sz="4" w:space="0" w:color="auto"/>
              <w:bottom w:val="single" w:sz="4" w:space="0" w:color="auto"/>
              <w:right w:val="single" w:sz="4" w:space="0" w:color="auto"/>
            </w:tcBorders>
            <w:shd w:val="clear" w:color="auto" w:fill="auto"/>
            <w:hideMark/>
          </w:tcPr>
          <w:p w14:paraId="1EFDFF77" w14:textId="77777777" w:rsidR="007A337E" w:rsidRPr="00922DF4" w:rsidRDefault="007A337E" w:rsidP="007A337E">
            <w:pPr>
              <w:spacing w:after="0" w:line="240" w:lineRule="auto"/>
              <w:rPr>
                <w:rFonts w:ascii="Times New Roman" w:eastAsia="Times New Roman" w:hAnsi="Times New Roman" w:cs="Times New Roman"/>
                <w:sz w:val="20"/>
                <w:szCs w:val="20"/>
              </w:rPr>
            </w:pPr>
            <w:r w:rsidRPr="00922DF4">
              <w:rPr>
                <w:rFonts w:ascii="Times New Roman" w:hAnsi="Times New Roman"/>
                <w:sz w:val="20"/>
              </w:rPr>
              <w:t xml:space="preserve">C0190 </w:t>
            </w:r>
          </w:p>
        </w:tc>
        <w:tc>
          <w:tcPr>
            <w:tcW w:w="2136" w:type="dxa"/>
            <w:tcBorders>
              <w:top w:val="single" w:sz="4" w:space="0" w:color="auto"/>
              <w:left w:val="single" w:sz="4" w:space="0" w:color="auto"/>
              <w:bottom w:val="single" w:sz="4" w:space="0" w:color="auto"/>
              <w:right w:val="single" w:sz="4" w:space="0" w:color="auto"/>
            </w:tcBorders>
            <w:shd w:val="clear" w:color="auto" w:fill="auto"/>
            <w:hideMark/>
          </w:tcPr>
          <w:p w14:paraId="113E335A" w14:textId="77777777" w:rsidR="007A337E" w:rsidRPr="00922DF4" w:rsidRDefault="007A337E" w:rsidP="007A337E">
            <w:pPr>
              <w:spacing w:after="0" w:line="240" w:lineRule="auto"/>
              <w:rPr>
                <w:rFonts w:ascii="Times New Roman" w:eastAsia="Times New Roman" w:hAnsi="Times New Roman" w:cs="Times New Roman"/>
                <w:sz w:val="20"/>
                <w:szCs w:val="20"/>
              </w:rPr>
            </w:pPr>
            <w:r w:rsidRPr="00922DF4">
              <w:rPr>
                <w:rFonts w:ascii="Times New Roman" w:hAnsi="Times New Roman"/>
                <w:sz w:val="20"/>
              </w:rPr>
              <w:t>Type de code d’identification de l’actif/du passif sous-jacent au dérivé</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14:paraId="1A44C33D" w14:textId="4818DCF4" w:rsidR="007A337E" w:rsidRPr="00922DF4" w:rsidRDefault="007A337E" w:rsidP="007A337E">
            <w:pPr>
              <w:rPr>
                <w:rFonts w:ascii="Times New Roman" w:hAnsi="Times New Roman" w:cs="Times New Roman"/>
                <w:sz w:val="20"/>
                <w:szCs w:val="20"/>
              </w:rPr>
            </w:pPr>
            <w:r w:rsidRPr="00922DF4">
              <w:rPr>
                <w:rFonts w:ascii="Times New Roman" w:hAnsi="Times New Roman"/>
                <w:sz w:val="20"/>
              </w:rPr>
              <w:t>Type de code d’identification utilisé dans la rubrique</w:t>
            </w:r>
            <w:r w:rsidR="003929BD" w:rsidRPr="00922DF4">
              <w:rPr>
                <w:rFonts w:ascii="Times New Roman" w:hAnsi="Times New Roman"/>
                <w:sz w:val="20"/>
              </w:rPr>
              <w:t xml:space="preserve"> « Code</w:t>
            </w:r>
            <w:r w:rsidRPr="00922DF4">
              <w:rPr>
                <w:rFonts w:ascii="Times New Roman" w:hAnsi="Times New Roman"/>
                <w:sz w:val="20"/>
              </w:rPr>
              <w:t xml:space="preserve"> d’identification de </w:t>
            </w:r>
            <w:r w:rsidR="003929BD" w:rsidRPr="00922DF4">
              <w:rPr>
                <w:rFonts w:ascii="Times New Roman" w:hAnsi="Times New Roman"/>
                <w:sz w:val="20"/>
              </w:rPr>
              <w:t>l’instrument »</w:t>
            </w:r>
            <w:r w:rsidRPr="00922DF4">
              <w:rPr>
                <w:rFonts w:ascii="Times New Roman" w:hAnsi="Times New Roman"/>
                <w:sz w:val="20"/>
              </w:rPr>
              <w:t>. Choisir impérativement l’une des options suivantes:</w:t>
            </w:r>
          </w:p>
          <w:p w14:paraId="5B02AFD5" w14:textId="77777777" w:rsidR="007A337E" w:rsidRPr="00922DF4" w:rsidRDefault="007A337E" w:rsidP="007A337E">
            <w:pPr>
              <w:spacing w:after="0"/>
              <w:rPr>
                <w:rFonts w:ascii="Times New Roman" w:hAnsi="Times New Roman" w:cs="Times New Roman"/>
                <w:sz w:val="20"/>
                <w:szCs w:val="20"/>
              </w:rPr>
            </w:pPr>
            <w:r w:rsidRPr="00922DF4">
              <w:rPr>
                <w:rFonts w:ascii="Times New Roman" w:hAnsi="Times New Roman"/>
                <w:sz w:val="20"/>
              </w:rPr>
              <w:t>1 – code ISIN de l’ISO 6166</w:t>
            </w:r>
          </w:p>
          <w:p w14:paraId="112072D2" w14:textId="77777777" w:rsidR="007A337E" w:rsidRPr="00922DF4" w:rsidRDefault="007A337E" w:rsidP="007A337E">
            <w:pPr>
              <w:spacing w:after="0"/>
              <w:rPr>
                <w:rFonts w:ascii="Times New Roman" w:hAnsi="Times New Roman" w:cs="Times New Roman"/>
                <w:sz w:val="20"/>
                <w:szCs w:val="20"/>
              </w:rPr>
            </w:pPr>
            <w:r w:rsidRPr="00922DF4">
              <w:rPr>
                <w:rFonts w:ascii="Times New Roman" w:hAnsi="Times New Roman"/>
                <w:sz w:val="20"/>
              </w:rPr>
              <w:t>2 – code CUSIP (Committee on Uniform Securities Identification Procedures): numéro attribué par le CUSIP Service Bureau pour les entreprises américaines et canadiennes</w:t>
            </w:r>
          </w:p>
          <w:p w14:paraId="24E1A01B" w14:textId="77777777" w:rsidR="007A337E" w:rsidRPr="00922DF4" w:rsidRDefault="007A337E" w:rsidP="007A337E">
            <w:pPr>
              <w:spacing w:after="0"/>
              <w:rPr>
                <w:rFonts w:ascii="Times New Roman" w:hAnsi="Times New Roman" w:cs="Times New Roman"/>
                <w:sz w:val="20"/>
                <w:szCs w:val="20"/>
              </w:rPr>
            </w:pPr>
            <w:r w:rsidRPr="00922DF4">
              <w:rPr>
                <w:rFonts w:ascii="Times New Roman" w:hAnsi="Times New Roman"/>
                <w:sz w:val="20"/>
              </w:rPr>
              <w:t>3 – SEDOL (Stock Exchange Daily Official List pour la bourse de Londres)</w:t>
            </w:r>
          </w:p>
          <w:p w14:paraId="7EC80006" w14:textId="77777777" w:rsidR="007A337E" w:rsidRPr="00922DF4" w:rsidRDefault="007A337E" w:rsidP="007A337E">
            <w:pPr>
              <w:spacing w:after="0"/>
              <w:rPr>
                <w:rFonts w:ascii="Times New Roman" w:hAnsi="Times New Roman" w:cs="Times New Roman"/>
                <w:sz w:val="20"/>
                <w:szCs w:val="20"/>
              </w:rPr>
            </w:pPr>
            <w:r w:rsidRPr="00922DF4">
              <w:rPr>
                <w:rFonts w:ascii="Times New Roman" w:hAnsi="Times New Roman"/>
                <w:sz w:val="20"/>
              </w:rPr>
              <w:t>4 – WKN (Wertpapier Kenn-Nummer, le numéro d’identification alphanumérique allemand)</w:t>
            </w:r>
          </w:p>
          <w:p w14:paraId="59B5ECAD" w14:textId="77777777" w:rsidR="007A337E" w:rsidRPr="00922DF4" w:rsidRDefault="007A337E" w:rsidP="007A337E">
            <w:pPr>
              <w:spacing w:after="0"/>
              <w:rPr>
                <w:rFonts w:ascii="Times New Roman" w:hAnsi="Times New Roman" w:cs="Times New Roman"/>
                <w:sz w:val="20"/>
                <w:szCs w:val="20"/>
              </w:rPr>
            </w:pPr>
            <w:r w:rsidRPr="00922DF4">
              <w:rPr>
                <w:rFonts w:ascii="Times New Roman" w:hAnsi="Times New Roman"/>
                <w:sz w:val="20"/>
              </w:rPr>
              <w:t>5 – Bloomberg Ticker (code à lettres Bloomberg d’identification des titres d’une société)</w:t>
            </w:r>
          </w:p>
          <w:p w14:paraId="3345847C" w14:textId="77777777" w:rsidR="007A337E" w:rsidRPr="00922DF4" w:rsidRDefault="007A337E" w:rsidP="007A337E">
            <w:pPr>
              <w:spacing w:after="0"/>
              <w:rPr>
                <w:rFonts w:ascii="Times New Roman" w:hAnsi="Times New Roman" w:cs="Times New Roman"/>
                <w:sz w:val="20"/>
                <w:szCs w:val="20"/>
              </w:rPr>
            </w:pPr>
            <w:r w:rsidRPr="00922DF4">
              <w:rPr>
                <w:rFonts w:ascii="Times New Roman" w:hAnsi="Times New Roman"/>
                <w:sz w:val="20"/>
              </w:rPr>
              <w:t>6 – BBGID (Bloomberg Global ID)</w:t>
            </w:r>
          </w:p>
          <w:p w14:paraId="0CF86882" w14:textId="77777777" w:rsidR="007A337E" w:rsidRPr="00922DF4" w:rsidRDefault="007A337E" w:rsidP="007A337E">
            <w:pPr>
              <w:spacing w:after="0"/>
              <w:rPr>
                <w:rFonts w:ascii="Times New Roman" w:hAnsi="Times New Roman" w:cs="Times New Roman"/>
                <w:sz w:val="20"/>
                <w:szCs w:val="20"/>
              </w:rPr>
            </w:pPr>
            <w:r w:rsidRPr="00922DF4">
              <w:rPr>
                <w:rFonts w:ascii="Times New Roman" w:hAnsi="Times New Roman"/>
                <w:sz w:val="20"/>
              </w:rPr>
              <w:t>7 – Reuters RIC (Reuters Instrument Code)</w:t>
            </w:r>
          </w:p>
          <w:p w14:paraId="30CE0670" w14:textId="77777777" w:rsidR="007A337E" w:rsidRPr="00922DF4" w:rsidRDefault="007A337E" w:rsidP="007A337E">
            <w:pPr>
              <w:spacing w:after="0"/>
              <w:rPr>
                <w:rFonts w:ascii="Times New Roman" w:hAnsi="Times New Roman"/>
              </w:rPr>
            </w:pPr>
            <w:r w:rsidRPr="00922DF4">
              <w:rPr>
                <w:rFonts w:ascii="Times New Roman" w:hAnsi="Times New Roman"/>
                <w:sz w:val="20"/>
              </w:rPr>
              <w:t>8 – FIGI (Financial Instrument Global Identifier)</w:t>
            </w:r>
          </w:p>
          <w:p w14:paraId="6AD9CDE7" w14:textId="77777777" w:rsidR="007A337E" w:rsidRPr="00922DF4" w:rsidRDefault="007A337E" w:rsidP="007A337E">
            <w:pPr>
              <w:spacing w:after="0"/>
              <w:rPr>
                <w:rFonts w:ascii="Times New Roman" w:hAnsi="Times New Roman" w:cs="Times New Roman"/>
                <w:sz w:val="20"/>
                <w:szCs w:val="20"/>
              </w:rPr>
            </w:pPr>
            <w:r w:rsidRPr="00922DF4">
              <w:rPr>
                <w:rFonts w:ascii="Times New Roman" w:hAnsi="Times New Roman"/>
                <w:sz w:val="20"/>
              </w:rPr>
              <w:t>9 – Autre code attribué par un membre de l’Association des agences nationales de codification</w:t>
            </w:r>
          </w:p>
          <w:p w14:paraId="40BD013E" w14:textId="5E9CA7A7" w:rsidR="007A337E" w:rsidRPr="00922DF4" w:rsidRDefault="007A337E" w:rsidP="007A337E">
            <w:pPr>
              <w:spacing w:after="0" w:line="240" w:lineRule="auto"/>
              <w:rPr>
                <w:rFonts w:ascii="Times New Roman" w:hAnsi="Times New Roman"/>
                <w:sz w:val="20"/>
              </w:rPr>
            </w:pPr>
            <w:r w:rsidRPr="00922DF4">
              <w:rPr>
                <w:rFonts w:ascii="Times New Roman" w:hAnsi="Times New Roman"/>
                <w:sz w:val="20"/>
              </w:rPr>
              <w:t>99 – Code attribué par l’entreprise</w:t>
            </w:r>
          </w:p>
          <w:p w14:paraId="6E85DC09" w14:textId="77777777" w:rsidR="0007536E" w:rsidRPr="00922DF4" w:rsidRDefault="0007536E" w:rsidP="0007536E">
            <w:pPr>
              <w:rPr>
                <w:rFonts w:ascii="Times New Roman" w:hAnsi="Times New Roman" w:cs="Times New Roman"/>
                <w:sz w:val="20"/>
                <w:szCs w:val="20"/>
              </w:rPr>
            </w:pPr>
            <w:r w:rsidRPr="00922DF4">
              <w:rPr>
                <w:rFonts w:ascii="Times New Roman" w:hAnsi="Times New Roman" w:cs="Times New Roman"/>
                <w:sz w:val="20"/>
                <w:szCs w:val="20"/>
              </w:rPr>
              <w:lastRenderedPageBreak/>
              <w:t>100 – dérivés ayant pour sous-jacent plus d’un actif ou d’un passif</w:t>
            </w:r>
          </w:p>
          <w:p w14:paraId="5730AF02" w14:textId="3E80CEAF" w:rsidR="007A337E" w:rsidRPr="00922DF4" w:rsidRDefault="007A337E" w:rsidP="0007536E">
            <w:pPr>
              <w:rPr>
                <w:rFonts w:ascii="Times New Roman" w:eastAsia="Times New Roman" w:hAnsi="Times New Roman" w:cs="Times New Roman"/>
                <w:sz w:val="20"/>
                <w:szCs w:val="20"/>
              </w:rPr>
            </w:pPr>
            <w:r w:rsidRPr="00922DF4">
              <w:rPr>
                <w:rFonts w:ascii="Times New Roman" w:hAnsi="Times New Roman"/>
                <w:sz w:val="20"/>
              </w:rPr>
              <w:t>L’élément ne doit pas être reporté pour les dérivés qui ont plus d’un actif ou passif comme sous-jacents.</w:t>
            </w:r>
          </w:p>
        </w:tc>
      </w:tr>
      <w:tr w:rsidR="007A337E" w:rsidRPr="00922DF4" w14:paraId="6ABB9EDA" w14:textId="77777777" w:rsidTr="007A337E">
        <w:trPr>
          <w:gridBefore w:val="1"/>
          <w:wBefore w:w="10" w:type="dxa"/>
          <w:trHeight w:val="855"/>
        </w:trPr>
        <w:tc>
          <w:tcPr>
            <w:tcW w:w="841" w:type="dxa"/>
            <w:tcBorders>
              <w:top w:val="single" w:sz="4" w:space="0" w:color="auto"/>
              <w:left w:val="single" w:sz="4" w:space="0" w:color="auto"/>
              <w:bottom w:val="single" w:sz="4" w:space="0" w:color="auto"/>
              <w:right w:val="single" w:sz="4" w:space="0" w:color="auto"/>
            </w:tcBorders>
            <w:shd w:val="clear" w:color="auto" w:fill="auto"/>
            <w:hideMark/>
          </w:tcPr>
          <w:p w14:paraId="5E385076"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lastRenderedPageBreak/>
              <w:t>C0200</w:t>
            </w:r>
          </w:p>
        </w:tc>
        <w:tc>
          <w:tcPr>
            <w:tcW w:w="2136" w:type="dxa"/>
            <w:tcBorders>
              <w:top w:val="single" w:sz="4" w:space="0" w:color="auto"/>
              <w:left w:val="nil"/>
              <w:bottom w:val="single" w:sz="4" w:space="0" w:color="auto"/>
              <w:right w:val="single" w:sz="4" w:space="0" w:color="auto"/>
            </w:tcBorders>
            <w:shd w:val="clear" w:color="auto" w:fill="auto"/>
            <w:hideMark/>
          </w:tcPr>
          <w:p w14:paraId="3173A765"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Protection de crédit – CDS et garanties – Nom de la contrepartie pour laquelle la protection de crédit est achetée</w:t>
            </w:r>
          </w:p>
        </w:tc>
        <w:tc>
          <w:tcPr>
            <w:tcW w:w="6237" w:type="dxa"/>
            <w:tcBorders>
              <w:top w:val="single" w:sz="4" w:space="0" w:color="auto"/>
              <w:left w:val="nil"/>
              <w:bottom w:val="single" w:sz="4" w:space="0" w:color="auto"/>
              <w:right w:val="single" w:sz="4" w:space="0" w:color="auto"/>
            </w:tcBorders>
            <w:shd w:val="clear" w:color="auto" w:fill="auto"/>
            <w:hideMark/>
          </w:tcPr>
          <w:p w14:paraId="3CE9A715"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Le nom de la contrepartie pour laquelle la protection de crédit en cas de défaillance a été achetée.</w:t>
            </w:r>
          </w:p>
        </w:tc>
      </w:tr>
      <w:tr w:rsidR="007A337E" w:rsidRPr="00922DF4" w14:paraId="0CBE5C8D" w14:textId="77777777" w:rsidTr="007A337E">
        <w:trPr>
          <w:gridBefore w:val="1"/>
          <w:wBefore w:w="10" w:type="dxa"/>
          <w:trHeight w:val="570"/>
        </w:trPr>
        <w:tc>
          <w:tcPr>
            <w:tcW w:w="841" w:type="dxa"/>
            <w:tcBorders>
              <w:top w:val="nil"/>
              <w:left w:val="single" w:sz="4" w:space="0" w:color="auto"/>
              <w:bottom w:val="single" w:sz="4" w:space="0" w:color="auto"/>
              <w:right w:val="single" w:sz="4" w:space="0" w:color="auto"/>
            </w:tcBorders>
            <w:shd w:val="clear" w:color="auto" w:fill="auto"/>
            <w:hideMark/>
          </w:tcPr>
          <w:p w14:paraId="3ACA0350"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 xml:space="preserve">C0210 </w:t>
            </w:r>
          </w:p>
        </w:tc>
        <w:tc>
          <w:tcPr>
            <w:tcW w:w="2136" w:type="dxa"/>
            <w:tcBorders>
              <w:top w:val="nil"/>
              <w:left w:val="nil"/>
              <w:bottom w:val="single" w:sz="4" w:space="0" w:color="auto"/>
              <w:right w:val="single" w:sz="4" w:space="0" w:color="auto"/>
            </w:tcBorders>
            <w:shd w:val="clear" w:color="auto" w:fill="auto"/>
            <w:hideMark/>
          </w:tcPr>
          <w:p w14:paraId="72EDE009"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Swaps – Taux d’intérêt fourni (pour l’acheteur)</w:t>
            </w:r>
          </w:p>
        </w:tc>
        <w:tc>
          <w:tcPr>
            <w:tcW w:w="6237" w:type="dxa"/>
            <w:tcBorders>
              <w:top w:val="nil"/>
              <w:left w:val="nil"/>
              <w:bottom w:val="single" w:sz="4" w:space="0" w:color="auto"/>
              <w:right w:val="single" w:sz="4" w:space="0" w:color="auto"/>
            </w:tcBorders>
            <w:shd w:val="clear" w:color="auto" w:fill="auto"/>
            <w:hideMark/>
          </w:tcPr>
          <w:p w14:paraId="2AB8C084"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Taux d’intérêt fourni en vertu du contrat de swap (pour les swaps de taux d’intérêt uniquement).</w:t>
            </w:r>
          </w:p>
        </w:tc>
      </w:tr>
      <w:tr w:rsidR="007A337E" w:rsidRPr="00922DF4" w14:paraId="7802CE77" w14:textId="77777777" w:rsidTr="007A337E">
        <w:trPr>
          <w:gridBefore w:val="1"/>
          <w:wBefore w:w="10" w:type="dxa"/>
          <w:trHeight w:val="570"/>
        </w:trPr>
        <w:tc>
          <w:tcPr>
            <w:tcW w:w="841" w:type="dxa"/>
            <w:tcBorders>
              <w:top w:val="nil"/>
              <w:left w:val="single" w:sz="4" w:space="0" w:color="auto"/>
              <w:bottom w:val="single" w:sz="4" w:space="0" w:color="auto"/>
              <w:right w:val="single" w:sz="4" w:space="0" w:color="auto"/>
            </w:tcBorders>
            <w:shd w:val="clear" w:color="auto" w:fill="auto"/>
            <w:hideMark/>
          </w:tcPr>
          <w:p w14:paraId="7DF14378"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 xml:space="preserve">C0220 </w:t>
            </w:r>
          </w:p>
        </w:tc>
        <w:tc>
          <w:tcPr>
            <w:tcW w:w="2136" w:type="dxa"/>
            <w:tcBorders>
              <w:top w:val="nil"/>
              <w:left w:val="nil"/>
              <w:bottom w:val="single" w:sz="4" w:space="0" w:color="auto"/>
              <w:right w:val="single" w:sz="4" w:space="0" w:color="auto"/>
            </w:tcBorders>
            <w:shd w:val="clear" w:color="auto" w:fill="auto"/>
            <w:hideMark/>
          </w:tcPr>
          <w:p w14:paraId="2BB63FEA"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 xml:space="preserve">Swaps – Taux d’intérêt reçu (pour l’acheteur) </w:t>
            </w:r>
          </w:p>
        </w:tc>
        <w:tc>
          <w:tcPr>
            <w:tcW w:w="6237" w:type="dxa"/>
            <w:tcBorders>
              <w:top w:val="nil"/>
              <w:left w:val="nil"/>
              <w:bottom w:val="single" w:sz="4" w:space="0" w:color="auto"/>
              <w:right w:val="single" w:sz="4" w:space="0" w:color="auto"/>
            </w:tcBorders>
            <w:shd w:val="clear" w:color="auto" w:fill="auto"/>
            <w:hideMark/>
          </w:tcPr>
          <w:p w14:paraId="09BECE73"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Taux d’intérêt reçu en vertu du contrat de swap (pour les swaps de taux d’intérêt uniquement).</w:t>
            </w:r>
          </w:p>
        </w:tc>
      </w:tr>
      <w:tr w:rsidR="007A337E" w:rsidRPr="00922DF4" w14:paraId="3622640B" w14:textId="77777777" w:rsidTr="007A337E">
        <w:trPr>
          <w:gridBefore w:val="1"/>
          <w:wBefore w:w="10" w:type="dxa"/>
          <w:trHeight w:val="300"/>
        </w:trPr>
        <w:tc>
          <w:tcPr>
            <w:tcW w:w="841" w:type="dxa"/>
            <w:tcBorders>
              <w:top w:val="nil"/>
              <w:left w:val="single" w:sz="4" w:space="0" w:color="000000"/>
              <w:bottom w:val="nil"/>
              <w:right w:val="single" w:sz="4" w:space="0" w:color="000000"/>
            </w:tcBorders>
            <w:shd w:val="clear" w:color="auto" w:fill="auto"/>
            <w:hideMark/>
          </w:tcPr>
          <w:p w14:paraId="1EB7B061"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 xml:space="preserve">C0230 </w:t>
            </w:r>
          </w:p>
        </w:tc>
        <w:tc>
          <w:tcPr>
            <w:tcW w:w="2136" w:type="dxa"/>
            <w:tcBorders>
              <w:top w:val="nil"/>
              <w:left w:val="nil"/>
              <w:bottom w:val="nil"/>
              <w:right w:val="single" w:sz="4" w:space="0" w:color="000000"/>
            </w:tcBorders>
            <w:shd w:val="clear" w:color="auto" w:fill="auto"/>
            <w:hideMark/>
          </w:tcPr>
          <w:p w14:paraId="07F64A8A"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Swaps – Devise fournie (pour l’acheteur)</w:t>
            </w:r>
          </w:p>
        </w:tc>
        <w:tc>
          <w:tcPr>
            <w:tcW w:w="6237" w:type="dxa"/>
            <w:tcBorders>
              <w:top w:val="nil"/>
              <w:left w:val="nil"/>
              <w:bottom w:val="nil"/>
              <w:right w:val="single" w:sz="4" w:space="0" w:color="000000"/>
            </w:tcBorders>
            <w:shd w:val="clear" w:color="auto" w:fill="auto"/>
            <w:hideMark/>
          </w:tcPr>
          <w:p w14:paraId="0E9646AF"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sz w:val="20"/>
              </w:rPr>
              <w:t>Indiquer le code alphabétique ISO 4217 de la monnaie du prix du swap (pour les swaps de devises uniquement)</w:t>
            </w:r>
          </w:p>
        </w:tc>
      </w:tr>
      <w:tr w:rsidR="007A337E" w:rsidRPr="00922DF4" w14:paraId="6087D397" w14:textId="77777777" w:rsidTr="007A337E">
        <w:trPr>
          <w:gridBefore w:val="1"/>
          <w:wBefore w:w="10" w:type="dxa"/>
          <w:trHeight w:val="300"/>
        </w:trPr>
        <w:tc>
          <w:tcPr>
            <w:tcW w:w="841" w:type="dxa"/>
            <w:tcBorders>
              <w:top w:val="single" w:sz="4" w:space="0" w:color="000000"/>
              <w:left w:val="single" w:sz="4" w:space="0" w:color="000000"/>
              <w:bottom w:val="single" w:sz="4" w:space="0" w:color="000000"/>
              <w:right w:val="single" w:sz="4" w:space="0" w:color="000000"/>
            </w:tcBorders>
            <w:shd w:val="clear" w:color="auto" w:fill="auto"/>
            <w:hideMark/>
          </w:tcPr>
          <w:p w14:paraId="6064C3E0"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 xml:space="preserve">C0240 </w:t>
            </w:r>
          </w:p>
        </w:tc>
        <w:tc>
          <w:tcPr>
            <w:tcW w:w="2136" w:type="dxa"/>
            <w:tcBorders>
              <w:top w:val="single" w:sz="4" w:space="0" w:color="000000"/>
              <w:left w:val="nil"/>
              <w:bottom w:val="single" w:sz="4" w:space="0" w:color="000000"/>
              <w:right w:val="single" w:sz="4" w:space="0" w:color="000000"/>
            </w:tcBorders>
            <w:shd w:val="clear" w:color="auto" w:fill="auto"/>
            <w:hideMark/>
          </w:tcPr>
          <w:p w14:paraId="14BB45F7"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 xml:space="preserve">Swaps – Devise reçue (pour l’acheteur) </w:t>
            </w:r>
          </w:p>
        </w:tc>
        <w:tc>
          <w:tcPr>
            <w:tcW w:w="6237" w:type="dxa"/>
            <w:tcBorders>
              <w:top w:val="single" w:sz="4" w:space="0" w:color="000000"/>
              <w:left w:val="nil"/>
              <w:bottom w:val="single" w:sz="4" w:space="0" w:color="000000"/>
              <w:right w:val="single" w:sz="4" w:space="0" w:color="000000"/>
            </w:tcBorders>
            <w:shd w:val="clear" w:color="auto" w:fill="auto"/>
            <w:hideMark/>
          </w:tcPr>
          <w:p w14:paraId="6F77C32F"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sz w:val="20"/>
              </w:rPr>
              <w:t>Indiquer le code alphabétique ISO 4217 de la monnaie du montant notionnel du swap (pour swaps de devises uniquement).</w:t>
            </w:r>
          </w:p>
        </w:tc>
      </w:tr>
    </w:tbl>
    <w:p w14:paraId="55CD28E3" w14:textId="77777777" w:rsidR="007A337E" w:rsidRPr="00922DF4" w:rsidRDefault="007A337E" w:rsidP="007A337E">
      <w:pPr>
        <w:rPr>
          <w:rFonts w:ascii="Times New Roman" w:hAnsi="Times New Roman"/>
        </w:rPr>
      </w:pPr>
    </w:p>
    <w:p w14:paraId="0E016137" w14:textId="37F12A2B" w:rsidR="007115AB" w:rsidRPr="00922DF4" w:rsidRDefault="007873CC" w:rsidP="007873CC">
      <w:pPr>
        <w:rPr>
          <w:b/>
        </w:rPr>
      </w:pPr>
      <w:r w:rsidRPr="00922DF4">
        <w:rPr>
          <w:b/>
        </w:rPr>
        <w:t xml:space="preserve">2. </w:t>
      </w:r>
      <w:r w:rsidR="00802BBF" w:rsidRPr="00922DF4">
        <w:rPr>
          <w:b/>
        </w:rPr>
        <w:t>Tableau de l’état</w:t>
      </w:r>
    </w:p>
    <w:p w14:paraId="139F758B" w14:textId="500CE023" w:rsidR="0085062E" w:rsidRPr="00922DF4" w:rsidRDefault="00792B68" w:rsidP="0085062E">
      <w:pPr>
        <w:rPr>
          <w:b/>
          <w:bCs/>
        </w:rPr>
      </w:pPr>
      <w:r w:rsidRPr="00922DF4">
        <w:rPr>
          <w:b/>
          <w:bCs/>
          <w:noProof/>
          <w:lang w:bidi="ar-SA"/>
        </w:rPr>
        <w:drawing>
          <wp:inline distT="0" distB="0" distL="0" distR="0" wp14:anchorId="18FF8764" wp14:editId="67C1EE4E">
            <wp:extent cx="6086475" cy="2220559"/>
            <wp:effectExtent l="0" t="0" r="0" b="889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100556" cy="2225696"/>
                    </a:xfrm>
                    <a:prstGeom prst="rect">
                      <a:avLst/>
                    </a:prstGeom>
                  </pic:spPr>
                </pic:pic>
              </a:graphicData>
            </a:graphic>
          </wp:inline>
        </w:drawing>
      </w:r>
    </w:p>
    <w:p w14:paraId="3AA66EEC" w14:textId="045F2F0C" w:rsidR="007A337E" w:rsidRPr="00922DF4" w:rsidRDefault="007A337E" w:rsidP="003C4153">
      <w:pPr>
        <w:spacing w:after="100" w:afterAutospacing="1"/>
        <w:rPr>
          <w:rFonts w:ascii="Times New Roman" w:hAnsi="Times New Roman"/>
          <w:b/>
          <w:sz w:val="20"/>
        </w:rPr>
      </w:pPr>
      <w:r w:rsidRPr="00922DF4">
        <w:rPr>
          <w:rFonts w:ascii="Times New Roman" w:hAnsi="Times New Roman"/>
          <w:b/>
          <w:sz w:val="20"/>
        </w:rPr>
        <w:br w:type="page"/>
      </w:r>
    </w:p>
    <w:p w14:paraId="1DFA2123" w14:textId="3A35951E" w:rsidR="007A337E" w:rsidRPr="00922DF4" w:rsidRDefault="007A337E" w:rsidP="007A337E">
      <w:pPr>
        <w:rPr>
          <w:rFonts w:ascii="Times New Roman" w:eastAsia="Times New Roman" w:hAnsi="Times New Roman" w:cs="Times New Roman"/>
          <w:b/>
          <w:bCs/>
          <w:sz w:val="20"/>
          <w:szCs w:val="20"/>
        </w:rPr>
      </w:pPr>
      <w:r w:rsidRPr="00922DF4">
        <w:rPr>
          <w:rFonts w:ascii="Times New Roman" w:hAnsi="Times New Roman"/>
          <w:b/>
          <w:sz w:val="20"/>
        </w:rPr>
        <w:lastRenderedPageBreak/>
        <w:t>RP.36.03</w:t>
      </w:r>
      <w:r w:rsidR="007115AB" w:rsidRPr="00922DF4">
        <w:rPr>
          <w:rFonts w:ascii="Times New Roman" w:hAnsi="Times New Roman"/>
          <w:b/>
          <w:sz w:val="20"/>
        </w:rPr>
        <w:t>.01</w:t>
      </w:r>
      <w:r w:rsidRPr="00922DF4">
        <w:rPr>
          <w:rFonts w:ascii="Times New Roman" w:hAnsi="Times New Roman"/>
          <w:b/>
          <w:sz w:val="20"/>
        </w:rPr>
        <w:t xml:space="preserve"> – Transactions intragroupe – Réassurance interne</w:t>
      </w:r>
    </w:p>
    <w:p w14:paraId="0D3C6BF6" w14:textId="0F31909A" w:rsidR="00F46999" w:rsidRPr="00922DF4" w:rsidRDefault="001E1434" w:rsidP="007A337E">
      <w:pPr>
        <w:pStyle w:val="Paragraphedeliste"/>
        <w:numPr>
          <w:ilvl w:val="0"/>
          <w:numId w:val="8"/>
        </w:numPr>
        <w:rPr>
          <w:b/>
          <w:bCs/>
        </w:rPr>
      </w:pPr>
      <w:r w:rsidRPr="00922DF4">
        <w:rPr>
          <w:b/>
        </w:rPr>
        <w:t>Observations</w:t>
      </w:r>
    </w:p>
    <w:p w14:paraId="3057F5D0" w14:textId="7E9DEA26" w:rsidR="007A337E" w:rsidRPr="00922DF4" w:rsidRDefault="007A337E" w:rsidP="007A337E">
      <w:pPr>
        <w:spacing w:after="0"/>
        <w:jc w:val="both"/>
        <w:rPr>
          <w:rFonts w:ascii="Times New Roman" w:hAnsi="Times New Roman" w:cs="Times New Roman"/>
          <w:color w:val="000000"/>
          <w:sz w:val="20"/>
          <w:szCs w:val="20"/>
        </w:rPr>
      </w:pPr>
      <w:r w:rsidRPr="00922DF4">
        <w:rPr>
          <w:rFonts w:ascii="Times New Roman" w:hAnsi="Times New Roman"/>
          <w:sz w:val="20"/>
        </w:rPr>
        <w:t xml:space="preserve">Ce modèle vise à recueillir des informations sur toutes </w:t>
      </w:r>
      <w:r w:rsidR="00102640" w:rsidRPr="00922DF4">
        <w:rPr>
          <w:rFonts w:ascii="Times New Roman" w:hAnsi="Times New Roman"/>
          <w:sz w:val="20"/>
        </w:rPr>
        <w:t>les transactions intragroupes</w:t>
      </w:r>
      <w:r w:rsidRPr="00922DF4">
        <w:rPr>
          <w:rFonts w:ascii="Times New Roman" w:hAnsi="Times New Roman"/>
          <w:sz w:val="20"/>
        </w:rPr>
        <w:t xml:space="preserve"> concernant les </w:t>
      </w:r>
      <w:r w:rsidR="00052BC6" w:rsidRPr="00922DF4">
        <w:rPr>
          <w:rFonts w:ascii="Times New Roman" w:hAnsi="Times New Roman"/>
          <w:sz w:val="20"/>
        </w:rPr>
        <w:t>opérations de réassurance</w:t>
      </w:r>
      <w:r w:rsidRPr="00922DF4">
        <w:rPr>
          <w:rFonts w:ascii="Times New Roman" w:hAnsi="Times New Roman"/>
          <w:sz w:val="20"/>
        </w:rPr>
        <w:t xml:space="preserve"> </w:t>
      </w:r>
      <w:r w:rsidR="009B00E3" w:rsidRPr="00922DF4">
        <w:rPr>
          <w:rFonts w:ascii="Times New Roman" w:hAnsi="Times New Roman"/>
          <w:sz w:val="20"/>
        </w:rPr>
        <w:t>interne du</w:t>
      </w:r>
      <w:r w:rsidRPr="00922DF4">
        <w:rPr>
          <w:rFonts w:ascii="Times New Roman" w:hAnsi="Times New Roman"/>
          <w:sz w:val="20"/>
        </w:rPr>
        <w:t xml:space="preserve"> groupe tel que défini au 5° de l’article L.356-2 du code des assurances. Il s’agit notamment, mais pas exclusivement: </w:t>
      </w:r>
    </w:p>
    <w:p w14:paraId="397E019B" w14:textId="77777777" w:rsidR="007A337E" w:rsidRPr="00922DF4" w:rsidRDefault="007A337E" w:rsidP="007115AB">
      <w:pPr>
        <w:numPr>
          <w:ilvl w:val="0"/>
          <w:numId w:val="1"/>
        </w:numPr>
        <w:tabs>
          <w:tab w:val="clear" w:pos="1774"/>
          <w:tab w:val="left" w:pos="459"/>
          <w:tab w:val="num" w:pos="568"/>
        </w:tabs>
        <w:suppressAutoHyphens/>
        <w:snapToGrid w:val="0"/>
        <w:spacing w:after="0" w:line="240" w:lineRule="auto"/>
        <w:ind w:left="568"/>
        <w:rPr>
          <w:rFonts w:ascii="Times New Roman" w:hAnsi="Times New Roman" w:cs="Times New Roman"/>
          <w:color w:val="000000"/>
          <w:sz w:val="20"/>
          <w:szCs w:val="20"/>
        </w:rPr>
      </w:pPr>
      <w:r w:rsidRPr="00922DF4">
        <w:rPr>
          <w:rFonts w:ascii="Times New Roman" w:hAnsi="Times New Roman"/>
          <w:color w:val="000000"/>
          <w:sz w:val="20"/>
        </w:rPr>
        <w:t>des traités de réassurance entre entreprises liées;</w:t>
      </w:r>
    </w:p>
    <w:p w14:paraId="3210775E" w14:textId="77777777" w:rsidR="007A337E" w:rsidRPr="00922DF4" w:rsidRDefault="007A337E" w:rsidP="007115AB">
      <w:pPr>
        <w:numPr>
          <w:ilvl w:val="0"/>
          <w:numId w:val="1"/>
        </w:numPr>
        <w:tabs>
          <w:tab w:val="clear" w:pos="1774"/>
          <w:tab w:val="left" w:pos="459"/>
          <w:tab w:val="num" w:pos="568"/>
        </w:tabs>
        <w:suppressAutoHyphens/>
        <w:snapToGrid w:val="0"/>
        <w:spacing w:after="0" w:line="240" w:lineRule="auto"/>
        <w:ind w:left="568"/>
        <w:rPr>
          <w:rFonts w:ascii="Times New Roman" w:hAnsi="Times New Roman" w:cs="Times New Roman"/>
          <w:color w:val="000000"/>
          <w:sz w:val="20"/>
          <w:szCs w:val="20"/>
        </w:rPr>
      </w:pPr>
      <w:r w:rsidRPr="00922DF4">
        <w:rPr>
          <w:rFonts w:ascii="Times New Roman" w:hAnsi="Times New Roman"/>
          <w:color w:val="000000"/>
          <w:sz w:val="20"/>
        </w:rPr>
        <w:t xml:space="preserve">de la réassurance facultative entre entreprises liées; et </w:t>
      </w:r>
    </w:p>
    <w:p w14:paraId="422CA23B" w14:textId="14E19751" w:rsidR="007A337E" w:rsidRPr="00922DF4" w:rsidRDefault="007A337E" w:rsidP="00052BC6">
      <w:pPr>
        <w:numPr>
          <w:ilvl w:val="0"/>
          <w:numId w:val="1"/>
        </w:numPr>
        <w:tabs>
          <w:tab w:val="clear" w:pos="1774"/>
          <w:tab w:val="left" w:pos="459"/>
          <w:tab w:val="num" w:pos="568"/>
        </w:tabs>
        <w:suppressAutoHyphens/>
        <w:snapToGrid w:val="0"/>
        <w:spacing w:after="0" w:line="240" w:lineRule="auto"/>
        <w:ind w:left="568"/>
        <w:rPr>
          <w:rFonts w:ascii="Times New Roman" w:hAnsi="Times New Roman" w:cs="Times New Roman"/>
          <w:color w:val="000000"/>
          <w:sz w:val="20"/>
          <w:szCs w:val="20"/>
        </w:rPr>
      </w:pPr>
      <w:r w:rsidRPr="00922DF4">
        <w:rPr>
          <w:rFonts w:ascii="Times New Roman" w:hAnsi="Times New Roman"/>
          <w:color w:val="000000"/>
          <w:sz w:val="20"/>
        </w:rPr>
        <w:t>de toute autre transaction entraînant un transfert de risque de souscription (risque d’assurance) entre des entreprises liées.</w:t>
      </w:r>
    </w:p>
    <w:p w14:paraId="497CB50C" w14:textId="77777777" w:rsidR="007115AB" w:rsidRPr="00922DF4" w:rsidRDefault="007115AB" w:rsidP="007A337E">
      <w:pPr>
        <w:suppressAutoHyphens/>
        <w:snapToGrid w:val="0"/>
        <w:spacing w:after="0" w:line="240" w:lineRule="auto"/>
        <w:jc w:val="both"/>
        <w:rPr>
          <w:rFonts w:ascii="Times New Roman" w:hAnsi="Times New Roman"/>
          <w:sz w:val="20"/>
        </w:rPr>
      </w:pPr>
    </w:p>
    <w:p w14:paraId="69DB351D" w14:textId="211E167D" w:rsidR="007115AB" w:rsidRPr="00922DF4" w:rsidRDefault="007115AB" w:rsidP="007115AB">
      <w:pPr>
        <w:pStyle w:val="Paragraphedeliste"/>
        <w:numPr>
          <w:ilvl w:val="0"/>
          <w:numId w:val="8"/>
        </w:numPr>
        <w:rPr>
          <w:b/>
          <w:bCs/>
        </w:rPr>
      </w:pPr>
      <w:r w:rsidRPr="00922DF4">
        <w:rPr>
          <w:b/>
        </w:rPr>
        <w:t>Utilisation de l’état</w:t>
      </w:r>
    </w:p>
    <w:p w14:paraId="1F4EF4FA" w14:textId="77777777" w:rsidR="007A337E" w:rsidRPr="00922DF4" w:rsidRDefault="007A337E" w:rsidP="007A337E">
      <w:pPr>
        <w:tabs>
          <w:tab w:val="left" w:pos="459"/>
        </w:tabs>
        <w:snapToGrid w:val="0"/>
        <w:spacing w:after="0" w:line="240" w:lineRule="auto"/>
        <w:ind w:left="175"/>
        <w:rPr>
          <w:rFonts w:ascii="Times New Roman" w:hAnsi="Times New Roman" w:cs="Times New Roman"/>
          <w:color w:val="000000"/>
          <w:sz w:val="20"/>
          <w:szCs w:val="20"/>
        </w:rPr>
      </w:pPr>
    </w:p>
    <w:tbl>
      <w:tblPr>
        <w:tblW w:w="9224" w:type="dxa"/>
        <w:tblInd w:w="98" w:type="dxa"/>
        <w:tblLayout w:type="fixed"/>
        <w:tblLook w:val="04A0" w:firstRow="1" w:lastRow="0" w:firstColumn="1" w:lastColumn="0" w:noHBand="0" w:noVBand="1"/>
      </w:tblPr>
      <w:tblGrid>
        <w:gridCol w:w="1003"/>
        <w:gridCol w:w="1559"/>
        <w:gridCol w:w="6662"/>
      </w:tblGrid>
      <w:tr w:rsidR="007A337E" w:rsidRPr="00922DF4" w14:paraId="7ACDB4F6" w14:textId="77777777" w:rsidTr="007A337E">
        <w:trPr>
          <w:trHeight w:val="337"/>
        </w:trPr>
        <w:tc>
          <w:tcPr>
            <w:tcW w:w="1003" w:type="dxa"/>
            <w:tcBorders>
              <w:top w:val="single" w:sz="4" w:space="0" w:color="auto"/>
              <w:left w:val="single" w:sz="4" w:space="0" w:color="auto"/>
              <w:bottom w:val="single" w:sz="4" w:space="0" w:color="auto"/>
              <w:right w:val="single" w:sz="4" w:space="0" w:color="auto"/>
            </w:tcBorders>
            <w:shd w:val="clear" w:color="auto" w:fill="auto"/>
          </w:tcPr>
          <w:p w14:paraId="3318E0BB" w14:textId="77777777" w:rsidR="007A337E" w:rsidRPr="00922DF4" w:rsidRDefault="007A337E" w:rsidP="007A337E">
            <w:pPr>
              <w:spacing w:after="0" w:line="240" w:lineRule="auto"/>
              <w:jc w:val="center"/>
              <w:rPr>
                <w:rFonts w:ascii="Times New Roman" w:eastAsia="Times New Roman" w:hAnsi="Times New Roman" w:cs="Times New Roman"/>
                <w:color w:val="000000"/>
                <w:sz w:val="20"/>
                <w:szCs w:val="20"/>
              </w:rPr>
            </w:pPr>
          </w:p>
        </w:tc>
        <w:tc>
          <w:tcPr>
            <w:tcW w:w="1559" w:type="dxa"/>
            <w:tcBorders>
              <w:top w:val="single" w:sz="4" w:space="0" w:color="auto"/>
              <w:left w:val="nil"/>
              <w:bottom w:val="single" w:sz="4" w:space="0" w:color="auto"/>
              <w:right w:val="single" w:sz="4" w:space="0" w:color="auto"/>
            </w:tcBorders>
            <w:shd w:val="clear" w:color="auto" w:fill="auto"/>
          </w:tcPr>
          <w:p w14:paraId="5C722B77" w14:textId="77777777" w:rsidR="007A337E" w:rsidRPr="00922DF4" w:rsidRDefault="007A337E" w:rsidP="007A337E">
            <w:pPr>
              <w:spacing w:after="0" w:line="240" w:lineRule="auto"/>
              <w:jc w:val="center"/>
              <w:rPr>
                <w:rFonts w:ascii="Times New Roman" w:eastAsia="Times New Roman" w:hAnsi="Times New Roman" w:cs="Times New Roman"/>
                <w:color w:val="000000"/>
                <w:sz w:val="20"/>
                <w:szCs w:val="20"/>
              </w:rPr>
            </w:pPr>
            <w:r w:rsidRPr="00922DF4">
              <w:rPr>
                <w:rFonts w:ascii="Times New Roman" w:hAnsi="Times New Roman"/>
                <w:b/>
                <w:sz w:val="20"/>
              </w:rPr>
              <w:t>ÉLÉMENT À DÉCLARER</w:t>
            </w:r>
          </w:p>
        </w:tc>
        <w:tc>
          <w:tcPr>
            <w:tcW w:w="6662" w:type="dxa"/>
            <w:tcBorders>
              <w:top w:val="single" w:sz="4" w:space="0" w:color="auto"/>
              <w:left w:val="nil"/>
              <w:bottom w:val="single" w:sz="4" w:space="0" w:color="auto"/>
              <w:right w:val="single" w:sz="4" w:space="0" w:color="auto"/>
            </w:tcBorders>
            <w:shd w:val="clear" w:color="auto" w:fill="auto"/>
          </w:tcPr>
          <w:p w14:paraId="22FA63A7" w14:textId="77777777" w:rsidR="007A337E" w:rsidRPr="00922DF4" w:rsidRDefault="007A337E" w:rsidP="007A337E">
            <w:pPr>
              <w:spacing w:after="0" w:line="240" w:lineRule="auto"/>
              <w:jc w:val="center"/>
              <w:rPr>
                <w:rFonts w:ascii="Times New Roman" w:eastAsia="Times New Roman" w:hAnsi="Times New Roman" w:cs="Times New Roman"/>
                <w:color w:val="000000"/>
                <w:sz w:val="20"/>
                <w:szCs w:val="20"/>
              </w:rPr>
            </w:pPr>
            <w:r w:rsidRPr="00922DF4">
              <w:rPr>
                <w:rFonts w:ascii="Times New Roman" w:hAnsi="Times New Roman"/>
                <w:b/>
                <w:sz w:val="20"/>
              </w:rPr>
              <w:t>INSTRUCTIONS</w:t>
            </w:r>
          </w:p>
        </w:tc>
      </w:tr>
      <w:tr w:rsidR="007A337E" w:rsidRPr="00922DF4" w14:paraId="13F9229E" w14:textId="77777777" w:rsidTr="007A337E">
        <w:trPr>
          <w:trHeight w:val="570"/>
        </w:trPr>
        <w:tc>
          <w:tcPr>
            <w:tcW w:w="1003" w:type="dxa"/>
            <w:tcBorders>
              <w:top w:val="single" w:sz="4" w:space="0" w:color="auto"/>
              <w:left w:val="single" w:sz="4" w:space="0" w:color="auto"/>
              <w:bottom w:val="single" w:sz="4" w:space="0" w:color="auto"/>
              <w:right w:val="single" w:sz="4" w:space="0" w:color="auto"/>
            </w:tcBorders>
            <w:shd w:val="clear" w:color="auto" w:fill="auto"/>
            <w:hideMark/>
          </w:tcPr>
          <w:p w14:paraId="40A44385"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 xml:space="preserve">C0010 </w:t>
            </w:r>
          </w:p>
        </w:tc>
        <w:tc>
          <w:tcPr>
            <w:tcW w:w="1559" w:type="dxa"/>
            <w:tcBorders>
              <w:top w:val="single" w:sz="4" w:space="0" w:color="auto"/>
              <w:left w:val="nil"/>
              <w:bottom w:val="single" w:sz="4" w:space="0" w:color="auto"/>
              <w:right w:val="single" w:sz="4" w:space="0" w:color="auto"/>
            </w:tcBorders>
            <w:shd w:val="clear" w:color="auto" w:fill="auto"/>
            <w:hideMark/>
          </w:tcPr>
          <w:p w14:paraId="78BF0C6C"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Identifiant de la transaction intragroupe</w:t>
            </w:r>
          </w:p>
        </w:tc>
        <w:tc>
          <w:tcPr>
            <w:tcW w:w="6662" w:type="dxa"/>
            <w:tcBorders>
              <w:top w:val="single" w:sz="4" w:space="0" w:color="auto"/>
              <w:left w:val="nil"/>
              <w:bottom w:val="single" w:sz="4" w:space="0" w:color="auto"/>
              <w:right w:val="single" w:sz="4" w:space="0" w:color="auto"/>
            </w:tcBorders>
            <w:shd w:val="clear" w:color="auto" w:fill="auto"/>
            <w:hideMark/>
          </w:tcPr>
          <w:p w14:paraId="544C7389"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Code d’identification interne unique pour chaque transaction intragroupe. Doit rester constant dans le temps.</w:t>
            </w:r>
          </w:p>
        </w:tc>
      </w:tr>
      <w:tr w:rsidR="007A337E" w:rsidRPr="00922DF4" w14:paraId="1D51EC8A" w14:textId="77777777" w:rsidTr="007A337E">
        <w:trPr>
          <w:trHeight w:val="592"/>
        </w:trPr>
        <w:tc>
          <w:tcPr>
            <w:tcW w:w="1003" w:type="dxa"/>
            <w:tcBorders>
              <w:top w:val="single" w:sz="4" w:space="0" w:color="auto"/>
              <w:left w:val="single" w:sz="4" w:space="0" w:color="auto"/>
              <w:bottom w:val="single" w:sz="4" w:space="0" w:color="auto"/>
              <w:right w:val="single" w:sz="4" w:space="0" w:color="auto"/>
            </w:tcBorders>
            <w:shd w:val="clear" w:color="auto" w:fill="auto"/>
            <w:hideMark/>
          </w:tcPr>
          <w:p w14:paraId="57B1C4B0"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 xml:space="preserve">C0020 </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59D3841B"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 xml:space="preserve">Nom de la cédante  </w:t>
            </w:r>
          </w:p>
        </w:tc>
        <w:tc>
          <w:tcPr>
            <w:tcW w:w="6662" w:type="dxa"/>
            <w:tcBorders>
              <w:top w:val="single" w:sz="4" w:space="0" w:color="auto"/>
              <w:left w:val="single" w:sz="4" w:space="0" w:color="auto"/>
              <w:bottom w:val="single" w:sz="4" w:space="0" w:color="auto"/>
              <w:right w:val="single" w:sz="4" w:space="0" w:color="auto"/>
            </w:tcBorders>
            <w:shd w:val="clear" w:color="auto" w:fill="auto"/>
            <w:hideMark/>
          </w:tcPr>
          <w:p w14:paraId="227FD66E"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 xml:space="preserve">Nom juridique de l’entité qui a transféré le risque de souscription à un autre assureur ou réassureur du groupe. </w:t>
            </w:r>
          </w:p>
        </w:tc>
      </w:tr>
      <w:tr w:rsidR="007A337E" w:rsidRPr="00922DF4" w14:paraId="082E63B6" w14:textId="77777777" w:rsidTr="007A337E">
        <w:trPr>
          <w:trHeight w:val="1140"/>
        </w:trPr>
        <w:tc>
          <w:tcPr>
            <w:tcW w:w="1003" w:type="dxa"/>
            <w:tcBorders>
              <w:top w:val="single" w:sz="4" w:space="0" w:color="auto"/>
              <w:left w:val="single" w:sz="4" w:space="0" w:color="auto"/>
              <w:bottom w:val="nil"/>
              <w:right w:val="single" w:sz="4" w:space="0" w:color="auto"/>
            </w:tcBorders>
            <w:shd w:val="clear" w:color="auto" w:fill="auto"/>
            <w:hideMark/>
          </w:tcPr>
          <w:p w14:paraId="6AEC34E9"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 xml:space="preserve">C0030 </w:t>
            </w:r>
          </w:p>
        </w:tc>
        <w:tc>
          <w:tcPr>
            <w:tcW w:w="1559" w:type="dxa"/>
            <w:tcBorders>
              <w:top w:val="single" w:sz="4" w:space="0" w:color="auto"/>
              <w:left w:val="nil"/>
              <w:bottom w:val="nil"/>
              <w:right w:val="single" w:sz="4" w:space="0" w:color="auto"/>
            </w:tcBorders>
            <w:shd w:val="clear" w:color="auto" w:fill="auto"/>
            <w:hideMark/>
          </w:tcPr>
          <w:p w14:paraId="02B6B321"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Code d’identification de la cédante</w:t>
            </w:r>
          </w:p>
        </w:tc>
        <w:tc>
          <w:tcPr>
            <w:tcW w:w="6662" w:type="dxa"/>
            <w:tcBorders>
              <w:top w:val="single" w:sz="4" w:space="0" w:color="auto"/>
              <w:left w:val="nil"/>
              <w:bottom w:val="nil"/>
              <w:right w:val="single" w:sz="4" w:space="0" w:color="auto"/>
            </w:tcBorders>
            <w:shd w:val="clear" w:color="auto" w:fill="auto"/>
            <w:hideMark/>
          </w:tcPr>
          <w:p w14:paraId="36029C6E" w14:textId="77777777" w:rsidR="007A337E" w:rsidRPr="00922DF4" w:rsidRDefault="007A337E" w:rsidP="007A337E">
            <w:pPr>
              <w:spacing w:after="0" w:line="240" w:lineRule="auto"/>
              <w:rPr>
                <w:rFonts w:ascii="Times New Roman" w:eastAsia="Times New Roman" w:hAnsi="Times New Roman" w:cs="Times New Roman"/>
                <w:sz w:val="20"/>
                <w:szCs w:val="20"/>
              </w:rPr>
            </w:pPr>
            <w:r w:rsidRPr="00922DF4">
              <w:rPr>
                <w:rFonts w:ascii="Times New Roman" w:hAnsi="Times New Roman"/>
                <w:color w:val="000000"/>
                <w:sz w:val="20"/>
              </w:rPr>
              <w:t>Le code d’identification unique de l’investisseur/de l’acheteur/du cessionnaire, par ordre de priorité suivant:</w:t>
            </w:r>
            <w:r w:rsidRPr="00922DF4">
              <w:rPr>
                <w:rFonts w:ascii="Times New Roman" w:hAnsi="Times New Roman"/>
                <w:sz w:val="20"/>
              </w:rPr>
              <w:t xml:space="preserve"> </w:t>
            </w:r>
            <w:r w:rsidRPr="00922DF4">
              <w:rPr>
                <w:rFonts w:ascii="Times New Roman" w:eastAsia="Times New Roman" w:hAnsi="Times New Roman" w:cs="Times New Roman"/>
                <w:sz w:val="20"/>
                <w:szCs w:val="20"/>
              </w:rPr>
              <w:br/>
            </w:r>
            <w:r w:rsidRPr="00922DF4">
              <w:rPr>
                <w:rFonts w:ascii="Times New Roman" w:hAnsi="Times New Roman"/>
                <w:sz w:val="20"/>
              </w:rPr>
              <w:t xml:space="preserve">– Identifiant d’entité juridique (LEI); </w:t>
            </w:r>
            <w:r w:rsidRPr="00922DF4">
              <w:rPr>
                <w:rFonts w:ascii="Times New Roman" w:eastAsia="Times New Roman" w:hAnsi="Times New Roman" w:cs="Times New Roman"/>
                <w:sz w:val="20"/>
                <w:szCs w:val="20"/>
              </w:rPr>
              <w:br/>
            </w:r>
            <w:r w:rsidRPr="00922DF4">
              <w:rPr>
                <w:rFonts w:ascii="Times New Roman" w:hAnsi="Times New Roman"/>
                <w:sz w:val="20"/>
              </w:rPr>
              <w:t>– code spécifique.</w:t>
            </w:r>
            <w:r w:rsidRPr="00922DF4">
              <w:rPr>
                <w:rFonts w:ascii="Times New Roman" w:eastAsia="Times New Roman" w:hAnsi="Times New Roman" w:cs="Times New Roman"/>
                <w:sz w:val="20"/>
                <w:szCs w:val="20"/>
              </w:rPr>
              <w:br/>
            </w:r>
            <w:r w:rsidRPr="00922DF4">
              <w:rPr>
                <w:rFonts w:ascii="Times New Roman" w:eastAsia="Times New Roman" w:hAnsi="Times New Roman" w:cs="Times New Roman"/>
                <w:sz w:val="20"/>
                <w:szCs w:val="20"/>
              </w:rPr>
              <w:br/>
            </w:r>
            <w:r w:rsidRPr="00922DF4">
              <w:rPr>
                <w:rFonts w:ascii="Times New Roman" w:hAnsi="Times New Roman"/>
                <w:sz w:val="20"/>
              </w:rPr>
              <w:t xml:space="preserve">Code spécifique: </w:t>
            </w:r>
            <w:r w:rsidRPr="00922DF4">
              <w:rPr>
                <w:rFonts w:ascii="Times New Roman" w:eastAsia="Times New Roman" w:hAnsi="Times New Roman" w:cs="Times New Roman"/>
                <w:sz w:val="20"/>
                <w:szCs w:val="20"/>
              </w:rPr>
              <w:br/>
            </w:r>
            <w:r w:rsidRPr="00922DF4">
              <w:rPr>
                <w:rFonts w:ascii="Times New Roman" w:hAnsi="Times New Roman"/>
                <w:sz w:val="20"/>
              </w:rPr>
              <w:t>– pour les entreprises d’assurance et de réassurance EEE et les autres entreprises EEE réglementées du groupe: le code d’identification, attribué par l’autorité de contrôle compétente nationale, qui est utilisé sur le marché local;</w:t>
            </w:r>
          </w:p>
          <w:p w14:paraId="1D37FE95"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sz w:val="20"/>
              </w:rPr>
              <w:t xml:space="preserve">– pour les entreprises hors EEE et les entreprises non réglementées du groupe, le code d’identification est fourni par le groupe. Le code d’identification attribué à chaque entreprise hors EEE ou non réglementée doit systématiquement respecter le format suivant: </w:t>
            </w:r>
            <w:r w:rsidRPr="00922DF4">
              <w:rPr>
                <w:rFonts w:ascii="Times New Roman" w:eastAsia="Times New Roman" w:hAnsi="Times New Roman" w:cs="Times New Roman"/>
                <w:sz w:val="20"/>
                <w:szCs w:val="20"/>
              </w:rPr>
              <w:br/>
            </w:r>
            <w:r w:rsidRPr="00922DF4">
              <w:rPr>
                <w:rFonts w:ascii="Times New Roman" w:hAnsi="Times New Roman"/>
                <w:sz w:val="20"/>
              </w:rPr>
              <w:t xml:space="preserve"> code d’identification de l’entreprise mère + </w:t>
            </w:r>
            <w:r w:rsidRPr="00922DF4">
              <w:rPr>
                <w:rFonts w:ascii="Times New Roman" w:eastAsia="Times New Roman" w:hAnsi="Times New Roman" w:cs="Times New Roman"/>
                <w:sz w:val="20"/>
                <w:szCs w:val="20"/>
              </w:rPr>
              <w:br/>
            </w:r>
            <w:r w:rsidRPr="00922DF4">
              <w:rPr>
                <w:rFonts w:ascii="Times New Roman" w:hAnsi="Times New Roman"/>
                <w:sz w:val="20"/>
              </w:rPr>
              <w:t xml:space="preserve"> code ISO 3166-1 alpha-2 du pays de l’entreprise + </w:t>
            </w:r>
            <w:r w:rsidRPr="00922DF4">
              <w:rPr>
                <w:rFonts w:ascii="Times New Roman" w:eastAsia="Times New Roman" w:hAnsi="Times New Roman" w:cs="Times New Roman"/>
                <w:sz w:val="20"/>
                <w:szCs w:val="20"/>
              </w:rPr>
              <w:br/>
            </w:r>
            <w:r w:rsidRPr="00922DF4">
              <w:rPr>
                <w:rFonts w:ascii="Times New Roman" w:hAnsi="Times New Roman"/>
                <w:sz w:val="20"/>
              </w:rPr>
              <w:t xml:space="preserve"> 5 chiffres</w:t>
            </w:r>
          </w:p>
        </w:tc>
      </w:tr>
      <w:tr w:rsidR="007A337E" w:rsidRPr="00922DF4" w14:paraId="796B9AC5" w14:textId="77777777" w:rsidTr="00FA4750">
        <w:trPr>
          <w:trHeight w:val="855"/>
        </w:trPr>
        <w:tc>
          <w:tcPr>
            <w:tcW w:w="1003" w:type="dxa"/>
            <w:tcBorders>
              <w:top w:val="single" w:sz="4" w:space="0" w:color="auto"/>
              <w:left w:val="single" w:sz="4" w:space="0" w:color="auto"/>
              <w:bottom w:val="single" w:sz="4" w:space="0" w:color="auto"/>
              <w:right w:val="single" w:sz="4" w:space="0" w:color="auto"/>
            </w:tcBorders>
            <w:shd w:val="clear" w:color="auto" w:fill="auto"/>
          </w:tcPr>
          <w:p w14:paraId="76B3FED4"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sz w:val="20"/>
              </w:rPr>
              <w:t>C0040</w:t>
            </w:r>
          </w:p>
        </w:tc>
        <w:tc>
          <w:tcPr>
            <w:tcW w:w="1559" w:type="dxa"/>
            <w:tcBorders>
              <w:top w:val="single" w:sz="4" w:space="0" w:color="auto"/>
              <w:left w:val="nil"/>
              <w:bottom w:val="single" w:sz="4" w:space="0" w:color="auto"/>
              <w:right w:val="single" w:sz="4" w:space="0" w:color="auto"/>
            </w:tcBorders>
            <w:shd w:val="clear" w:color="auto" w:fill="auto"/>
          </w:tcPr>
          <w:p w14:paraId="7243F051"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Type de code d’identification de la cédante</w:t>
            </w:r>
          </w:p>
          <w:p w14:paraId="33674372"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p>
        </w:tc>
        <w:tc>
          <w:tcPr>
            <w:tcW w:w="6662" w:type="dxa"/>
            <w:tcBorders>
              <w:top w:val="single" w:sz="4" w:space="0" w:color="auto"/>
              <w:left w:val="nil"/>
              <w:bottom w:val="single" w:sz="4" w:space="0" w:color="auto"/>
              <w:right w:val="single" w:sz="4" w:space="0" w:color="auto"/>
            </w:tcBorders>
            <w:shd w:val="clear" w:color="auto" w:fill="auto"/>
          </w:tcPr>
          <w:p w14:paraId="1B93352C"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Indiquer le type de code utilisé dans la rubrique «Code d’identification de la cédante»</w:t>
            </w:r>
            <w:r w:rsidRPr="00922DF4">
              <w:rPr>
                <w:rFonts w:ascii="Times New Roman" w:eastAsia="Times New Roman" w:hAnsi="Times New Roman" w:cs="Times New Roman"/>
                <w:color w:val="000000"/>
                <w:sz w:val="20"/>
                <w:szCs w:val="20"/>
              </w:rPr>
              <w:br/>
            </w:r>
            <w:r w:rsidRPr="00922DF4">
              <w:rPr>
                <w:rFonts w:ascii="Times New Roman" w:hAnsi="Times New Roman"/>
                <w:color w:val="000000"/>
                <w:sz w:val="20"/>
              </w:rPr>
              <w:t xml:space="preserve">1 – LEI </w:t>
            </w:r>
            <w:r w:rsidRPr="00922DF4">
              <w:rPr>
                <w:rFonts w:ascii="Times New Roman" w:eastAsia="Times New Roman" w:hAnsi="Times New Roman" w:cs="Times New Roman"/>
                <w:color w:val="000000"/>
                <w:sz w:val="20"/>
                <w:szCs w:val="20"/>
              </w:rPr>
              <w:br/>
            </w:r>
            <w:r w:rsidRPr="00922DF4">
              <w:rPr>
                <w:rFonts w:ascii="Times New Roman" w:hAnsi="Times New Roman"/>
                <w:color w:val="000000"/>
                <w:sz w:val="20"/>
              </w:rPr>
              <w:t>2 – Code spécifique</w:t>
            </w:r>
          </w:p>
        </w:tc>
      </w:tr>
      <w:tr w:rsidR="007A337E" w:rsidRPr="00922DF4" w14:paraId="40AC8E67" w14:textId="77777777" w:rsidTr="00FA4750">
        <w:trPr>
          <w:trHeight w:val="809"/>
        </w:trPr>
        <w:tc>
          <w:tcPr>
            <w:tcW w:w="1003" w:type="dxa"/>
            <w:tcBorders>
              <w:top w:val="single" w:sz="4" w:space="0" w:color="auto"/>
              <w:left w:val="single" w:sz="4" w:space="0" w:color="auto"/>
              <w:bottom w:val="single" w:sz="4" w:space="0" w:color="auto"/>
              <w:right w:val="single" w:sz="4" w:space="0" w:color="auto"/>
            </w:tcBorders>
            <w:shd w:val="clear" w:color="auto" w:fill="auto"/>
            <w:hideMark/>
          </w:tcPr>
          <w:p w14:paraId="301D63D7"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C0050</w:t>
            </w:r>
          </w:p>
        </w:tc>
        <w:tc>
          <w:tcPr>
            <w:tcW w:w="1559" w:type="dxa"/>
            <w:tcBorders>
              <w:top w:val="single" w:sz="4" w:space="0" w:color="auto"/>
              <w:left w:val="nil"/>
              <w:bottom w:val="single" w:sz="4" w:space="0" w:color="auto"/>
              <w:right w:val="single" w:sz="4" w:space="0" w:color="auto"/>
            </w:tcBorders>
            <w:shd w:val="clear" w:color="auto" w:fill="auto"/>
            <w:hideMark/>
          </w:tcPr>
          <w:p w14:paraId="728BF4B6"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Nom du réassureur</w:t>
            </w:r>
          </w:p>
        </w:tc>
        <w:tc>
          <w:tcPr>
            <w:tcW w:w="6662" w:type="dxa"/>
            <w:tcBorders>
              <w:top w:val="single" w:sz="4" w:space="0" w:color="auto"/>
              <w:left w:val="nil"/>
              <w:bottom w:val="single" w:sz="4" w:space="0" w:color="auto"/>
              <w:right w:val="single" w:sz="4" w:space="0" w:color="auto"/>
            </w:tcBorders>
            <w:shd w:val="clear" w:color="auto" w:fill="auto"/>
            <w:hideMark/>
          </w:tcPr>
          <w:p w14:paraId="7E37E080"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 xml:space="preserve">Nom juridique du réassureur auquel le risque de souscription a été transféré. </w:t>
            </w:r>
          </w:p>
        </w:tc>
      </w:tr>
      <w:tr w:rsidR="007A337E" w:rsidRPr="00922DF4" w14:paraId="0D480D64" w14:textId="77777777" w:rsidTr="00FA4750">
        <w:trPr>
          <w:trHeight w:val="1140"/>
        </w:trPr>
        <w:tc>
          <w:tcPr>
            <w:tcW w:w="1003" w:type="dxa"/>
            <w:tcBorders>
              <w:top w:val="single" w:sz="4" w:space="0" w:color="auto"/>
              <w:left w:val="single" w:sz="4" w:space="0" w:color="auto"/>
              <w:bottom w:val="single" w:sz="4" w:space="0" w:color="auto"/>
              <w:right w:val="single" w:sz="4" w:space="0" w:color="auto"/>
            </w:tcBorders>
            <w:shd w:val="clear" w:color="auto" w:fill="auto"/>
            <w:hideMark/>
          </w:tcPr>
          <w:p w14:paraId="36DFE1A8"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C0060</w:t>
            </w:r>
          </w:p>
        </w:tc>
        <w:tc>
          <w:tcPr>
            <w:tcW w:w="1559" w:type="dxa"/>
            <w:tcBorders>
              <w:top w:val="single" w:sz="4" w:space="0" w:color="auto"/>
              <w:left w:val="nil"/>
              <w:bottom w:val="single" w:sz="4" w:space="0" w:color="auto"/>
              <w:right w:val="single" w:sz="4" w:space="0" w:color="auto"/>
            </w:tcBorders>
            <w:shd w:val="clear" w:color="auto" w:fill="auto"/>
            <w:hideMark/>
          </w:tcPr>
          <w:p w14:paraId="45E0B483"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Code d’identification du réassureur</w:t>
            </w:r>
          </w:p>
        </w:tc>
        <w:tc>
          <w:tcPr>
            <w:tcW w:w="6662" w:type="dxa"/>
            <w:tcBorders>
              <w:top w:val="single" w:sz="4" w:space="0" w:color="auto"/>
              <w:left w:val="nil"/>
              <w:bottom w:val="single" w:sz="4" w:space="0" w:color="auto"/>
              <w:right w:val="single" w:sz="4" w:space="0" w:color="auto"/>
            </w:tcBorders>
            <w:shd w:val="clear" w:color="auto" w:fill="auto"/>
            <w:hideMark/>
          </w:tcPr>
          <w:p w14:paraId="5879CE32" w14:textId="77777777" w:rsidR="007A337E" w:rsidRPr="00922DF4" w:rsidRDefault="007A337E" w:rsidP="007A337E">
            <w:pPr>
              <w:spacing w:after="0" w:line="240" w:lineRule="auto"/>
              <w:rPr>
                <w:rFonts w:ascii="Times New Roman" w:eastAsia="Times New Roman" w:hAnsi="Times New Roman" w:cs="Times New Roman"/>
                <w:sz w:val="20"/>
                <w:szCs w:val="20"/>
              </w:rPr>
            </w:pPr>
            <w:r w:rsidRPr="00922DF4">
              <w:rPr>
                <w:rFonts w:ascii="Times New Roman" w:hAnsi="Times New Roman"/>
                <w:color w:val="000000"/>
                <w:sz w:val="20"/>
              </w:rPr>
              <w:t>Le code d’identification unique de l’investisseur/de l’acheteur/du cessionnaire, par ordre de priorité suivant:</w:t>
            </w:r>
            <w:r w:rsidRPr="00922DF4">
              <w:rPr>
                <w:rFonts w:ascii="Times New Roman" w:hAnsi="Times New Roman"/>
                <w:sz w:val="20"/>
              </w:rPr>
              <w:t xml:space="preserve"> </w:t>
            </w:r>
            <w:r w:rsidRPr="00922DF4">
              <w:rPr>
                <w:rFonts w:ascii="Times New Roman" w:eastAsia="Times New Roman" w:hAnsi="Times New Roman" w:cs="Times New Roman"/>
                <w:sz w:val="20"/>
                <w:szCs w:val="20"/>
              </w:rPr>
              <w:br/>
            </w:r>
            <w:r w:rsidRPr="00922DF4">
              <w:rPr>
                <w:rFonts w:ascii="Times New Roman" w:hAnsi="Times New Roman"/>
                <w:sz w:val="20"/>
              </w:rPr>
              <w:t xml:space="preserve">– Identifiant d’entité juridique (LEI); </w:t>
            </w:r>
            <w:r w:rsidRPr="00922DF4">
              <w:rPr>
                <w:rFonts w:ascii="Times New Roman" w:eastAsia="Times New Roman" w:hAnsi="Times New Roman" w:cs="Times New Roman"/>
                <w:sz w:val="20"/>
                <w:szCs w:val="20"/>
              </w:rPr>
              <w:br/>
            </w:r>
            <w:r w:rsidRPr="00922DF4">
              <w:rPr>
                <w:rFonts w:ascii="Times New Roman" w:hAnsi="Times New Roman"/>
                <w:sz w:val="20"/>
              </w:rPr>
              <w:t>– code spécifique.</w:t>
            </w:r>
            <w:r w:rsidRPr="00922DF4">
              <w:rPr>
                <w:rFonts w:ascii="Times New Roman" w:eastAsia="Times New Roman" w:hAnsi="Times New Roman" w:cs="Times New Roman"/>
                <w:sz w:val="20"/>
                <w:szCs w:val="20"/>
              </w:rPr>
              <w:br/>
            </w:r>
            <w:r w:rsidRPr="00922DF4">
              <w:rPr>
                <w:rFonts w:ascii="Times New Roman" w:eastAsia="Times New Roman" w:hAnsi="Times New Roman" w:cs="Times New Roman"/>
                <w:sz w:val="20"/>
                <w:szCs w:val="20"/>
              </w:rPr>
              <w:br/>
            </w:r>
            <w:r w:rsidRPr="00922DF4">
              <w:rPr>
                <w:rFonts w:ascii="Times New Roman" w:hAnsi="Times New Roman"/>
                <w:sz w:val="20"/>
              </w:rPr>
              <w:t xml:space="preserve">Code spécifique: </w:t>
            </w:r>
            <w:r w:rsidRPr="00922DF4">
              <w:rPr>
                <w:rFonts w:ascii="Times New Roman" w:eastAsia="Times New Roman" w:hAnsi="Times New Roman" w:cs="Times New Roman"/>
                <w:sz w:val="20"/>
                <w:szCs w:val="20"/>
              </w:rPr>
              <w:br/>
            </w:r>
            <w:r w:rsidRPr="00922DF4">
              <w:rPr>
                <w:rFonts w:ascii="Times New Roman" w:hAnsi="Times New Roman"/>
                <w:sz w:val="20"/>
              </w:rPr>
              <w:t>– pour les entreprises d’assurance et de réassurance EEE et les autres entreprises EEE réglementées du groupe: le code d’identification, attribué par l’autorité de contrôle compétente nationale, qui est utilisé sur le marché local;</w:t>
            </w:r>
          </w:p>
          <w:p w14:paraId="1898D661" w14:textId="77777777" w:rsidR="00D21B2C" w:rsidRPr="00922DF4" w:rsidRDefault="007A337E" w:rsidP="007A337E">
            <w:pPr>
              <w:spacing w:after="0" w:line="240" w:lineRule="auto"/>
              <w:rPr>
                <w:rFonts w:ascii="Times New Roman" w:eastAsia="Times New Roman" w:hAnsi="Times New Roman" w:cs="Times New Roman"/>
                <w:sz w:val="20"/>
                <w:szCs w:val="20"/>
              </w:rPr>
            </w:pPr>
            <w:r w:rsidRPr="00922DF4">
              <w:rPr>
                <w:rFonts w:ascii="Times New Roman" w:hAnsi="Times New Roman"/>
                <w:sz w:val="20"/>
              </w:rPr>
              <w:t xml:space="preserve">– pour les entreprises hors EEE et les entreprises non réglementées du groupe, le code d’identification est fourni par le groupe. Le code d’identification attribué à chaque entreprise hors EEE ou non réglementée doit systématiquement respecter le format suivant: </w:t>
            </w:r>
            <w:r w:rsidRPr="00922DF4">
              <w:rPr>
                <w:rFonts w:ascii="Times New Roman" w:eastAsia="Times New Roman" w:hAnsi="Times New Roman" w:cs="Times New Roman"/>
                <w:sz w:val="20"/>
                <w:szCs w:val="20"/>
              </w:rPr>
              <w:br/>
            </w:r>
            <w:r w:rsidRPr="00922DF4">
              <w:rPr>
                <w:rFonts w:ascii="Times New Roman" w:hAnsi="Times New Roman"/>
                <w:sz w:val="20"/>
              </w:rPr>
              <w:t xml:space="preserve"> code d’identification de l’entreprise mère + </w:t>
            </w:r>
            <w:r w:rsidRPr="00922DF4">
              <w:rPr>
                <w:rFonts w:ascii="Times New Roman" w:eastAsia="Times New Roman" w:hAnsi="Times New Roman" w:cs="Times New Roman"/>
                <w:sz w:val="20"/>
                <w:szCs w:val="20"/>
              </w:rPr>
              <w:br/>
            </w:r>
            <w:r w:rsidRPr="00922DF4">
              <w:rPr>
                <w:rFonts w:ascii="Times New Roman" w:hAnsi="Times New Roman"/>
                <w:sz w:val="20"/>
              </w:rPr>
              <w:t xml:space="preserve"> code ISO 3166-1 alpha-2 du pays de l’entreprise + </w:t>
            </w:r>
          </w:p>
          <w:p w14:paraId="53E82E60" w14:textId="3A6515D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sz w:val="20"/>
              </w:rPr>
              <w:t>5 chiffres</w:t>
            </w:r>
          </w:p>
        </w:tc>
      </w:tr>
      <w:tr w:rsidR="007A337E" w:rsidRPr="00922DF4" w14:paraId="1CCD171E" w14:textId="77777777" w:rsidTr="003929BD">
        <w:trPr>
          <w:trHeight w:val="855"/>
        </w:trPr>
        <w:tc>
          <w:tcPr>
            <w:tcW w:w="1003" w:type="dxa"/>
            <w:tcBorders>
              <w:top w:val="single" w:sz="4" w:space="0" w:color="auto"/>
              <w:left w:val="single" w:sz="4" w:space="0" w:color="auto"/>
              <w:bottom w:val="single" w:sz="4" w:space="0" w:color="auto"/>
              <w:right w:val="single" w:sz="4" w:space="0" w:color="auto"/>
            </w:tcBorders>
            <w:shd w:val="clear" w:color="auto" w:fill="auto"/>
          </w:tcPr>
          <w:p w14:paraId="20367A1D"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sz w:val="20"/>
              </w:rPr>
              <w:t>C0070</w:t>
            </w:r>
          </w:p>
        </w:tc>
        <w:tc>
          <w:tcPr>
            <w:tcW w:w="1559" w:type="dxa"/>
            <w:tcBorders>
              <w:top w:val="single" w:sz="4" w:space="0" w:color="auto"/>
              <w:left w:val="nil"/>
              <w:bottom w:val="single" w:sz="4" w:space="0" w:color="auto"/>
              <w:right w:val="single" w:sz="4" w:space="0" w:color="auto"/>
            </w:tcBorders>
            <w:shd w:val="clear" w:color="auto" w:fill="auto"/>
          </w:tcPr>
          <w:p w14:paraId="64F77AA2"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Type de code d’identification du réassureur</w:t>
            </w:r>
          </w:p>
          <w:p w14:paraId="0528795D"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p>
        </w:tc>
        <w:tc>
          <w:tcPr>
            <w:tcW w:w="6662" w:type="dxa"/>
            <w:tcBorders>
              <w:top w:val="single" w:sz="4" w:space="0" w:color="auto"/>
              <w:left w:val="nil"/>
              <w:bottom w:val="single" w:sz="4" w:space="0" w:color="auto"/>
              <w:right w:val="single" w:sz="4" w:space="0" w:color="auto"/>
            </w:tcBorders>
            <w:shd w:val="clear" w:color="auto" w:fill="auto"/>
          </w:tcPr>
          <w:p w14:paraId="7CC49676"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Indiquer le type de code utilisé dans la rubrique «Code d’identification du réassureur»</w:t>
            </w:r>
            <w:r w:rsidRPr="00922DF4">
              <w:rPr>
                <w:rFonts w:ascii="Times New Roman" w:eastAsia="Times New Roman" w:hAnsi="Times New Roman" w:cs="Times New Roman"/>
                <w:color w:val="000000"/>
                <w:sz w:val="20"/>
                <w:szCs w:val="20"/>
              </w:rPr>
              <w:br/>
            </w:r>
            <w:r w:rsidRPr="00922DF4">
              <w:rPr>
                <w:rFonts w:ascii="Times New Roman" w:hAnsi="Times New Roman"/>
                <w:color w:val="000000"/>
                <w:sz w:val="20"/>
              </w:rPr>
              <w:t xml:space="preserve">1 – LEI </w:t>
            </w:r>
            <w:r w:rsidRPr="00922DF4">
              <w:rPr>
                <w:rFonts w:ascii="Times New Roman" w:eastAsia="Times New Roman" w:hAnsi="Times New Roman" w:cs="Times New Roman"/>
                <w:color w:val="000000"/>
                <w:sz w:val="20"/>
                <w:szCs w:val="20"/>
              </w:rPr>
              <w:br/>
            </w:r>
            <w:r w:rsidRPr="00922DF4">
              <w:rPr>
                <w:rFonts w:ascii="Times New Roman" w:hAnsi="Times New Roman"/>
                <w:color w:val="000000"/>
                <w:sz w:val="20"/>
              </w:rPr>
              <w:t>2 – Code spécifique</w:t>
            </w:r>
          </w:p>
        </w:tc>
      </w:tr>
      <w:tr w:rsidR="007A337E" w:rsidRPr="00922DF4" w14:paraId="7CBA90AF" w14:textId="77777777" w:rsidTr="007A337E">
        <w:trPr>
          <w:trHeight w:val="570"/>
        </w:trPr>
        <w:tc>
          <w:tcPr>
            <w:tcW w:w="1003" w:type="dxa"/>
            <w:tcBorders>
              <w:top w:val="single" w:sz="4" w:space="0" w:color="auto"/>
              <w:left w:val="single" w:sz="4" w:space="0" w:color="auto"/>
              <w:bottom w:val="single" w:sz="4" w:space="0" w:color="auto"/>
              <w:right w:val="single" w:sz="4" w:space="0" w:color="auto"/>
            </w:tcBorders>
            <w:shd w:val="clear" w:color="auto" w:fill="auto"/>
            <w:hideMark/>
          </w:tcPr>
          <w:p w14:paraId="02FCA342"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lastRenderedPageBreak/>
              <w:t>C0080</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310FC7C9"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Période de validité (date de début)</w:t>
            </w:r>
          </w:p>
        </w:tc>
        <w:tc>
          <w:tcPr>
            <w:tcW w:w="6662" w:type="dxa"/>
            <w:tcBorders>
              <w:top w:val="single" w:sz="4" w:space="0" w:color="auto"/>
              <w:left w:val="single" w:sz="4" w:space="0" w:color="auto"/>
              <w:bottom w:val="single" w:sz="4" w:space="0" w:color="auto"/>
              <w:right w:val="single" w:sz="4" w:space="0" w:color="auto"/>
            </w:tcBorders>
            <w:shd w:val="clear" w:color="auto" w:fill="auto"/>
            <w:hideMark/>
          </w:tcPr>
          <w:p w14:paraId="45703553"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sz w:val="20"/>
              </w:rPr>
              <w:t>Le code ISO 8601 (aaaa-mm-jj) de la date de début du contrat ou traité de réassurance en question.</w:t>
            </w:r>
            <w:r w:rsidRPr="00922DF4">
              <w:rPr>
                <w:rFonts w:ascii="Times New Roman" w:hAnsi="Times New Roman"/>
                <w:color w:val="000000"/>
                <w:sz w:val="20"/>
              </w:rPr>
              <w:t xml:space="preserve"> </w:t>
            </w:r>
          </w:p>
        </w:tc>
      </w:tr>
      <w:tr w:rsidR="007A337E" w:rsidRPr="00922DF4" w14:paraId="0598BDE5" w14:textId="77777777" w:rsidTr="007A337E">
        <w:trPr>
          <w:trHeight w:val="952"/>
        </w:trPr>
        <w:tc>
          <w:tcPr>
            <w:tcW w:w="1003" w:type="dxa"/>
            <w:tcBorders>
              <w:top w:val="single" w:sz="4" w:space="0" w:color="auto"/>
              <w:left w:val="single" w:sz="4" w:space="0" w:color="auto"/>
              <w:bottom w:val="nil"/>
              <w:right w:val="single" w:sz="4" w:space="0" w:color="auto"/>
            </w:tcBorders>
            <w:shd w:val="clear" w:color="auto" w:fill="auto"/>
            <w:hideMark/>
          </w:tcPr>
          <w:p w14:paraId="1C4D7A1E"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C0090</w:t>
            </w:r>
          </w:p>
        </w:tc>
        <w:tc>
          <w:tcPr>
            <w:tcW w:w="1559" w:type="dxa"/>
            <w:tcBorders>
              <w:top w:val="single" w:sz="4" w:space="0" w:color="auto"/>
              <w:left w:val="nil"/>
              <w:bottom w:val="nil"/>
              <w:right w:val="single" w:sz="4" w:space="0" w:color="auto"/>
            </w:tcBorders>
            <w:shd w:val="clear" w:color="auto" w:fill="auto"/>
            <w:hideMark/>
          </w:tcPr>
          <w:p w14:paraId="6352A424"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 xml:space="preserve">Période de validité (date d’expiration) </w:t>
            </w:r>
          </w:p>
        </w:tc>
        <w:tc>
          <w:tcPr>
            <w:tcW w:w="6662" w:type="dxa"/>
            <w:tcBorders>
              <w:top w:val="single" w:sz="4" w:space="0" w:color="auto"/>
              <w:left w:val="nil"/>
              <w:bottom w:val="nil"/>
              <w:right w:val="single" w:sz="4" w:space="0" w:color="auto"/>
            </w:tcBorders>
            <w:shd w:val="clear" w:color="auto" w:fill="auto"/>
            <w:hideMark/>
          </w:tcPr>
          <w:p w14:paraId="746FF1B6"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sz w:val="20"/>
              </w:rPr>
              <w:t>Le code ISO 8601 (aaaa-mm-jj) de la date d’expiration du contrat ou traité de réassurance en question (autrement dit, la dernière date à laquelle le contrat ou traité de réassurance est en vigueur).</w:t>
            </w:r>
            <w:r w:rsidRPr="00922DF4">
              <w:rPr>
                <w:rFonts w:ascii="Times New Roman" w:hAnsi="Times New Roman"/>
                <w:color w:val="000000"/>
                <w:sz w:val="20"/>
              </w:rPr>
              <w:t xml:space="preserve"> Ne rien indiquer s’il n’y a pas de date d’expiration (par exemple parce qu’il s’agit d’un contrat continu auquel chacune des parties peut mettre fin moyennant préavis).</w:t>
            </w:r>
          </w:p>
        </w:tc>
      </w:tr>
      <w:tr w:rsidR="007A337E" w:rsidRPr="00922DF4" w14:paraId="0DFA8751" w14:textId="77777777" w:rsidTr="007A337E">
        <w:trPr>
          <w:trHeight w:val="629"/>
        </w:trPr>
        <w:tc>
          <w:tcPr>
            <w:tcW w:w="1003" w:type="dxa"/>
            <w:tcBorders>
              <w:top w:val="single" w:sz="4" w:space="0" w:color="auto"/>
              <w:left w:val="single" w:sz="4" w:space="0" w:color="auto"/>
              <w:bottom w:val="nil"/>
              <w:right w:val="single" w:sz="4" w:space="0" w:color="auto"/>
            </w:tcBorders>
            <w:shd w:val="clear" w:color="auto" w:fill="auto"/>
            <w:hideMark/>
          </w:tcPr>
          <w:p w14:paraId="4FB9A786"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C0100</w:t>
            </w:r>
          </w:p>
        </w:tc>
        <w:tc>
          <w:tcPr>
            <w:tcW w:w="1559" w:type="dxa"/>
            <w:tcBorders>
              <w:top w:val="single" w:sz="4" w:space="0" w:color="auto"/>
              <w:left w:val="nil"/>
              <w:bottom w:val="nil"/>
              <w:right w:val="single" w:sz="4" w:space="0" w:color="auto"/>
            </w:tcBorders>
            <w:shd w:val="clear" w:color="auto" w:fill="auto"/>
            <w:hideMark/>
          </w:tcPr>
          <w:p w14:paraId="205C9566"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Monnaie du contrat ou du traité</w:t>
            </w:r>
          </w:p>
        </w:tc>
        <w:tc>
          <w:tcPr>
            <w:tcW w:w="6662" w:type="dxa"/>
            <w:tcBorders>
              <w:top w:val="single" w:sz="4" w:space="0" w:color="auto"/>
              <w:left w:val="nil"/>
              <w:bottom w:val="nil"/>
              <w:right w:val="single" w:sz="4" w:space="0" w:color="auto"/>
            </w:tcBorders>
            <w:shd w:val="clear" w:color="auto" w:fill="auto"/>
            <w:hideMark/>
          </w:tcPr>
          <w:p w14:paraId="1ADC3C1B"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sz w:val="20"/>
              </w:rPr>
              <w:t>Le code alphabétique ISO 4217 de la monnaie des paiements au titre du contrat ou traité de réassurance en question.</w:t>
            </w:r>
          </w:p>
        </w:tc>
      </w:tr>
      <w:tr w:rsidR="007A337E" w:rsidRPr="00922DF4" w14:paraId="3571B65F" w14:textId="77777777" w:rsidTr="007A337E">
        <w:trPr>
          <w:trHeight w:val="4629"/>
        </w:trPr>
        <w:tc>
          <w:tcPr>
            <w:tcW w:w="1003" w:type="dxa"/>
            <w:tcBorders>
              <w:top w:val="single" w:sz="4" w:space="0" w:color="auto"/>
              <w:left w:val="single" w:sz="4" w:space="0" w:color="auto"/>
              <w:bottom w:val="nil"/>
              <w:right w:val="single" w:sz="4" w:space="0" w:color="auto"/>
            </w:tcBorders>
            <w:shd w:val="clear" w:color="auto" w:fill="auto"/>
            <w:hideMark/>
          </w:tcPr>
          <w:p w14:paraId="5F25E80B"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C0110</w:t>
            </w:r>
          </w:p>
        </w:tc>
        <w:tc>
          <w:tcPr>
            <w:tcW w:w="1559" w:type="dxa"/>
            <w:tcBorders>
              <w:top w:val="single" w:sz="4" w:space="0" w:color="auto"/>
              <w:left w:val="nil"/>
              <w:bottom w:val="nil"/>
              <w:right w:val="single" w:sz="4" w:space="0" w:color="auto"/>
            </w:tcBorders>
            <w:shd w:val="clear" w:color="auto" w:fill="auto"/>
            <w:hideMark/>
          </w:tcPr>
          <w:p w14:paraId="4C43E1FC"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Type de contrat ou traité de réassurance</w:t>
            </w:r>
          </w:p>
        </w:tc>
        <w:tc>
          <w:tcPr>
            <w:tcW w:w="6662" w:type="dxa"/>
            <w:tcBorders>
              <w:top w:val="single" w:sz="4" w:space="0" w:color="auto"/>
              <w:left w:val="nil"/>
              <w:bottom w:val="nil"/>
              <w:right w:val="single" w:sz="4" w:space="0" w:color="auto"/>
            </w:tcBorders>
            <w:shd w:val="clear" w:color="auto" w:fill="auto"/>
            <w:hideMark/>
          </w:tcPr>
          <w:p w14:paraId="63416147"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 xml:space="preserve">Le type de contrat ou traité de réassurance. Choisir impérativement l’une des options suivantes: </w:t>
            </w:r>
            <w:r w:rsidRPr="00922DF4">
              <w:rPr>
                <w:rFonts w:ascii="Times New Roman" w:eastAsia="Times New Roman" w:hAnsi="Times New Roman" w:cs="Times New Roman"/>
                <w:color w:val="000000"/>
                <w:sz w:val="20"/>
                <w:szCs w:val="20"/>
              </w:rPr>
              <w:br/>
            </w:r>
            <w:r w:rsidRPr="00922DF4">
              <w:rPr>
                <w:rFonts w:ascii="Times New Roman" w:hAnsi="Times New Roman"/>
                <w:color w:val="000000"/>
                <w:sz w:val="20"/>
              </w:rPr>
              <w:t>1 – Quote-part</w:t>
            </w:r>
          </w:p>
          <w:p w14:paraId="5E3DCDBD"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2 – Quote-part variable</w:t>
            </w:r>
          </w:p>
          <w:p w14:paraId="040AA98D"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3 – Excédent de plein</w:t>
            </w:r>
          </w:p>
          <w:p w14:paraId="28172A31"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4 – Excédent de sinistre (par événement et par risque)</w:t>
            </w:r>
          </w:p>
          <w:p w14:paraId="1BBA5479"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5 – Excédent de sinistre (par risque)</w:t>
            </w:r>
          </w:p>
          <w:p w14:paraId="5647620C"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6 – Excédent de sinistre (par événement)</w:t>
            </w:r>
          </w:p>
          <w:p w14:paraId="0B895A21" w14:textId="5DCD1056"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7 –</w:t>
            </w:r>
            <w:r w:rsidR="00102640" w:rsidRPr="00922DF4">
              <w:rPr>
                <w:rFonts w:ascii="Times New Roman" w:hAnsi="Times New Roman"/>
                <w:color w:val="000000"/>
                <w:sz w:val="20"/>
              </w:rPr>
              <w:t xml:space="preserve"> « Complémentaire »</w:t>
            </w:r>
            <w:r w:rsidRPr="00922DF4">
              <w:rPr>
                <w:rFonts w:ascii="Times New Roman" w:hAnsi="Times New Roman"/>
                <w:color w:val="000000"/>
                <w:sz w:val="20"/>
              </w:rPr>
              <w:t xml:space="preserve"> excédent de sinistre (protection contre des événements faisant suite à certaines catastrophes telles que les inondations ou les incendies)</w:t>
            </w:r>
          </w:p>
          <w:p w14:paraId="2F534974"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8 – Excédent de sinistre avec risque de base</w:t>
            </w:r>
          </w:p>
          <w:p w14:paraId="2935BA17"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9 – Reconstitution de la garantie</w:t>
            </w:r>
          </w:p>
          <w:p w14:paraId="0D30BAC2"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10 – Excédent de sinistre global</w:t>
            </w:r>
          </w:p>
          <w:p w14:paraId="21795302"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11 – Excédent de sinistre illimité</w:t>
            </w:r>
          </w:p>
          <w:p w14:paraId="467245D9"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 xml:space="preserve">12 – Excédent de perte </w:t>
            </w:r>
          </w:p>
          <w:p w14:paraId="28EE72AB"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13 – Autres traités proportionnels</w:t>
            </w:r>
          </w:p>
          <w:p w14:paraId="5EB1E5FB"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14 – Autres traités non proportionnels</w:t>
            </w:r>
          </w:p>
          <w:p w14:paraId="69D0C28C"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15 – Réassurance financière</w:t>
            </w:r>
          </w:p>
          <w:p w14:paraId="08C45213"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 xml:space="preserve">16 – Proportionnelle facultative </w:t>
            </w:r>
          </w:p>
          <w:p w14:paraId="6E8D54E1" w14:textId="77777777" w:rsidR="007A337E" w:rsidRPr="00922DF4" w:rsidRDefault="007A337E" w:rsidP="007A337E">
            <w:pPr>
              <w:spacing w:after="0" w:line="240" w:lineRule="auto"/>
              <w:rPr>
                <w:rFonts w:ascii="Times New Roman" w:hAnsi="Times New Roman" w:cs="Times New Roman"/>
                <w:sz w:val="20"/>
                <w:szCs w:val="20"/>
              </w:rPr>
            </w:pPr>
            <w:r w:rsidRPr="00922DF4">
              <w:rPr>
                <w:rFonts w:ascii="Times New Roman" w:hAnsi="Times New Roman"/>
                <w:color w:val="000000"/>
                <w:sz w:val="20"/>
              </w:rPr>
              <w:t>17 – Non proportionnelle facultative</w:t>
            </w:r>
            <w:r w:rsidRPr="00922DF4">
              <w:rPr>
                <w:rFonts w:ascii="Times New Roman" w:eastAsia="Times New Roman" w:hAnsi="Times New Roman" w:cs="Times New Roman"/>
                <w:color w:val="000000"/>
                <w:sz w:val="20"/>
                <w:szCs w:val="20"/>
              </w:rPr>
              <w:br/>
            </w:r>
          </w:p>
          <w:p w14:paraId="3EFE1B7F"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sz w:val="20"/>
              </w:rPr>
              <w:t>Les codes 13 (Autres traités proportionnels) et 14 (Autres traités non proportionnels) peuvent être utilisés pour les traités de réassurance hybrides.</w:t>
            </w:r>
          </w:p>
        </w:tc>
      </w:tr>
      <w:tr w:rsidR="007A337E" w:rsidRPr="00922DF4" w14:paraId="69D6F35D" w14:textId="77777777" w:rsidTr="007A337E">
        <w:trPr>
          <w:trHeight w:val="274"/>
        </w:trPr>
        <w:tc>
          <w:tcPr>
            <w:tcW w:w="1003" w:type="dxa"/>
            <w:tcBorders>
              <w:top w:val="single" w:sz="4" w:space="0" w:color="auto"/>
              <w:left w:val="single" w:sz="4" w:space="0" w:color="auto"/>
              <w:bottom w:val="nil"/>
              <w:right w:val="single" w:sz="4" w:space="0" w:color="auto"/>
            </w:tcBorders>
            <w:shd w:val="clear" w:color="auto" w:fill="auto"/>
            <w:hideMark/>
          </w:tcPr>
          <w:p w14:paraId="666E2F2E"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C0120</w:t>
            </w:r>
          </w:p>
        </w:tc>
        <w:tc>
          <w:tcPr>
            <w:tcW w:w="1559" w:type="dxa"/>
            <w:tcBorders>
              <w:top w:val="single" w:sz="4" w:space="0" w:color="auto"/>
              <w:left w:val="nil"/>
              <w:bottom w:val="nil"/>
              <w:right w:val="single" w:sz="4" w:space="0" w:color="auto"/>
            </w:tcBorders>
            <w:shd w:val="clear" w:color="auto" w:fill="auto"/>
            <w:hideMark/>
          </w:tcPr>
          <w:p w14:paraId="2C14DB4B"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Couverture maximale du réassureur selon contrat ou traité</w:t>
            </w:r>
          </w:p>
        </w:tc>
        <w:tc>
          <w:tcPr>
            <w:tcW w:w="6662" w:type="dxa"/>
            <w:tcBorders>
              <w:top w:val="single" w:sz="4" w:space="0" w:color="auto"/>
              <w:left w:val="nil"/>
              <w:bottom w:val="nil"/>
              <w:right w:val="single" w:sz="4" w:space="0" w:color="auto"/>
            </w:tcBorders>
            <w:shd w:val="clear" w:color="auto" w:fill="auto"/>
            <w:hideMark/>
          </w:tcPr>
          <w:p w14:paraId="372D8F15" w14:textId="60A0713C"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Pour les traités en quote-part ou en excédent de plein, 100 % du montant maximal fixé pour l’ensemble du contrat ou du traité (par exemple, 10 millions de GBP).  Dans le cas d’une couverture illimitée, indiquer</w:t>
            </w:r>
            <w:r w:rsidR="00102640" w:rsidRPr="00922DF4">
              <w:rPr>
                <w:rFonts w:ascii="Times New Roman" w:hAnsi="Times New Roman"/>
                <w:color w:val="000000"/>
                <w:sz w:val="20"/>
              </w:rPr>
              <w:t xml:space="preserve"> « –</w:t>
            </w:r>
            <w:r w:rsidRPr="00922DF4">
              <w:rPr>
                <w:rFonts w:ascii="Times New Roman" w:hAnsi="Times New Roman"/>
                <w:color w:val="000000"/>
                <w:sz w:val="20"/>
              </w:rPr>
              <w:t xml:space="preserve"> </w:t>
            </w:r>
            <w:r w:rsidR="00102640" w:rsidRPr="00922DF4">
              <w:rPr>
                <w:rFonts w:ascii="Times New Roman" w:hAnsi="Times New Roman"/>
                <w:color w:val="000000"/>
                <w:sz w:val="20"/>
              </w:rPr>
              <w:t>1 »</w:t>
            </w:r>
            <w:r w:rsidRPr="00922DF4">
              <w:rPr>
                <w:rFonts w:ascii="Times New Roman" w:hAnsi="Times New Roman"/>
                <w:color w:val="000000"/>
                <w:sz w:val="20"/>
              </w:rPr>
              <w:t xml:space="preserve">.  Pour les traités en excédent de perte ou en excédent de sinistre, indiquer la capacité initiale. </w:t>
            </w:r>
            <w:r w:rsidRPr="00922DF4">
              <w:rPr>
                <w:rFonts w:ascii="Times New Roman" w:eastAsia="Times New Roman" w:hAnsi="Times New Roman" w:cs="Times New Roman"/>
                <w:color w:val="000000"/>
                <w:sz w:val="20"/>
                <w:szCs w:val="20"/>
              </w:rPr>
              <w:br/>
            </w:r>
            <w:r w:rsidRPr="00922DF4">
              <w:rPr>
                <w:rFonts w:ascii="Times New Roman" w:hAnsi="Times New Roman"/>
                <w:color w:val="000000"/>
                <w:sz w:val="20"/>
              </w:rPr>
              <w:t xml:space="preserve">Déclarer cet élément dans la monnaie de la transaction. </w:t>
            </w:r>
          </w:p>
        </w:tc>
      </w:tr>
      <w:tr w:rsidR="007A337E" w:rsidRPr="00922DF4" w14:paraId="1EEB82F8" w14:textId="77777777" w:rsidTr="007A337E">
        <w:trPr>
          <w:trHeight w:val="1447"/>
        </w:trPr>
        <w:tc>
          <w:tcPr>
            <w:tcW w:w="1003" w:type="dxa"/>
            <w:tcBorders>
              <w:top w:val="single" w:sz="4" w:space="0" w:color="auto"/>
              <w:left w:val="single" w:sz="4" w:space="0" w:color="auto"/>
              <w:bottom w:val="single" w:sz="4" w:space="0" w:color="auto"/>
              <w:right w:val="single" w:sz="4" w:space="0" w:color="auto"/>
            </w:tcBorders>
            <w:shd w:val="clear" w:color="auto" w:fill="auto"/>
            <w:hideMark/>
          </w:tcPr>
          <w:p w14:paraId="764335B6" w14:textId="77777777" w:rsidR="007A337E" w:rsidRPr="00922DF4" w:rsidRDefault="007A337E" w:rsidP="007A337E">
            <w:pPr>
              <w:spacing w:after="0" w:line="240" w:lineRule="auto"/>
              <w:rPr>
                <w:rFonts w:ascii="Times New Roman" w:eastAsia="Times New Roman" w:hAnsi="Times New Roman" w:cs="Times New Roman"/>
                <w:color w:val="000000" w:themeColor="text1"/>
                <w:sz w:val="20"/>
                <w:szCs w:val="20"/>
              </w:rPr>
            </w:pPr>
            <w:r w:rsidRPr="00922DF4">
              <w:rPr>
                <w:rFonts w:ascii="Times New Roman" w:hAnsi="Times New Roman"/>
                <w:color w:val="000000" w:themeColor="text1"/>
                <w:sz w:val="20"/>
              </w:rPr>
              <w:t>C0130</w:t>
            </w:r>
          </w:p>
        </w:tc>
        <w:tc>
          <w:tcPr>
            <w:tcW w:w="1559" w:type="dxa"/>
            <w:tcBorders>
              <w:top w:val="single" w:sz="4" w:space="0" w:color="auto"/>
              <w:left w:val="nil"/>
              <w:bottom w:val="single" w:sz="4" w:space="0" w:color="auto"/>
              <w:right w:val="single" w:sz="4" w:space="0" w:color="auto"/>
            </w:tcBorders>
            <w:shd w:val="clear" w:color="auto" w:fill="auto"/>
            <w:hideMark/>
          </w:tcPr>
          <w:p w14:paraId="0B707BC9" w14:textId="77777777" w:rsidR="007A337E" w:rsidRPr="00922DF4" w:rsidRDefault="007A337E" w:rsidP="007A337E">
            <w:pPr>
              <w:spacing w:after="0" w:line="240" w:lineRule="auto"/>
              <w:rPr>
                <w:rFonts w:ascii="Times New Roman" w:eastAsia="Times New Roman" w:hAnsi="Times New Roman" w:cs="Times New Roman"/>
                <w:color w:val="000000" w:themeColor="text1"/>
                <w:sz w:val="20"/>
                <w:szCs w:val="20"/>
              </w:rPr>
            </w:pPr>
            <w:r w:rsidRPr="00922DF4">
              <w:rPr>
                <w:rFonts w:ascii="Times New Roman" w:hAnsi="Times New Roman"/>
                <w:color w:val="000000" w:themeColor="text1"/>
                <w:sz w:val="20"/>
              </w:rPr>
              <w:t xml:space="preserve">Éléments à recevoir nets </w:t>
            </w:r>
          </w:p>
        </w:tc>
        <w:tc>
          <w:tcPr>
            <w:tcW w:w="6662" w:type="dxa"/>
            <w:tcBorders>
              <w:top w:val="single" w:sz="4" w:space="0" w:color="auto"/>
              <w:left w:val="nil"/>
              <w:bottom w:val="single" w:sz="4" w:space="0" w:color="auto"/>
              <w:right w:val="single" w:sz="4" w:space="0" w:color="auto"/>
            </w:tcBorders>
            <w:shd w:val="clear" w:color="auto" w:fill="auto"/>
            <w:hideMark/>
          </w:tcPr>
          <w:p w14:paraId="75497A73" w14:textId="77777777" w:rsidR="007A337E" w:rsidRPr="00922DF4" w:rsidRDefault="007A337E" w:rsidP="007A337E">
            <w:pPr>
              <w:spacing w:after="0" w:line="240" w:lineRule="auto"/>
              <w:rPr>
                <w:rFonts w:ascii="Times New Roman" w:eastAsia="Times New Roman" w:hAnsi="Times New Roman" w:cs="Times New Roman"/>
                <w:color w:val="000000" w:themeColor="text1"/>
                <w:sz w:val="20"/>
                <w:szCs w:val="20"/>
              </w:rPr>
            </w:pPr>
            <w:r w:rsidRPr="00922DF4">
              <w:rPr>
                <w:rFonts w:ascii="Times New Roman" w:hAnsi="Times New Roman"/>
                <w:color w:val="000000" w:themeColor="text1"/>
                <w:sz w:val="20"/>
              </w:rPr>
              <w:t>Le montant résultant: des sinistres payés par l’assureur mais non encore remboursés par le réassureur, augmentés des commissions à payer par le réassureur et des autres éléments à recevoir, diminués des dettes à l’égard du réassureur. Les dépôts en espèces sont exclus; ils doivent être considérés comme des garanties reçues. Le montant total doit être égal à la somme des postes du bilan Créances de réassurance et Débiteurs de réassurance.</w:t>
            </w:r>
          </w:p>
        </w:tc>
      </w:tr>
      <w:tr w:rsidR="007A337E" w:rsidRPr="00922DF4" w14:paraId="1B478A60" w14:textId="77777777" w:rsidTr="007A337E">
        <w:trPr>
          <w:trHeight w:val="274"/>
        </w:trPr>
        <w:tc>
          <w:tcPr>
            <w:tcW w:w="1003" w:type="dxa"/>
            <w:tcBorders>
              <w:top w:val="single" w:sz="4" w:space="0" w:color="auto"/>
              <w:left w:val="single" w:sz="4" w:space="0" w:color="auto"/>
              <w:bottom w:val="single" w:sz="4" w:space="0" w:color="auto"/>
              <w:right w:val="single" w:sz="4" w:space="0" w:color="auto"/>
            </w:tcBorders>
            <w:shd w:val="clear" w:color="auto" w:fill="auto"/>
            <w:hideMark/>
          </w:tcPr>
          <w:p w14:paraId="4C0C1ADE"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C0140</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076F8806"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 xml:space="preserve">Total montants recouvrables au titre de la réassurance </w:t>
            </w:r>
          </w:p>
        </w:tc>
        <w:tc>
          <w:tcPr>
            <w:tcW w:w="6662" w:type="dxa"/>
            <w:tcBorders>
              <w:top w:val="single" w:sz="4" w:space="0" w:color="auto"/>
              <w:left w:val="single" w:sz="4" w:space="0" w:color="auto"/>
              <w:bottom w:val="single" w:sz="4" w:space="0" w:color="auto"/>
              <w:right w:val="single" w:sz="4" w:space="0" w:color="auto"/>
            </w:tcBorders>
            <w:shd w:val="clear" w:color="auto" w:fill="auto"/>
            <w:hideMark/>
          </w:tcPr>
          <w:p w14:paraId="5CC20BB2" w14:textId="54F3108E"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Le montant total dû par le réassureur à la date de déclaration, qui inclut</w:t>
            </w:r>
            <w:r w:rsidR="00D21B2C" w:rsidRPr="00922DF4">
              <w:rPr>
                <w:rFonts w:ascii="Times New Roman" w:hAnsi="Times New Roman"/>
                <w:color w:val="000000"/>
                <w:sz w:val="20"/>
              </w:rPr>
              <w:t xml:space="preserve"> :</w:t>
            </w:r>
            <w:r w:rsidRPr="00922DF4">
              <w:rPr>
                <w:rFonts w:ascii="Times New Roman" w:eastAsia="Times New Roman" w:hAnsi="Times New Roman" w:cs="Times New Roman"/>
                <w:color w:val="000000"/>
                <w:sz w:val="20"/>
                <w:szCs w:val="20"/>
              </w:rPr>
              <w:br/>
            </w:r>
            <w:r w:rsidRPr="00922DF4">
              <w:rPr>
                <w:rFonts w:ascii="Times New Roman" w:hAnsi="Times New Roman"/>
                <w:color w:val="000000"/>
                <w:sz w:val="20"/>
              </w:rPr>
              <w:t>– les provisions pour primes pour la part des futures primes de réassurance déjà payées au réassureur;</w:t>
            </w:r>
            <w:r w:rsidRPr="00922DF4">
              <w:rPr>
                <w:rFonts w:ascii="Times New Roman" w:eastAsia="Times New Roman" w:hAnsi="Times New Roman" w:cs="Times New Roman"/>
                <w:color w:val="000000"/>
                <w:sz w:val="20"/>
                <w:szCs w:val="20"/>
              </w:rPr>
              <w:br/>
            </w:r>
            <w:r w:rsidRPr="00922DF4">
              <w:rPr>
                <w:rFonts w:ascii="Times New Roman" w:hAnsi="Times New Roman"/>
                <w:color w:val="000000"/>
                <w:sz w:val="20"/>
              </w:rPr>
              <w:t xml:space="preserve">– les provisions pour sinistres pour les sinistres à payer par </w:t>
            </w:r>
            <w:r w:rsidR="00B40D25" w:rsidRPr="00922DF4">
              <w:rPr>
                <w:rFonts w:ascii="Times New Roman" w:hAnsi="Times New Roman"/>
                <w:color w:val="000000"/>
                <w:sz w:val="20"/>
              </w:rPr>
              <w:t>l’ORPS</w:t>
            </w:r>
            <w:r w:rsidRPr="00922DF4">
              <w:rPr>
                <w:rFonts w:ascii="Times New Roman" w:hAnsi="Times New Roman"/>
                <w:color w:val="000000"/>
                <w:sz w:val="20"/>
              </w:rPr>
              <w:t xml:space="preserve"> qui doivent être payés par le réassureur; et/ou </w:t>
            </w:r>
            <w:r w:rsidRPr="00922DF4">
              <w:rPr>
                <w:rFonts w:ascii="Times New Roman" w:eastAsia="Times New Roman" w:hAnsi="Times New Roman" w:cs="Times New Roman"/>
                <w:color w:val="000000"/>
                <w:sz w:val="20"/>
                <w:szCs w:val="20"/>
              </w:rPr>
              <w:br/>
            </w:r>
            <w:r w:rsidRPr="00922DF4">
              <w:rPr>
                <w:rFonts w:ascii="Times New Roman" w:hAnsi="Times New Roman"/>
                <w:color w:val="000000"/>
                <w:sz w:val="20"/>
              </w:rPr>
              <w:t>– les provisions techniques pour le montant correspondant à la part du réassureur dans les provisions techniques brutes.</w:t>
            </w:r>
          </w:p>
        </w:tc>
      </w:tr>
      <w:tr w:rsidR="007A337E" w:rsidRPr="00922DF4" w14:paraId="63E5E2FF" w14:textId="77777777" w:rsidTr="007A337E">
        <w:trPr>
          <w:trHeight w:val="2590"/>
        </w:trPr>
        <w:tc>
          <w:tcPr>
            <w:tcW w:w="1003" w:type="dxa"/>
            <w:tcBorders>
              <w:top w:val="single" w:sz="4" w:space="0" w:color="auto"/>
              <w:left w:val="single" w:sz="4" w:space="0" w:color="auto"/>
              <w:bottom w:val="single" w:sz="4" w:space="0" w:color="auto"/>
              <w:right w:val="single" w:sz="4" w:space="0" w:color="auto"/>
            </w:tcBorders>
            <w:shd w:val="clear" w:color="auto" w:fill="auto"/>
            <w:hideMark/>
          </w:tcPr>
          <w:p w14:paraId="22944F22"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C0150</w:t>
            </w:r>
          </w:p>
        </w:tc>
        <w:tc>
          <w:tcPr>
            <w:tcW w:w="1559" w:type="dxa"/>
            <w:tcBorders>
              <w:top w:val="single" w:sz="4" w:space="0" w:color="auto"/>
              <w:left w:val="nil"/>
              <w:bottom w:val="single" w:sz="4" w:space="0" w:color="auto"/>
              <w:right w:val="single" w:sz="4" w:space="0" w:color="auto"/>
            </w:tcBorders>
            <w:shd w:val="clear" w:color="auto" w:fill="auto"/>
            <w:hideMark/>
          </w:tcPr>
          <w:p w14:paraId="2EAC7F0E"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Résultats de réassurance (pour l’entité réassurée)</w:t>
            </w:r>
          </w:p>
        </w:tc>
        <w:tc>
          <w:tcPr>
            <w:tcW w:w="6662" w:type="dxa"/>
            <w:tcBorders>
              <w:top w:val="single" w:sz="4" w:space="0" w:color="auto"/>
              <w:left w:val="nil"/>
              <w:bottom w:val="single" w:sz="4" w:space="0" w:color="auto"/>
              <w:right w:val="single" w:sz="4" w:space="0" w:color="auto"/>
            </w:tcBorders>
            <w:shd w:val="clear" w:color="auto" w:fill="auto"/>
            <w:hideMark/>
          </w:tcPr>
          <w:p w14:paraId="2A92FC4D"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 xml:space="preserve">Les résultats de réassurance pour l’entité réassurée sont calculés comme suit: </w:t>
            </w:r>
            <w:r w:rsidRPr="00922DF4">
              <w:rPr>
                <w:rFonts w:ascii="Times New Roman" w:eastAsia="Times New Roman" w:hAnsi="Times New Roman" w:cs="Times New Roman"/>
                <w:color w:val="000000"/>
                <w:sz w:val="20"/>
                <w:szCs w:val="20"/>
              </w:rPr>
              <w:br/>
            </w:r>
            <w:r w:rsidRPr="00922DF4">
              <w:rPr>
                <w:rFonts w:ascii="Times New Roman" w:hAnsi="Times New Roman"/>
                <w:color w:val="000000"/>
                <w:sz w:val="20"/>
              </w:rPr>
              <w:t xml:space="preserve">Total commissions de réassurance reçues par l’entité réassurée </w:t>
            </w:r>
            <w:r w:rsidRPr="00922DF4">
              <w:rPr>
                <w:rFonts w:ascii="Times New Roman" w:eastAsia="Times New Roman" w:hAnsi="Times New Roman" w:cs="Times New Roman"/>
                <w:color w:val="000000"/>
                <w:sz w:val="20"/>
                <w:szCs w:val="20"/>
              </w:rPr>
              <w:br/>
            </w:r>
            <w:r w:rsidRPr="00922DF4">
              <w:rPr>
                <w:rFonts w:ascii="Times New Roman" w:hAnsi="Times New Roman"/>
                <w:color w:val="000000"/>
                <w:sz w:val="20"/>
              </w:rPr>
              <w:t>moins</w:t>
            </w:r>
            <w:r w:rsidRPr="00922DF4">
              <w:rPr>
                <w:rFonts w:ascii="Times New Roman" w:eastAsia="Times New Roman" w:hAnsi="Times New Roman" w:cs="Times New Roman"/>
                <w:color w:val="000000"/>
                <w:sz w:val="20"/>
                <w:szCs w:val="20"/>
              </w:rPr>
              <w:br/>
            </w:r>
            <w:r w:rsidRPr="00922DF4">
              <w:rPr>
                <w:rFonts w:ascii="Times New Roman" w:hAnsi="Times New Roman"/>
                <w:color w:val="000000"/>
                <w:sz w:val="20"/>
              </w:rPr>
              <w:t xml:space="preserve">Primes de réassurance brutes payées par l’entité réassurée </w:t>
            </w:r>
            <w:r w:rsidRPr="00922DF4">
              <w:rPr>
                <w:rFonts w:ascii="Times New Roman" w:eastAsia="Times New Roman" w:hAnsi="Times New Roman" w:cs="Times New Roman"/>
                <w:color w:val="000000"/>
                <w:sz w:val="20"/>
                <w:szCs w:val="20"/>
              </w:rPr>
              <w:br/>
            </w:r>
            <w:r w:rsidRPr="00922DF4">
              <w:rPr>
                <w:rFonts w:ascii="Times New Roman" w:hAnsi="Times New Roman"/>
                <w:color w:val="000000"/>
                <w:sz w:val="20"/>
              </w:rPr>
              <w:t xml:space="preserve">plus </w:t>
            </w:r>
            <w:r w:rsidRPr="00922DF4">
              <w:rPr>
                <w:rFonts w:ascii="Times New Roman" w:eastAsia="Times New Roman" w:hAnsi="Times New Roman" w:cs="Times New Roman"/>
                <w:color w:val="000000"/>
                <w:sz w:val="20"/>
                <w:szCs w:val="20"/>
              </w:rPr>
              <w:br/>
            </w:r>
            <w:r w:rsidRPr="00922DF4">
              <w:rPr>
                <w:rFonts w:ascii="Times New Roman" w:hAnsi="Times New Roman"/>
                <w:color w:val="000000"/>
                <w:sz w:val="20"/>
              </w:rPr>
              <w:t>Sinistres payés par le réassureur au cours de la période de référence</w:t>
            </w:r>
            <w:r w:rsidRPr="00922DF4">
              <w:rPr>
                <w:rFonts w:ascii="Times New Roman" w:eastAsia="Times New Roman" w:hAnsi="Times New Roman" w:cs="Times New Roman"/>
                <w:color w:val="000000"/>
                <w:sz w:val="20"/>
                <w:szCs w:val="20"/>
              </w:rPr>
              <w:br/>
            </w:r>
            <w:r w:rsidRPr="00922DF4">
              <w:rPr>
                <w:rFonts w:ascii="Times New Roman" w:hAnsi="Times New Roman"/>
                <w:color w:val="000000"/>
                <w:sz w:val="20"/>
              </w:rPr>
              <w:t>plus</w:t>
            </w:r>
            <w:r w:rsidRPr="00922DF4">
              <w:rPr>
                <w:rFonts w:ascii="Times New Roman" w:eastAsia="Times New Roman" w:hAnsi="Times New Roman" w:cs="Times New Roman"/>
                <w:color w:val="000000"/>
                <w:sz w:val="20"/>
                <w:szCs w:val="20"/>
              </w:rPr>
              <w:br/>
            </w:r>
            <w:r w:rsidRPr="00922DF4">
              <w:rPr>
                <w:rFonts w:ascii="Times New Roman" w:hAnsi="Times New Roman"/>
                <w:color w:val="000000"/>
                <w:sz w:val="20"/>
              </w:rPr>
              <w:t xml:space="preserve">Total montants recouvrables au titre de la réassurance à la fin de la période de référence </w:t>
            </w:r>
            <w:r w:rsidRPr="00922DF4">
              <w:rPr>
                <w:rFonts w:ascii="Times New Roman" w:eastAsia="Times New Roman" w:hAnsi="Times New Roman" w:cs="Times New Roman"/>
                <w:color w:val="000000"/>
                <w:sz w:val="20"/>
                <w:szCs w:val="20"/>
              </w:rPr>
              <w:br/>
            </w:r>
            <w:r w:rsidRPr="00922DF4">
              <w:rPr>
                <w:rFonts w:ascii="Times New Roman" w:hAnsi="Times New Roman"/>
                <w:color w:val="000000"/>
                <w:sz w:val="20"/>
              </w:rPr>
              <w:t>moins</w:t>
            </w:r>
            <w:r w:rsidRPr="00922DF4">
              <w:rPr>
                <w:rFonts w:ascii="Times New Roman" w:eastAsia="Times New Roman" w:hAnsi="Times New Roman" w:cs="Times New Roman"/>
                <w:color w:val="000000"/>
                <w:sz w:val="20"/>
                <w:szCs w:val="20"/>
              </w:rPr>
              <w:br/>
            </w:r>
            <w:r w:rsidRPr="00922DF4">
              <w:rPr>
                <w:rFonts w:ascii="Times New Roman" w:hAnsi="Times New Roman"/>
                <w:color w:val="000000"/>
                <w:sz w:val="20"/>
              </w:rPr>
              <w:t>Total montants recouvrables au titre de la réassurance au début de la période de référence</w:t>
            </w:r>
          </w:p>
        </w:tc>
      </w:tr>
      <w:tr w:rsidR="007A337E" w:rsidRPr="00922DF4" w14:paraId="3A443CBD" w14:textId="77777777" w:rsidTr="007A337E">
        <w:trPr>
          <w:trHeight w:val="3135"/>
        </w:trPr>
        <w:tc>
          <w:tcPr>
            <w:tcW w:w="1003" w:type="dxa"/>
            <w:tcBorders>
              <w:top w:val="single" w:sz="4" w:space="0" w:color="auto"/>
              <w:left w:val="single" w:sz="4" w:space="0" w:color="auto"/>
              <w:bottom w:val="single" w:sz="4" w:space="0" w:color="auto"/>
              <w:right w:val="single" w:sz="4" w:space="0" w:color="auto"/>
            </w:tcBorders>
            <w:shd w:val="clear" w:color="auto" w:fill="auto"/>
          </w:tcPr>
          <w:p w14:paraId="0542465A" w14:textId="63B72801" w:rsidR="007A337E" w:rsidRPr="00922DF4" w:rsidRDefault="00CB2FFD"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lastRenderedPageBreak/>
              <w:t>C0160</w:t>
            </w:r>
          </w:p>
        </w:tc>
        <w:tc>
          <w:tcPr>
            <w:tcW w:w="1559" w:type="dxa"/>
            <w:tcBorders>
              <w:top w:val="single" w:sz="4" w:space="0" w:color="auto"/>
              <w:left w:val="nil"/>
              <w:bottom w:val="single" w:sz="4" w:space="0" w:color="auto"/>
              <w:right w:val="single" w:sz="4" w:space="0" w:color="auto"/>
            </w:tcBorders>
            <w:shd w:val="clear" w:color="auto" w:fill="auto"/>
          </w:tcPr>
          <w:p w14:paraId="5A91ABE2"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Risque transféré</w:t>
            </w:r>
          </w:p>
        </w:tc>
        <w:tc>
          <w:tcPr>
            <w:tcW w:w="6662" w:type="dxa"/>
            <w:tcBorders>
              <w:top w:val="single" w:sz="4" w:space="0" w:color="auto"/>
              <w:left w:val="nil"/>
              <w:bottom w:val="single" w:sz="4" w:space="0" w:color="auto"/>
              <w:right w:val="single" w:sz="4" w:space="0" w:color="auto"/>
            </w:tcBorders>
            <w:shd w:val="clear" w:color="auto" w:fill="auto"/>
          </w:tcPr>
          <w:p w14:paraId="217BD7FE"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 xml:space="preserve">Choisir impérativement l’une des options suivantes: </w:t>
            </w:r>
          </w:p>
          <w:p w14:paraId="2719EB6A" w14:textId="77777777" w:rsidR="007A337E" w:rsidRPr="00922DF4" w:rsidRDefault="007A337E" w:rsidP="007A337E">
            <w:pPr>
              <w:spacing w:after="0"/>
              <w:rPr>
                <w:rFonts w:ascii="Times New Roman" w:hAnsi="Times New Roman" w:cs="Times New Roman"/>
                <w:sz w:val="20"/>
                <w:szCs w:val="20"/>
              </w:rPr>
            </w:pPr>
            <w:r w:rsidRPr="00922DF4">
              <w:rPr>
                <w:rFonts w:ascii="Times New Roman" w:hAnsi="Times New Roman"/>
                <w:sz w:val="20"/>
              </w:rPr>
              <w:t>1 – Vie – euro</w:t>
            </w:r>
          </w:p>
          <w:p w14:paraId="28690791" w14:textId="77777777" w:rsidR="007A337E" w:rsidRPr="00922DF4" w:rsidRDefault="007A337E" w:rsidP="007A337E">
            <w:pPr>
              <w:spacing w:after="0"/>
              <w:rPr>
                <w:rFonts w:ascii="Times New Roman" w:hAnsi="Times New Roman" w:cs="Times New Roman"/>
                <w:sz w:val="20"/>
                <w:szCs w:val="20"/>
              </w:rPr>
            </w:pPr>
            <w:r w:rsidRPr="00922DF4">
              <w:rPr>
                <w:rFonts w:ascii="Times New Roman" w:hAnsi="Times New Roman"/>
                <w:sz w:val="20"/>
              </w:rPr>
              <w:t>2 – Vie –  UC</w:t>
            </w:r>
          </w:p>
          <w:p w14:paraId="60541925" w14:textId="77777777" w:rsidR="007A337E" w:rsidRPr="00922DF4" w:rsidRDefault="007A337E" w:rsidP="007A337E">
            <w:pPr>
              <w:spacing w:after="0"/>
              <w:rPr>
                <w:rFonts w:ascii="Times New Roman" w:hAnsi="Times New Roman" w:cs="Times New Roman"/>
                <w:sz w:val="20"/>
                <w:szCs w:val="20"/>
              </w:rPr>
            </w:pPr>
            <w:r w:rsidRPr="00922DF4">
              <w:rPr>
                <w:rFonts w:ascii="Times New Roman" w:hAnsi="Times New Roman"/>
                <w:sz w:val="20"/>
              </w:rPr>
              <w:t>3 – Vie – Eurocroissance</w:t>
            </w:r>
          </w:p>
          <w:p w14:paraId="1555879F" w14:textId="77777777" w:rsidR="007A337E" w:rsidRPr="00922DF4" w:rsidRDefault="007A337E" w:rsidP="007A337E">
            <w:pPr>
              <w:spacing w:after="0"/>
              <w:rPr>
                <w:rFonts w:ascii="Times New Roman" w:hAnsi="Times New Roman" w:cs="Times New Roman"/>
                <w:sz w:val="20"/>
                <w:szCs w:val="20"/>
              </w:rPr>
            </w:pPr>
            <w:r w:rsidRPr="00922DF4">
              <w:rPr>
                <w:rFonts w:ascii="Times New Roman" w:hAnsi="Times New Roman"/>
                <w:sz w:val="20"/>
              </w:rPr>
              <w:t>4 – Vie – branche 26</w:t>
            </w:r>
          </w:p>
          <w:p w14:paraId="0D4096D0" w14:textId="77777777" w:rsidR="007A337E" w:rsidRPr="00922DF4" w:rsidRDefault="007A337E" w:rsidP="007A337E">
            <w:pPr>
              <w:spacing w:after="0"/>
              <w:rPr>
                <w:rFonts w:ascii="Times New Roman" w:hAnsi="Times New Roman" w:cs="Times New Roman"/>
                <w:sz w:val="20"/>
                <w:szCs w:val="20"/>
              </w:rPr>
            </w:pPr>
            <w:r w:rsidRPr="00922DF4">
              <w:rPr>
                <w:rFonts w:ascii="Times New Roman" w:hAnsi="Times New Roman"/>
                <w:sz w:val="20"/>
              </w:rPr>
              <w:t>5 – Incapacité</w:t>
            </w:r>
          </w:p>
          <w:p w14:paraId="01E657F2" w14:textId="77777777" w:rsidR="007A337E" w:rsidRPr="00922DF4" w:rsidRDefault="007A337E" w:rsidP="007A337E">
            <w:pPr>
              <w:spacing w:after="0"/>
              <w:rPr>
                <w:rFonts w:ascii="Times New Roman" w:hAnsi="Times New Roman" w:cs="Times New Roman"/>
                <w:sz w:val="20"/>
                <w:szCs w:val="20"/>
              </w:rPr>
            </w:pPr>
            <w:r w:rsidRPr="00922DF4">
              <w:rPr>
                <w:rFonts w:ascii="Times New Roman" w:hAnsi="Times New Roman"/>
                <w:sz w:val="20"/>
              </w:rPr>
              <w:t>6 – Invalidité</w:t>
            </w:r>
          </w:p>
          <w:p w14:paraId="7CC8A318" w14:textId="77777777" w:rsidR="007A337E" w:rsidRPr="00922DF4" w:rsidRDefault="007A337E" w:rsidP="007A337E">
            <w:pPr>
              <w:spacing w:after="0"/>
              <w:rPr>
                <w:rFonts w:ascii="Times New Roman" w:hAnsi="Times New Roman" w:cs="Times New Roman"/>
                <w:sz w:val="20"/>
                <w:szCs w:val="20"/>
              </w:rPr>
            </w:pPr>
            <w:r w:rsidRPr="00922DF4">
              <w:rPr>
                <w:rFonts w:ascii="Times New Roman" w:hAnsi="Times New Roman"/>
                <w:sz w:val="20"/>
              </w:rPr>
              <w:t>7 – Rente conjoint survivant</w:t>
            </w:r>
          </w:p>
          <w:p w14:paraId="3825DB2A" w14:textId="77777777" w:rsidR="007A337E" w:rsidRPr="00922DF4" w:rsidRDefault="007A337E" w:rsidP="007A337E">
            <w:pPr>
              <w:spacing w:after="0"/>
              <w:rPr>
                <w:rFonts w:ascii="Times New Roman" w:hAnsi="Times New Roman" w:cs="Times New Roman"/>
                <w:sz w:val="20"/>
                <w:szCs w:val="20"/>
              </w:rPr>
            </w:pPr>
            <w:r w:rsidRPr="00922DF4">
              <w:rPr>
                <w:rFonts w:ascii="Times New Roman" w:hAnsi="Times New Roman"/>
                <w:sz w:val="20"/>
              </w:rPr>
              <w:t>8 – Rente d’éducation ou d’orphelin</w:t>
            </w:r>
          </w:p>
          <w:p w14:paraId="1F55A603" w14:textId="77777777" w:rsidR="007A337E" w:rsidRPr="00922DF4" w:rsidRDefault="007A337E" w:rsidP="007A337E">
            <w:pPr>
              <w:spacing w:after="0"/>
              <w:rPr>
                <w:rFonts w:ascii="Times New Roman" w:hAnsi="Times New Roman" w:cs="Times New Roman"/>
                <w:sz w:val="20"/>
                <w:szCs w:val="20"/>
              </w:rPr>
            </w:pPr>
            <w:r w:rsidRPr="00922DF4">
              <w:rPr>
                <w:rFonts w:ascii="Times New Roman" w:hAnsi="Times New Roman"/>
                <w:sz w:val="20"/>
              </w:rPr>
              <w:t>9 – Dépendance</w:t>
            </w:r>
          </w:p>
          <w:p w14:paraId="33CE8D11" w14:textId="77777777" w:rsidR="007A337E" w:rsidRPr="00922DF4" w:rsidRDefault="007A337E" w:rsidP="007A337E">
            <w:pPr>
              <w:spacing w:after="0"/>
              <w:rPr>
                <w:rFonts w:ascii="Times New Roman" w:hAnsi="Times New Roman"/>
                <w:sz w:val="20"/>
              </w:rPr>
            </w:pPr>
            <w:r w:rsidRPr="00922DF4">
              <w:rPr>
                <w:rFonts w:ascii="Times New Roman" w:hAnsi="Times New Roman"/>
                <w:sz w:val="20"/>
              </w:rPr>
              <w:t>10 – Décès</w:t>
            </w:r>
          </w:p>
          <w:p w14:paraId="1606A610" w14:textId="77777777" w:rsidR="007A337E" w:rsidRPr="00922DF4" w:rsidRDefault="007A337E" w:rsidP="007A337E">
            <w:pPr>
              <w:spacing w:after="0" w:line="240" w:lineRule="auto"/>
              <w:ind w:left="435" w:hanging="426"/>
              <w:rPr>
                <w:rFonts w:ascii="Times New Roman" w:eastAsia="Times New Roman" w:hAnsi="Times New Roman" w:cs="Times New Roman"/>
                <w:color w:val="000000"/>
                <w:sz w:val="20"/>
                <w:szCs w:val="20"/>
              </w:rPr>
            </w:pPr>
          </w:p>
          <w:p w14:paraId="181D61F9"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Si un contrat de réassurance couvre plusieurs risques, choisir le risque principal dans la liste ci-dessus.</w:t>
            </w:r>
          </w:p>
        </w:tc>
      </w:tr>
    </w:tbl>
    <w:p w14:paraId="66DAE9BC" w14:textId="25A6C921" w:rsidR="007115AB" w:rsidRPr="00922DF4" w:rsidRDefault="007115AB" w:rsidP="007A337E">
      <w:pPr>
        <w:rPr>
          <w:b/>
        </w:rPr>
      </w:pPr>
    </w:p>
    <w:p w14:paraId="64C50368" w14:textId="773EED23" w:rsidR="007115AB" w:rsidRPr="00922DF4" w:rsidRDefault="007873CC" w:rsidP="007873CC">
      <w:pPr>
        <w:ind w:left="-113"/>
        <w:rPr>
          <w:b/>
        </w:rPr>
      </w:pPr>
      <w:r w:rsidRPr="00922DF4">
        <w:rPr>
          <w:b/>
        </w:rPr>
        <w:t>3.</w:t>
      </w:r>
      <w:r w:rsidR="00802BBF" w:rsidRPr="00922DF4">
        <w:rPr>
          <w:b/>
        </w:rPr>
        <w:t>Tableau de l’état</w:t>
      </w:r>
    </w:p>
    <w:p w14:paraId="73285680" w14:textId="23B8159B" w:rsidR="00031160" w:rsidRPr="00922DF4" w:rsidRDefault="007873CC" w:rsidP="007873CC">
      <w:pPr>
        <w:spacing w:after="100" w:afterAutospacing="1"/>
        <w:ind w:left="-283"/>
        <w:rPr>
          <w:rFonts w:ascii="Times New Roman" w:hAnsi="Times New Roman"/>
          <w:b/>
          <w:sz w:val="20"/>
        </w:rPr>
      </w:pPr>
      <w:r w:rsidRPr="00922DF4">
        <w:rPr>
          <w:rFonts w:ascii="Times New Roman" w:hAnsi="Times New Roman"/>
          <w:b/>
          <w:noProof/>
          <w:sz w:val="20"/>
          <w:lang w:bidi="ar-SA"/>
        </w:rPr>
        <w:drawing>
          <wp:inline distT="0" distB="0" distL="0" distR="0" wp14:anchorId="2D06A9EB" wp14:editId="57CB0CD4">
            <wp:extent cx="5731510" cy="2566670"/>
            <wp:effectExtent l="0" t="0" r="2540" b="508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31510" cy="2566670"/>
                    </a:xfrm>
                    <a:prstGeom prst="rect">
                      <a:avLst/>
                    </a:prstGeom>
                  </pic:spPr>
                </pic:pic>
              </a:graphicData>
            </a:graphic>
          </wp:inline>
        </w:drawing>
      </w:r>
    </w:p>
    <w:p w14:paraId="7745D1A5" w14:textId="428D6096" w:rsidR="007A337E" w:rsidRPr="00922DF4" w:rsidRDefault="007A337E" w:rsidP="007A337E">
      <w:pPr>
        <w:rPr>
          <w:rFonts w:ascii="Times New Roman" w:hAnsi="Times New Roman"/>
          <w:b/>
          <w:sz w:val="20"/>
        </w:rPr>
      </w:pPr>
      <w:r w:rsidRPr="00922DF4">
        <w:rPr>
          <w:rFonts w:ascii="Times New Roman" w:hAnsi="Times New Roman"/>
          <w:b/>
          <w:sz w:val="20"/>
        </w:rPr>
        <w:br w:type="page"/>
      </w:r>
    </w:p>
    <w:p w14:paraId="4C88ACEA" w14:textId="7FF22CA0" w:rsidR="007A337E" w:rsidRPr="00922DF4" w:rsidRDefault="007A337E" w:rsidP="007A337E">
      <w:pPr>
        <w:rPr>
          <w:rFonts w:ascii="Times New Roman" w:eastAsia="Times New Roman" w:hAnsi="Times New Roman" w:cs="Times New Roman"/>
          <w:b/>
          <w:bCs/>
          <w:sz w:val="20"/>
          <w:szCs w:val="20"/>
        </w:rPr>
      </w:pPr>
      <w:r w:rsidRPr="00922DF4">
        <w:rPr>
          <w:rFonts w:ascii="Times New Roman" w:hAnsi="Times New Roman"/>
          <w:b/>
          <w:sz w:val="20"/>
        </w:rPr>
        <w:lastRenderedPageBreak/>
        <w:t>RP.36.04</w:t>
      </w:r>
      <w:r w:rsidR="007115AB" w:rsidRPr="00922DF4">
        <w:rPr>
          <w:rFonts w:ascii="Times New Roman" w:hAnsi="Times New Roman"/>
          <w:b/>
          <w:sz w:val="20"/>
        </w:rPr>
        <w:t>.01</w:t>
      </w:r>
      <w:r w:rsidRPr="00922DF4">
        <w:rPr>
          <w:rFonts w:ascii="Times New Roman" w:hAnsi="Times New Roman"/>
          <w:b/>
          <w:sz w:val="20"/>
        </w:rPr>
        <w:t xml:space="preserve"> – Transactions intragroupe (TIG) – Partage des coûts, passifs éventuels, éléments de hors bilan et autres éléments </w:t>
      </w:r>
    </w:p>
    <w:p w14:paraId="097E1818" w14:textId="4F729DDF" w:rsidR="007115AB" w:rsidRPr="00922DF4" w:rsidRDefault="001E1434" w:rsidP="007115AB">
      <w:pPr>
        <w:pStyle w:val="Paragraphedeliste"/>
        <w:numPr>
          <w:ilvl w:val="0"/>
          <w:numId w:val="9"/>
        </w:numPr>
        <w:rPr>
          <w:b/>
          <w:bCs/>
        </w:rPr>
      </w:pPr>
      <w:r w:rsidRPr="00922DF4">
        <w:rPr>
          <w:b/>
        </w:rPr>
        <w:t>Observations</w:t>
      </w:r>
    </w:p>
    <w:p w14:paraId="14E086F0" w14:textId="55A1A663" w:rsidR="007A337E" w:rsidRPr="00922DF4" w:rsidRDefault="007A337E" w:rsidP="007A337E">
      <w:pPr>
        <w:suppressAutoHyphens/>
        <w:snapToGrid w:val="0"/>
        <w:spacing w:after="0" w:line="240" w:lineRule="auto"/>
        <w:ind w:left="28" w:firstLine="5"/>
        <w:jc w:val="both"/>
        <w:rPr>
          <w:rFonts w:ascii="Times New Roman" w:hAnsi="Times New Roman" w:cs="Times New Roman"/>
          <w:sz w:val="20"/>
          <w:szCs w:val="20"/>
        </w:rPr>
      </w:pPr>
      <w:r w:rsidRPr="00922DF4">
        <w:rPr>
          <w:rFonts w:ascii="Times New Roman" w:hAnsi="Times New Roman"/>
          <w:sz w:val="20"/>
        </w:rPr>
        <w:t xml:space="preserve">Ce modèle vise à recueillir des informations sur toutes </w:t>
      </w:r>
      <w:r w:rsidR="00F82F5C" w:rsidRPr="00922DF4">
        <w:rPr>
          <w:rFonts w:ascii="Times New Roman" w:hAnsi="Times New Roman"/>
          <w:sz w:val="20"/>
        </w:rPr>
        <w:t>les autres transactions intragroupes</w:t>
      </w:r>
      <w:r w:rsidRPr="00922DF4">
        <w:rPr>
          <w:rFonts w:ascii="Times New Roman" w:hAnsi="Times New Roman"/>
          <w:sz w:val="20"/>
        </w:rPr>
        <w:t xml:space="preserve"> au sein d’un groupe qui n’ont pas été déclarées </w:t>
      </w:r>
      <w:r w:rsidR="00D63D09" w:rsidRPr="00922DF4">
        <w:rPr>
          <w:rFonts w:ascii="Times New Roman" w:hAnsi="Times New Roman"/>
          <w:sz w:val="20"/>
        </w:rPr>
        <w:t xml:space="preserve">dans les modèles </w:t>
      </w:r>
      <w:r w:rsidR="00052BC6" w:rsidRPr="00922DF4">
        <w:rPr>
          <w:rFonts w:ascii="Times New Roman" w:hAnsi="Times New Roman"/>
          <w:sz w:val="20"/>
        </w:rPr>
        <w:t>RP.</w:t>
      </w:r>
      <w:r w:rsidR="00D63D09" w:rsidRPr="00922DF4">
        <w:rPr>
          <w:rFonts w:ascii="Times New Roman" w:hAnsi="Times New Roman"/>
          <w:sz w:val="20"/>
        </w:rPr>
        <w:t xml:space="preserve">36.01.01 à </w:t>
      </w:r>
      <w:r w:rsidR="00052BC6" w:rsidRPr="00922DF4">
        <w:rPr>
          <w:rFonts w:ascii="Times New Roman" w:hAnsi="Times New Roman"/>
          <w:sz w:val="20"/>
        </w:rPr>
        <w:t>RP.</w:t>
      </w:r>
      <w:r w:rsidR="00D63D09" w:rsidRPr="00922DF4">
        <w:rPr>
          <w:rFonts w:ascii="Times New Roman" w:hAnsi="Times New Roman"/>
          <w:sz w:val="20"/>
        </w:rPr>
        <w:t>36.03.01.</w:t>
      </w:r>
      <w:r w:rsidRPr="00922DF4">
        <w:rPr>
          <w:rFonts w:ascii="Times New Roman" w:hAnsi="Times New Roman"/>
          <w:sz w:val="20"/>
        </w:rPr>
        <w:t xml:space="preserve"> Il s’agit notamment, mais pas exclusivement: </w:t>
      </w:r>
    </w:p>
    <w:p w14:paraId="04A56E52" w14:textId="77777777" w:rsidR="007A337E" w:rsidRPr="00922DF4" w:rsidRDefault="007A337E" w:rsidP="007115AB">
      <w:pPr>
        <w:pStyle w:val="Paragraphedeliste"/>
        <w:numPr>
          <w:ilvl w:val="0"/>
          <w:numId w:val="5"/>
        </w:numPr>
        <w:suppressAutoHyphens/>
        <w:snapToGrid w:val="0"/>
        <w:jc w:val="left"/>
        <w:rPr>
          <w:sz w:val="20"/>
        </w:rPr>
      </w:pPr>
      <w:r w:rsidRPr="00922DF4">
        <w:rPr>
          <w:sz w:val="20"/>
        </w:rPr>
        <w:t>des partages internes des coûts;</w:t>
      </w:r>
    </w:p>
    <w:p w14:paraId="5985FE0E" w14:textId="77777777" w:rsidR="007A337E" w:rsidRPr="00922DF4" w:rsidRDefault="007A337E" w:rsidP="007115AB">
      <w:pPr>
        <w:pStyle w:val="Paragraphedeliste"/>
        <w:numPr>
          <w:ilvl w:val="0"/>
          <w:numId w:val="5"/>
        </w:numPr>
        <w:suppressAutoHyphens/>
        <w:snapToGrid w:val="0"/>
        <w:jc w:val="left"/>
        <w:rPr>
          <w:sz w:val="20"/>
        </w:rPr>
      </w:pPr>
      <w:r w:rsidRPr="00922DF4">
        <w:rPr>
          <w:sz w:val="20"/>
        </w:rPr>
        <w:t>des passifs éventuels (autres que les dérivés);</w:t>
      </w:r>
    </w:p>
    <w:p w14:paraId="047036C2" w14:textId="77777777" w:rsidR="007A337E" w:rsidRPr="00922DF4" w:rsidRDefault="007A337E" w:rsidP="007115AB">
      <w:pPr>
        <w:pStyle w:val="Paragraphedeliste"/>
        <w:numPr>
          <w:ilvl w:val="0"/>
          <w:numId w:val="5"/>
        </w:numPr>
        <w:suppressAutoHyphens/>
        <w:snapToGrid w:val="0"/>
        <w:jc w:val="left"/>
        <w:rPr>
          <w:sz w:val="20"/>
        </w:rPr>
      </w:pPr>
      <w:r w:rsidRPr="00922DF4">
        <w:rPr>
          <w:sz w:val="20"/>
        </w:rPr>
        <w:t xml:space="preserve">des garanties hors bilan; </w:t>
      </w:r>
    </w:p>
    <w:p w14:paraId="7B75126E" w14:textId="07845EEF" w:rsidR="007A337E" w:rsidRPr="00922DF4" w:rsidRDefault="007A337E" w:rsidP="00052BC6">
      <w:pPr>
        <w:pStyle w:val="Paragraphedeliste"/>
        <w:numPr>
          <w:ilvl w:val="0"/>
          <w:numId w:val="5"/>
        </w:numPr>
        <w:suppressAutoHyphens/>
        <w:snapToGrid w:val="0"/>
        <w:jc w:val="left"/>
        <w:rPr>
          <w:sz w:val="20"/>
        </w:rPr>
      </w:pPr>
      <w:r w:rsidRPr="00922DF4">
        <w:rPr>
          <w:sz w:val="20"/>
        </w:rPr>
        <w:t>de toute autre transaction entre entreprises liées ou personnes physiques qui relèvent du contrôle de groupe.</w:t>
      </w:r>
    </w:p>
    <w:p w14:paraId="571B6B61" w14:textId="77777777" w:rsidR="007115AB" w:rsidRPr="00922DF4" w:rsidRDefault="007115AB" w:rsidP="007A337E">
      <w:pPr>
        <w:suppressAutoHyphens/>
        <w:snapToGrid w:val="0"/>
        <w:spacing w:after="0" w:line="240" w:lineRule="auto"/>
        <w:jc w:val="both"/>
        <w:rPr>
          <w:rFonts w:ascii="Times New Roman" w:hAnsi="Times New Roman"/>
          <w:sz w:val="20"/>
        </w:rPr>
      </w:pPr>
    </w:p>
    <w:p w14:paraId="008A9948" w14:textId="69DACE39" w:rsidR="007115AB" w:rsidRPr="00922DF4" w:rsidRDefault="007115AB" w:rsidP="007115AB">
      <w:pPr>
        <w:pStyle w:val="Paragraphedeliste"/>
        <w:numPr>
          <w:ilvl w:val="0"/>
          <w:numId w:val="9"/>
        </w:numPr>
        <w:rPr>
          <w:b/>
          <w:bCs/>
        </w:rPr>
      </w:pPr>
      <w:r w:rsidRPr="00922DF4">
        <w:rPr>
          <w:b/>
          <w:bCs/>
        </w:rPr>
        <w:t>Utilisation de l’état</w:t>
      </w:r>
    </w:p>
    <w:p w14:paraId="51F35ED9" w14:textId="77777777" w:rsidR="007115AB" w:rsidRPr="00922DF4" w:rsidRDefault="007115AB" w:rsidP="007A337E">
      <w:pPr>
        <w:suppressAutoHyphens/>
        <w:snapToGrid w:val="0"/>
        <w:spacing w:after="0" w:line="240" w:lineRule="auto"/>
        <w:jc w:val="both"/>
        <w:rPr>
          <w:rFonts w:ascii="Times New Roman" w:hAnsi="Times New Roman" w:cs="Times New Roman"/>
          <w:sz w:val="20"/>
          <w:szCs w:val="20"/>
        </w:rPr>
      </w:pPr>
    </w:p>
    <w:tbl>
      <w:tblPr>
        <w:tblW w:w="9224" w:type="dxa"/>
        <w:tblInd w:w="98" w:type="dxa"/>
        <w:tblLook w:val="04A0" w:firstRow="1" w:lastRow="0" w:firstColumn="1" w:lastColumn="0" w:noHBand="0" w:noVBand="1"/>
      </w:tblPr>
      <w:tblGrid>
        <w:gridCol w:w="1240"/>
        <w:gridCol w:w="2148"/>
        <w:gridCol w:w="5836"/>
      </w:tblGrid>
      <w:tr w:rsidR="007A337E" w:rsidRPr="00922DF4" w14:paraId="4349A710" w14:textId="77777777" w:rsidTr="007A337E">
        <w:trPr>
          <w:trHeight w:val="401"/>
        </w:trPr>
        <w:tc>
          <w:tcPr>
            <w:tcW w:w="1240" w:type="dxa"/>
            <w:tcBorders>
              <w:top w:val="single" w:sz="4" w:space="0" w:color="auto"/>
              <w:left w:val="single" w:sz="4" w:space="0" w:color="auto"/>
              <w:bottom w:val="single" w:sz="4" w:space="0" w:color="auto"/>
              <w:right w:val="single" w:sz="4" w:space="0" w:color="auto"/>
            </w:tcBorders>
            <w:shd w:val="clear" w:color="auto" w:fill="auto"/>
          </w:tcPr>
          <w:p w14:paraId="71D1BC57" w14:textId="77777777" w:rsidR="007A337E" w:rsidRPr="00922DF4" w:rsidRDefault="007A337E" w:rsidP="007A337E">
            <w:pPr>
              <w:spacing w:after="0" w:line="240" w:lineRule="auto"/>
              <w:jc w:val="center"/>
              <w:rPr>
                <w:rFonts w:ascii="Times New Roman" w:eastAsia="Times New Roman" w:hAnsi="Times New Roman" w:cs="Times New Roman"/>
                <w:color w:val="000000"/>
                <w:sz w:val="20"/>
                <w:szCs w:val="20"/>
              </w:rPr>
            </w:pPr>
          </w:p>
        </w:tc>
        <w:tc>
          <w:tcPr>
            <w:tcW w:w="2148" w:type="dxa"/>
            <w:tcBorders>
              <w:top w:val="single" w:sz="4" w:space="0" w:color="auto"/>
              <w:left w:val="nil"/>
              <w:bottom w:val="single" w:sz="4" w:space="0" w:color="auto"/>
              <w:right w:val="single" w:sz="4" w:space="0" w:color="auto"/>
            </w:tcBorders>
            <w:shd w:val="clear" w:color="auto" w:fill="auto"/>
          </w:tcPr>
          <w:p w14:paraId="16334A6C" w14:textId="77777777" w:rsidR="007A337E" w:rsidRPr="00922DF4" w:rsidRDefault="007A337E" w:rsidP="007A337E">
            <w:pPr>
              <w:spacing w:after="0" w:line="240" w:lineRule="auto"/>
              <w:jc w:val="center"/>
              <w:rPr>
                <w:rFonts w:ascii="Times New Roman" w:eastAsia="Times New Roman" w:hAnsi="Times New Roman" w:cs="Times New Roman"/>
                <w:color w:val="000000"/>
                <w:sz w:val="20"/>
                <w:szCs w:val="20"/>
              </w:rPr>
            </w:pPr>
            <w:r w:rsidRPr="00922DF4">
              <w:rPr>
                <w:rFonts w:ascii="Times New Roman" w:hAnsi="Times New Roman"/>
                <w:b/>
                <w:sz w:val="20"/>
              </w:rPr>
              <w:t>ÉLÉMENT À DÉCLARER</w:t>
            </w:r>
          </w:p>
        </w:tc>
        <w:tc>
          <w:tcPr>
            <w:tcW w:w="5836" w:type="dxa"/>
            <w:tcBorders>
              <w:top w:val="single" w:sz="4" w:space="0" w:color="auto"/>
              <w:left w:val="nil"/>
              <w:bottom w:val="single" w:sz="4" w:space="0" w:color="auto"/>
              <w:right w:val="single" w:sz="4" w:space="0" w:color="auto"/>
            </w:tcBorders>
            <w:shd w:val="clear" w:color="auto" w:fill="auto"/>
          </w:tcPr>
          <w:p w14:paraId="48BAD9FD" w14:textId="77777777" w:rsidR="007A337E" w:rsidRPr="00922DF4" w:rsidRDefault="007A337E" w:rsidP="007A337E">
            <w:pPr>
              <w:spacing w:after="0" w:line="240" w:lineRule="auto"/>
              <w:jc w:val="center"/>
              <w:rPr>
                <w:rFonts w:ascii="Times New Roman" w:eastAsia="Times New Roman" w:hAnsi="Times New Roman" w:cs="Times New Roman"/>
                <w:color w:val="000000"/>
                <w:sz w:val="20"/>
                <w:szCs w:val="20"/>
              </w:rPr>
            </w:pPr>
            <w:r w:rsidRPr="00922DF4">
              <w:rPr>
                <w:rFonts w:ascii="Times New Roman" w:hAnsi="Times New Roman"/>
                <w:b/>
                <w:sz w:val="20"/>
              </w:rPr>
              <w:t>INSTRUCTIONS</w:t>
            </w:r>
          </w:p>
        </w:tc>
      </w:tr>
      <w:tr w:rsidR="007A337E" w:rsidRPr="00922DF4" w14:paraId="15DFF301" w14:textId="77777777" w:rsidTr="007A337E">
        <w:trPr>
          <w:trHeight w:val="570"/>
        </w:trPr>
        <w:tc>
          <w:tcPr>
            <w:tcW w:w="1240" w:type="dxa"/>
            <w:tcBorders>
              <w:top w:val="single" w:sz="4" w:space="0" w:color="auto"/>
              <w:left w:val="single" w:sz="4" w:space="0" w:color="auto"/>
              <w:bottom w:val="single" w:sz="4" w:space="0" w:color="auto"/>
              <w:right w:val="single" w:sz="4" w:space="0" w:color="auto"/>
            </w:tcBorders>
            <w:shd w:val="clear" w:color="auto" w:fill="auto"/>
            <w:hideMark/>
          </w:tcPr>
          <w:p w14:paraId="7B9AD6B8"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C0010</w:t>
            </w:r>
          </w:p>
        </w:tc>
        <w:tc>
          <w:tcPr>
            <w:tcW w:w="2148" w:type="dxa"/>
            <w:tcBorders>
              <w:top w:val="single" w:sz="4" w:space="0" w:color="auto"/>
              <w:left w:val="nil"/>
              <w:bottom w:val="single" w:sz="4" w:space="0" w:color="auto"/>
              <w:right w:val="single" w:sz="4" w:space="0" w:color="auto"/>
            </w:tcBorders>
            <w:shd w:val="clear" w:color="auto" w:fill="auto"/>
            <w:hideMark/>
          </w:tcPr>
          <w:p w14:paraId="7E2C3CBD"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Identifiant de la transaction intragroupe</w:t>
            </w:r>
          </w:p>
        </w:tc>
        <w:tc>
          <w:tcPr>
            <w:tcW w:w="5836" w:type="dxa"/>
            <w:tcBorders>
              <w:top w:val="single" w:sz="4" w:space="0" w:color="auto"/>
              <w:left w:val="nil"/>
              <w:bottom w:val="single" w:sz="4" w:space="0" w:color="auto"/>
              <w:right w:val="single" w:sz="4" w:space="0" w:color="auto"/>
            </w:tcBorders>
            <w:shd w:val="clear" w:color="auto" w:fill="auto"/>
            <w:hideMark/>
          </w:tcPr>
          <w:p w14:paraId="02230E15"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Code d’identification interne unique pour chaque transaction intragroupe. Doit rester constant dans le temps.</w:t>
            </w:r>
          </w:p>
        </w:tc>
      </w:tr>
      <w:tr w:rsidR="007A337E" w:rsidRPr="00922DF4" w14:paraId="25571C5D" w14:textId="77777777" w:rsidTr="007A337E">
        <w:trPr>
          <w:trHeight w:val="570"/>
        </w:trPr>
        <w:tc>
          <w:tcPr>
            <w:tcW w:w="1240" w:type="dxa"/>
            <w:tcBorders>
              <w:top w:val="single" w:sz="4" w:space="0" w:color="auto"/>
              <w:left w:val="single" w:sz="4" w:space="0" w:color="auto"/>
              <w:bottom w:val="single" w:sz="4" w:space="0" w:color="auto"/>
              <w:right w:val="single" w:sz="4" w:space="0" w:color="auto"/>
            </w:tcBorders>
            <w:shd w:val="clear" w:color="auto" w:fill="auto"/>
            <w:hideMark/>
          </w:tcPr>
          <w:p w14:paraId="4B7A29C2"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C0020</w:t>
            </w:r>
          </w:p>
        </w:tc>
        <w:tc>
          <w:tcPr>
            <w:tcW w:w="2148" w:type="dxa"/>
            <w:tcBorders>
              <w:top w:val="single" w:sz="4" w:space="0" w:color="auto"/>
              <w:left w:val="single" w:sz="4" w:space="0" w:color="auto"/>
              <w:bottom w:val="single" w:sz="4" w:space="0" w:color="auto"/>
              <w:right w:val="single" w:sz="4" w:space="0" w:color="auto"/>
            </w:tcBorders>
            <w:shd w:val="clear" w:color="auto" w:fill="auto"/>
            <w:hideMark/>
          </w:tcPr>
          <w:p w14:paraId="28A0D164"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 xml:space="preserve">Nom de l’investisseur/de l’acheteur/du bénéficiaire </w:t>
            </w:r>
          </w:p>
        </w:tc>
        <w:tc>
          <w:tcPr>
            <w:tcW w:w="5836" w:type="dxa"/>
            <w:tcBorders>
              <w:top w:val="single" w:sz="4" w:space="0" w:color="auto"/>
              <w:left w:val="single" w:sz="4" w:space="0" w:color="auto"/>
              <w:bottom w:val="single" w:sz="4" w:space="0" w:color="auto"/>
              <w:right w:val="single" w:sz="4" w:space="0" w:color="auto"/>
            </w:tcBorders>
            <w:shd w:val="clear" w:color="auto" w:fill="auto"/>
            <w:hideMark/>
          </w:tcPr>
          <w:p w14:paraId="3C8DC1F8"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 xml:space="preserve">Nom juridique de l’entité qui achète les actifs ou investit ou qui reçoit le service ou la garantie. </w:t>
            </w:r>
          </w:p>
        </w:tc>
      </w:tr>
      <w:tr w:rsidR="007A337E" w:rsidRPr="00922DF4" w14:paraId="3C4BE4D8" w14:textId="77777777" w:rsidTr="007A337E">
        <w:trPr>
          <w:trHeight w:val="1140"/>
        </w:trPr>
        <w:tc>
          <w:tcPr>
            <w:tcW w:w="1240" w:type="dxa"/>
            <w:tcBorders>
              <w:top w:val="single" w:sz="4" w:space="0" w:color="auto"/>
              <w:left w:val="single" w:sz="4" w:space="0" w:color="000000"/>
              <w:bottom w:val="nil"/>
              <w:right w:val="single" w:sz="4" w:space="0" w:color="000000"/>
            </w:tcBorders>
            <w:shd w:val="clear" w:color="auto" w:fill="auto"/>
            <w:hideMark/>
          </w:tcPr>
          <w:p w14:paraId="19E7EA63"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C0030</w:t>
            </w:r>
          </w:p>
        </w:tc>
        <w:tc>
          <w:tcPr>
            <w:tcW w:w="2148" w:type="dxa"/>
            <w:tcBorders>
              <w:top w:val="single" w:sz="4" w:space="0" w:color="auto"/>
              <w:left w:val="nil"/>
              <w:bottom w:val="nil"/>
              <w:right w:val="single" w:sz="4" w:space="0" w:color="000000"/>
            </w:tcBorders>
            <w:shd w:val="clear" w:color="auto" w:fill="auto"/>
            <w:hideMark/>
          </w:tcPr>
          <w:p w14:paraId="7117A031"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Code d’identification de l’investisseur/de l’acheteur/du bénéficiaire</w:t>
            </w:r>
          </w:p>
        </w:tc>
        <w:tc>
          <w:tcPr>
            <w:tcW w:w="5836" w:type="dxa"/>
            <w:tcBorders>
              <w:top w:val="single" w:sz="4" w:space="0" w:color="auto"/>
              <w:left w:val="nil"/>
              <w:bottom w:val="nil"/>
              <w:right w:val="single" w:sz="4" w:space="0" w:color="000000"/>
            </w:tcBorders>
            <w:shd w:val="clear" w:color="auto" w:fill="auto"/>
            <w:hideMark/>
          </w:tcPr>
          <w:p w14:paraId="32697BE7" w14:textId="77777777" w:rsidR="007A337E" w:rsidRPr="00922DF4" w:rsidRDefault="007A337E" w:rsidP="007A337E">
            <w:pPr>
              <w:spacing w:after="0" w:line="240" w:lineRule="auto"/>
              <w:rPr>
                <w:rFonts w:ascii="Times New Roman" w:eastAsia="Times New Roman" w:hAnsi="Times New Roman" w:cs="Times New Roman"/>
                <w:sz w:val="20"/>
                <w:szCs w:val="20"/>
              </w:rPr>
            </w:pPr>
            <w:r w:rsidRPr="00922DF4">
              <w:rPr>
                <w:rFonts w:ascii="Times New Roman" w:hAnsi="Times New Roman"/>
                <w:color w:val="000000"/>
                <w:sz w:val="20"/>
              </w:rPr>
              <w:t>Le code d’identification unique de l’investisseur/de l’acheteur/du cessionnaire, par ordre de priorité suivant:</w:t>
            </w:r>
            <w:r w:rsidRPr="00922DF4">
              <w:rPr>
                <w:rFonts w:ascii="Times New Roman" w:hAnsi="Times New Roman"/>
                <w:sz w:val="20"/>
              </w:rPr>
              <w:t xml:space="preserve"> </w:t>
            </w:r>
            <w:r w:rsidRPr="00922DF4">
              <w:rPr>
                <w:rFonts w:ascii="Times New Roman" w:eastAsia="Times New Roman" w:hAnsi="Times New Roman" w:cs="Times New Roman"/>
                <w:sz w:val="20"/>
                <w:szCs w:val="20"/>
              </w:rPr>
              <w:br/>
            </w:r>
            <w:r w:rsidRPr="00922DF4">
              <w:rPr>
                <w:rFonts w:ascii="Times New Roman" w:hAnsi="Times New Roman"/>
                <w:sz w:val="20"/>
              </w:rPr>
              <w:t xml:space="preserve">– Identifiant d’entité juridique (LEI); </w:t>
            </w:r>
            <w:r w:rsidRPr="00922DF4">
              <w:rPr>
                <w:rFonts w:ascii="Times New Roman" w:eastAsia="Times New Roman" w:hAnsi="Times New Roman" w:cs="Times New Roman"/>
                <w:sz w:val="20"/>
                <w:szCs w:val="20"/>
              </w:rPr>
              <w:br/>
            </w:r>
            <w:r w:rsidRPr="00922DF4">
              <w:rPr>
                <w:rFonts w:ascii="Times New Roman" w:hAnsi="Times New Roman"/>
                <w:sz w:val="20"/>
              </w:rPr>
              <w:t>– code spécifique.</w:t>
            </w:r>
            <w:r w:rsidRPr="00922DF4">
              <w:rPr>
                <w:rFonts w:ascii="Times New Roman" w:eastAsia="Times New Roman" w:hAnsi="Times New Roman" w:cs="Times New Roman"/>
                <w:sz w:val="20"/>
                <w:szCs w:val="20"/>
              </w:rPr>
              <w:br/>
            </w:r>
            <w:r w:rsidRPr="00922DF4">
              <w:rPr>
                <w:rFonts w:ascii="Times New Roman" w:eastAsia="Times New Roman" w:hAnsi="Times New Roman" w:cs="Times New Roman"/>
                <w:sz w:val="20"/>
                <w:szCs w:val="20"/>
              </w:rPr>
              <w:br/>
            </w:r>
            <w:r w:rsidRPr="00922DF4">
              <w:rPr>
                <w:rFonts w:ascii="Times New Roman" w:hAnsi="Times New Roman"/>
                <w:sz w:val="20"/>
              </w:rPr>
              <w:t xml:space="preserve">Code spécifique: </w:t>
            </w:r>
            <w:r w:rsidRPr="00922DF4">
              <w:rPr>
                <w:rFonts w:ascii="Times New Roman" w:eastAsia="Times New Roman" w:hAnsi="Times New Roman" w:cs="Times New Roman"/>
                <w:sz w:val="20"/>
                <w:szCs w:val="20"/>
              </w:rPr>
              <w:br/>
            </w:r>
            <w:r w:rsidRPr="00922DF4">
              <w:rPr>
                <w:rFonts w:ascii="Times New Roman" w:hAnsi="Times New Roman"/>
                <w:sz w:val="20"/>
              </w:rPr>
              <w:t>– pour les entreprises d’assurance et de réassurance EEE et les autres entreprises EEE réglementées du groupe: le code d’identification, attribué par l’autorité de contrôle compétente nationale, qui est utilisé sur le marché local;</w:t>
            </w:r>
          </w:p>
          <w:p w14:paraId="13C30963"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sz w:val="20"/>
              </w:rPr>
              <w:t xml:space="preserve">– pour les entreprises hors EEE et les entreprises non réglementées du groupe, le code d’identification est fourni par le groupe. Le code d’identification attribué à chaque entreprise hors EEE ou non réglementée doit systématiquement respecter le format suivant: </w:t>
            </w:r>
            <w:r w:rsidRPr="00922DF4">
              <w:rPr>
                <w:rFonts w:ascii="Times New Roman" w:eastAsia="Times New Roman" w:hAnsi="Times New Roman" w:cs="Times New Roman"/>
                <w:sz w:val="20"/>
                <w:szCs w:val="20"/>
              </w:rPr>
              <w:br/>
            </w:r>
            <w:r w:rsidRPr="00922DF4">
              <w:rPr>
                <w:rFonts w:ascii="Times New Roman" w:hAnsi="Times New Roman"/>
                <w:sz w:val="20"/>
              </w:rPr>
              <w:t xml:space="preserve"> code d’identification de l’entreprise mère + </w:t>
            </w:r>
            <w:r w:rsidRPr="00922DF4">
              <w:rPr>
                <w:rFonts w:ascii="Times New Roman" w:eastAsia="Times New Roman" w:hAnsi="Times New Roman" w:cs="Times New Roman"/>
                <w:sz w:val="20"/>
                <w:szCs w:val="20"/>
              </w:rPr>
              <w:br/>
            </w:r>
            <w:r w:rsidRPr="00922DF4">
              <w:rPr>
                <w:rFonts w:ascii="Times New Roman" w:hAnsi="Times New Roman"/>
                <w:sz w:val="20"/>
              </w:rPr>
              <w:t xml:space="preserve"> code ISO 3166-1 alpha-2 du pays de l’entreprise + </w:t>
            </w:r>
            <w:r w:rsidRPr="00922DF4">
              <w:rPr>
                <w:rFonts w:ascii="Times New Roman" w:eastAsia="Times New Roman" w:hAnsi="Times New Roman" w:cs="Times New Roman"/>
                <w:sz w:val="20"/>
                <w:szCs w:val="20"/>
              </w:rPr>
              <w:br/>
            </w:r>
            <w:r w:rsidRPr="00922DF4">
              <w:rPr>
                <w:rFonts w:ascii="Times New Roman" w:hAnsi="Times New Roman"/>
                <w:sz w:val="20"/>
              </w:rPr>
              <w:t xml:space="preserve"> 5 chiffres</w:t>
            </w:r>
          </w:p>
        </w:tc>
      </w:tr>
      <w:tr w:rsidR="007A337E" w:rsidRPr="00922DF4" w14:paraId="6C6334A4" w14:textId="77777777" w:rsidTr="00CB2FFD">
        <w:trPr>
          <w:trHeight w:val="1272"/>
        </w:trPr>
        <w:tc>
          <w:tcPr>
            <w:tcW w:w="1240" w:type="dxa"/>
            <w:tcBorders>
              <w:top w:val="single" w:sz="4" w:space="0" w:color="auto"/>
              <w:left w:val="single" w:sz="4" w:space="0" w:color="000000"/>
              <w:bottom w:val="nil"/>
              <w:right w:val="single" w:sz="4" w:space="0" w:color="000000"/>
            </w:tcBorders>
            <w:shd w:val="clear" w:color="auto" w:fill="auto"/>
          </w:tcPr>
          <w:p w14:paraId="4697100E"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sz w:val="20"/>
              </w:rPr>
              <w:t>C0040</w:t>
            </w:r>
          </w:p>
        </w:tc>
        <w:tc>
          <w:tcPr>
            <w:tcW w:w="2148" w:type="dxa"/>
            <w:tcBorders>
              <w:top w:val="single" w:sz="4" w:space="0" w:color="auto"/>
              <w:left w:val="nil"/>
              <w:bottom w:val="nil"/>
              <w:right w:val="single" w:sz="4" w:space="0" w:color="000000"/>
            </w:tcBorders>
            <w:shd w:val="clear" w:color="auto" w:fill="auto"/>
          </w:tcPr>
          <w:p w14:paraId="0A353870" w14:textId="7692C5D6" w:rsidR="007A337E" w:rsidRPr="00922DF4" w:rsidRDefault="007A337E" w:rsidP="00CB2FFD">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Type de code d’identification de l’investisseur/de l’acheteur/du bénéficiaire</w:t>
            </w:r>
          </w:p>
        </w:tc>
        <w:tc>
          <w:tcPr>
            <w:tcW w:w="5836" w:type="dxa"/>
            <w:tcBorders>
              <w:top w:val="single" w:sz="4" w:space="0" w:color="auto"/>
              <w:left w:val="nil"/>
              <w:bottom w:val="nil"/>
              <w:right w:val="single" w:sz="4" w:space="0" w:color="000000"/>
            </w:tcBorders>
            <w:shd w:val="clear" w:color="auto" w:fill="auto"/>
          </w:tcPr>
          <w:p w14:paraId="36C2DB48"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Indiquer le type de code utilisé dans la rubrique «Code d’identification de l’investisseur/de l’acheteur/du bénéficiaire».</w:t>
            </w:r>
            <w:r w:rsidRPr="00922DF4">
              <w:rPr>
                <w:rFonts w:ascii="Times New Roman" w:eastAsia="Times New Roman" w:hAnsi="Times New Roman" w:cs="Times New Roman"/>
                <w:color w:val="000000"/>
                <w:sz w:val="20"/>
                <w:szCs w:val="20"/>
              </w:rPr>
              <w:br/>
            </w:r>
            <w:r w:rsidRPr="00922DF4">
              <w:rPr>
                <w:rFonts w:ascii="Times New Roman" w:hAnsi="Times New Roman"/>
                <w:color w:val="000000"/>
                <w:sz w:val="20"/>
              </w:rPr>
              <w:t xml:space="preserve">1 – LEI </w:t>
            </w:r>
            <w:r w:rsidRPr="00922DF4">
              <w:rPr>
                <w:rFonts w:ascii="Times New Roman" w:eastAsia="Times New Roman" w:hAnsi="Times New Roman" w:cs="Times New Roman"/>
                <w:color w:val="000000"/>
                <w:sz w:val="20"/>
                <w:szCs w:val="20"/>
              </w:rPr>
              <w:br/>
            </w:r>
            <w:r w:rsidRPr="00922DF4">
              <w:rPr>
                <w:rFonts w:ascii="Times New Roman" w:hAnsi="Times New Roman"/>
                <w:color w:val="000000"/>
                <w:sz w:val="20"/>
              </w:rPr>
              <w:t>2 – Code spécifique</w:t>
            </w:r>
          </w:p>
        </w:tc>
      </w:tr>
      <w:tr w:rsidR="007A337E" w:rsidRPr="00922DF4" w14:paraId="60080BFF" w14:textId="77777777" w:rsidTr="00CB2FFD">
        <w:trPr>
          <w:trHeight w:val="570"/>
        </w:trPr>
        <w:tc>
          <w:tcPr>
            <w:tcW w:w="1240" w:type="dxa"/>
            <w:tcBorders>
              <w:top w:val="single" w:sz="4" w:space="0" w:color="auto"/>
              <w:left w:val="single" w:sz="4" w:space="0" w:color="000000"/>
              <w:right w:val="single" w:sz="4" w:space="0" w:color="000000"/>
            </w:tcBorders>
            <w:shd w:val="clear" w:color="auto" w:fill="auto"/>
            <w:hideMark/>
          </w:tcPr>
          <w:p w14:paraId="34E76F77"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 xml:space="preserve">C0050 </w:t>
            </w:r>
          </w:p>
        </w:tc>
        <w:tc>
          <w:tcPr>
            <w:tcW w:w="2148" w:type="dxa"/>
            <w:tcBorders>
              <w:top w:val="single" w:sz="4" w:space="0" w:color="auto"/>
              <w:left w:val="nil"/>
              <w:right w:val="single" w:sz="4" w:space="0" w:color="000000"/>
            </w:tcBorders>
            <w:shd w:val="clear" w:color="auto" w:fill="auto"/>
            <w:hideMark/>
          </w:tcPr>
          <w:p w14:paraId="2DABF3AF"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 xml:space="preserve">Nom de l’émetteur/du vendeur/du fournisseur </w:t>
            </w:r>
          </w:p>
        </w:tc>
        <w:tc>
          <w:tcPr>
            <w:tcW w:w="5836" w:type="dxa"/>
            <w:tcBorders>
              <w:top w:val="single" w:sz="4" w:space="0" w:color="auto"/>
              <w:left w:val="nil"/>
              <w:right w:val="single" w:sz="4" w:space="0" w:color="000000"/>
            </w:tcBorders>
            <w:shd w:val="clear" w:color="auto" w:fill="auto"/>
            <w:hideMark/>
          </w:tcPr>
          <w:p w14:paraId="38B0570B"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 xml:space="preserve">Nom juridique de l’entité qui vend ou transfère les actifs ou les investissements ou qui fournit le service ou la garantie. </w:t>
            </w:r>
          </w:p>
        </w:tc>
      </w:tr>
      <w:tr w:rsidR="007A337E" w:rsidRPr="00922DF4" w14:paraId="4CEE35A5" w14:textId="77777777" w:rsidTr="00CB2FFD">
        <w:trPr>
          <w:trHeight w:val="1140"/>
        </w:trPr>
        <w:tc>
          <w:tcPr>
            <w:tcW w:w="1240" w:type="dxa"/>
            <w:tcBorders>
              <w:left w:val="single" w:sz="4" w:space="0" w:color="000000"/>
              <w:bottom w:val="single" w:sz="4" w:space="0" w:color="auto"/>
              <w:right w:val="single" w:sz="4" w:space="0" w:color="000000"/>
            </w:tcBorders>
            <w:shd w:val="clear" w:color="auto" w:fill="auto"/>
            <w:hideMark/>
          </w:tcPr>
          <w:p w14:paraId="2FC12F06"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 xml:space="preserve">C0060 </w:t>
            </w:r>
          </w:p>
        </w:tc>
        <w:tc>
          <w:tcPr>
            <w:tcW w:w="2148" w:type="dxa"/>
            <w:tcBorders>
              <w:left w:val="nil"/>
              <w:bottom w:val="single" w:sz="4" w:space="0" w:color="auto"/>
              <w:right w:val="single" w:sz="4" w:space="0" w:color="000000"/>
            </w:tcBorders>
            <w:shd w:val="clear" w:color="auto" w:fill="auto"/>
            <w:hideMark/>
          </w:tcPr>
          <w:p w14:paraId="2135B68C"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Code d’identification de l’émetteur/du vendeur/du fournisseur</w:t>
            </w:r>
          </w:p>
        </w:tc>
        <w:tc>
          <w:tcPr>
            <w:tcW w:w="5836" w:type="dxa"/>
            <w:tcBorders>
              <w:left w:val="nil"/>
              <w:bottom w:val="single" w:sz="4" w:space="0" w:color="auto"/>
              <w:right w:val="single" w:sz="4" w:space="0" w:color="000000"/>
            </w:tcBorders>
            <w:shd w:val="clear" w:color="auto" w:fill="auto"/>
            <w:hideMark/>
          </w:tcPr>
          <w:p w14:paraId="24A8E9A2" w14:textId="77777777" w:rsidR="007A337E" w:rsidRPr="00922DF4" w:rsidRDefault="007A337E" w:rsidP="007A337E">
            <w:pPr>
              <w:spacing w:after="0" w:line="240" w:lineRule="auto"/>
              <w:rPr>
                <w:rFonts w:ascii="Times New Roman" w:eastAsia="Times New Roman" w:hAnsi="Times New Roman" w:cs="Times New Roman"/>
                <w:sz w:val="20"/>
                <w:szCs w:val="20"/>
              </w:rPr>
            </w:pPr>
            <w:r w:rsidRPr="00922DF4">
              <w:rPr>
                <w:rFonts w:ascii="Times New Roman" w:hAnsi="Times New Roman"/>
                <w:color w:val="000000"/>
                <w:sz w:val="20"/>
              </w:rPr>
              <w:t>Le code d’identification unique de l’investisseur/de l’acheteur/du cessionnaire, par ordre de priorité suivant:</w:t>
            </w:r>
            <w:r w:rsidRPr="00922DF4">
              <w:rPr>
                <w:rFonts w:ascii="Times New Roman" w:hAnsi="Times New Roman"/>
                <w:sz w:val="20"/>
              </w:rPr>
              <w:t xml:space="preserve"> </w:t>
            </w:r>
            <w:r w:rsidRPr="00922DF4">
              <w:rPr>
                <w:rFonts w:ascii="Times New Roman" w:eastAsia="Times New Roman" w:hAnsi="Times New Roman" w:cs="Times New Roman"/>
                <w:sz w:val="20"/>
                <w:szCs w:val="20"/>
              </w:rPr>
              <w:br/>
            </w:r>
            <w:r w:rsidRPr="00922DF4">
              <w:rPr>
                <w:rFonts w:ascii="Times New Roman" w:hAnsi="Times New Roman"/>
                <w:sz w:val="20"/>
              </w:rPr>
              <w:t xml:space="preserve">– Identifiant d’entité juridique (LEI); </w:t>
            </w:r>
            <w:r w:rsidRPr="00922DF4">
              <w:rPr>
                <w:rFonts w:ascii="Times New Roman" w:eastAsia="Times New Roman" w:hAnsi="Times New Roman" w:cs="Times New Roman"/>
                <w:sz w:val="20"/>
                <w:szCs w:val="20"/>
              </w:rPr>
              <w:br/>
            </w:r>
            <w:r w:rsidRPr="00922DF4">
              <w:rPr>
                <w:rFonts w:ascii="Times New Roman" w:hAnsi="Times New Roman"/>
                <w:sz w:val="20"/>
              </w:rPr>
              <w:t>– code spécifique.</w:t>
            </w:r>
            <w:r w:rsidRPr="00922DF4">
              <w:rPr>
                <w:rFonts w:ascii="Times New Roman" w:eastAsia="Times New Roman" w:hAnsi="Times New Roman" w:cs="Times New Roman"/>
                <w:sz w:val="20"/>
                <w:szCs w:val="20"/>
              </w:rPr>
              <w:br/>
            </w:r>
            <w:r w:rsidRPr="00922DF4">
              <w:rPr>
                <w:rFonts w:ascii="Times New Roman" w:eastAsia="Times New Roman" w:hAnsi="Times New Roman" w:cs="Times New Roman"/>
                <w:sz w:val="20"/>
                <w:szCs w:val="20"/>
              </w:rPr>
              <w:br/>
            </w:r>
            <w:r w:rsidRPr="00922DF4">
              <w:rPr>
                <w:rFonts w:ascii="Times New Roman" w:hAnsi="Times New Roman"/>
                <w:sz w:val="20"/>
              </w:rPr>
              <w:t xml:space="preserve">Code spécifique: </w:t>
            </w:r>
            <w:r w:rsidRPr="00922DF4">
              <w:rPr>
                <w:rFonts w:ascii="Times New Roman" w:eastAsia="Times New Roman" w:hAnsi="Times New Roman" w:cs="Times New Roman"/>
                <w:sz w:val="20"/>
                <w:szCs w:val="20"/>
              </w:rPr>
              <w:br/>
            </w:r>
            <w:r w:rsidRPr="00922DF4">
              <w:rPr>
                <w:rFonts w:ascii="Times New Roman" w:hAnsi="Times New Roman"/>
                <w:sz w:val="20"/>
              </w:rPr>
              <w:t>– pour les entreprises d’assurance et de réassurance EEE et les autres entreprises EEE réglementées du groupe: le code d’identification, attribué par l’autorité de contrôle compétente nationale, qui est utilisé sur le marché local;</w:t>
            </w:r>
          </w:p>
          <w:p w14:paraId="7F17BE58" w14:textId="1A2B9698" w:rsidR="007A337E" w:rsidRPr="00922DF4" w:rsidRDefault="007A337E" w:rsidP="00CB2FFD">
            <w:pPr>
              <w:spacing w:after="0" w:line="240" w:lineRule="auto"/>
              <w:rPr>
                <w:rFonts w:ascii="Times New Roman" w:eastAsia="Times New Roman" w:hAnsi="Times New Roman" w:cs="Times New Roman"/>
                <w:color w:val="000000"/>
                <w:sz w:val="20"/>
                <w:szCs w:val="20"/>
              </w:rPr>
            </w:pPr>
            <w:r w:rsidRPr="00922DF4">
              <w:rPr>
                <w:rFonts w:ascii="Times New Roman" w:hAnsi="Times New Roman"/>
                <w:sz w:val="20"/>
              </w:rPr>
              <w:t xml:space="preserve">– pour les entreprises hors EEE et les entreprises non réglementées du groupe, le code d’identification est fourni par le groupe. Le code d’identification attribué à chaque entreprise hors EEE ou non réglementée doit systématiquement respecter le format suivant:  code d’identification de l’entreprise mère + </w:t>
            </w:r>
            <w:r w:rsidRPr="00922DF4">
              <w:rPr>
                <w:rFonts w:ascii="Times New Roman" w:eastAsia="Times New Roman" w:hAnsi="Times New Roman" w:cs="Times New Roman"/>
                <w:sz w:val="20"/>
                <w:szCs w:val="20"/>
              </w:rPr>
              <w:br/>
            </w:r>
            <w:r w:rsidRPr="00922DF4">
              <w:rPr>
                <w:rFonts w:ascii="Times New Roman" w:hAnsi="Times New Roman"/>
                <w:sz w:val="20"/>
              </w:rPr>
              <w:t xml:space="preserve"> code ISO 3166-1 alpha-2 du pays de l’entreprise + 5 chiffres</w:t>
            </w:r>
          </w:p>
        </w:tc>
      </w:tr>
      <w:tr w:rsidR="007A337E" w:rsidRPr="00922DF4" w14:paraId="08C89766" w14:textId="77777777" w:rsidTr="00CB2FFD">
        <w:trPr>
          <w:trHeight w:val="570"/>
        </w:trPr>
        <w:tc>
          <w:tcPr>
            <w:tcW w:w="1240" w:type="dxa"/>
            <w:tcBorders>
              <w:top w:val="single" w:sz="4" w:space="0" w:color="auto"/>
              <w:left w:val="single" w:sz="4" w:space="0" w:color="000000"/>
              <w:bottom w:val="nil"/>
              <w:right w:val="single" w:sz="4" w:space="0" w:color="000000"/>
            </w:tcBorders>
            <w:shd w:val="clear" w:color="auto" w:fill="auto"/>
          </w:tcPr>
          <w:p w14:paraId="698CE88F"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sz w:val="20"/>
              </w:rPr>
              <w:lastRenderedPageBreak/>
              <w:t>C0070</w:t>
            </w:r>
          </w:p>
        </w:tc>
        <w:tc>
          <w:tcPr>
            <w:tcW w:w="2148" w:type="dxa"/>
            <w:tcBorders>
              <w:top w:val="single" w:sz="4" w:space="0" w:color="auto"/>
              <w:left w:val="nil"/>
              <w:bottom w:val="nil"/>
              <w:right w:val="single" w:sz="4" w:space="0" w:color="000000"/>
            </w:tcBorders>
            <w:shd w:val="clear" w:color="auto" w:fill="auto"/>
          </w:tcPr>
          <w:p w14:paraId="5DC2AC2F"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Type de code d’identification de l’émetteur/du vendeur/du fournisseur</w:t>
            </w:r>
          </w:p>
          <w:p w14:paraId="1054790B"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p>
        </w:tc>
        <w:tc>
          <w:tcPr>
            <w:tcW w:w="5836" w:type="dxa"/>
            <w:tcBorders>
              <w:top w:val="single" w:sz="4" w:space="0" w:color="auto"/>
              <w:left w:val="nil"/>
              <w:bottom w:val="nil"/>
              <w:right w:val="single" w:sz="4" w:space="0" w:color="000000"/>
            </w:tcBorders>
            <w:shd w:val="clear" w:color="auto" w:fill="auto"/>
          </w:tcPr>
          <w:p w14:paraId="13B4590A"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Indiquer le type de code utilisé dans la rubrique «Code d’identification de l’émetteur/du vendeur/du fournisseur».</w:t>
            </w:r>
            <w:r w:rsidRPr="00922DF4">
              <w:rPr>
                <w:rFonts w:ascii="Times New Roman" w:eastAsia="Times New Roman" w:hAnsi="Times New Roman" w:cs="Times New Roman"/>
                <w:color w:val="000000"/>
                <w:sz w:val="20"/>
                <w:szCs w:val="20"/>
              </w:rPr>
              <w:br/>
            </w:r>
            <w:r w:rsidRPr="00922DF4">
              <w:rPr>
                <w:rFonts w:ascii="Times New Roman" w:hAnsi="Times New Roman"/>
                <w:color w:val="000000"/>
                <w:sz w:val="20"/>
              </w:rPr>
              <w:t xml:space="preserve">1 – LEI </w:t>
            </w:r>
            <w:r w:rsidRPr="00922DF4">
              <w:rPr>
                <w:rFonts w:ascii="Times New Roman" w:eastAsia="Times New Roman" w:hAnsi="Times New Roman" w:cs="Times New Roman"/>
                <w:color w:val="000000"/>
                <w:sz w:val="20"/>
                <w:szCs w:val="20"/>
              </w:rPr>
              <w:br/>
            </w:r>
            <w:r w:rsidRPr="00922DF4">
              <w:rPr>
                <w:rFonts w:ascii="Times New Roman" w:hAnsi="Times New Roman"/>
                <w:color w:val="000000"/>
                <w:sz w:val="20"/>
              </w:rPr>
              <w:t>2 – Code spécifique</w:t>
            </w:r>
          </w:p>
        </w:tc>
      </w:tr>
      <w:tr w:rsidR="007A337E" w:rsidRPr="00922DF4" w14:paraId="137BD7D8" w14:textId="77777777" w:rsidTr="007A337E">
        <w:trPr>
          <w:trHeight w:val="1222"/>
        </w:trPr>
        <w:tc>
          <w:tcPr>
            <w:tcW w:w="1240" w:type="dxa"/>
            <w:tcBorders>
              <w:top w:val="single" w:sz="4" w:space="0" w:color="auto"/>
              <w:left w:val="single" w:sz="4" w:space="0" w:color="000000"/>
              <w:bottom w:val="single" w:sz="4" w:space="0" w:color="auto"/>
              <w:right w:val="single" w:sz="4" w:space="0" w:color="000000"/>
            </w:tcBorders>
            <w:shd w:val="clear" w:color="auto" w:fill="auto"/>
            <w:hideMark/>
          </w:tcPr>
          <w:p w14:paraId="1264D177"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 xml:space="preserve">C0080 </w:t>
            </w:r>
          </w:p>
        </w:tc>
        <w:tc>
          <w:tcPr>
            <w:tcW w:w="2148" w:type="dxa"/>
            <w:tcBorders>
              <w:top w:val="single" w:sz="4" w:space="0" w:color="auto"/>
              <w:left w:val="nil"/>
              <w:bottom w:val="single" w:sz="4" w:space="0" w:color="auto"/>
              <w:right w:val="single" w:sz="4" w:space="0" w:color="000000"/>
            </w:tcBorders>
            <w:shd w:val="clear" w:color="auto" w:fill="auto"/>
            <w:hideMark/>
          </w:tcPr>
          <w:p w14:paraId="40C4788E"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Type de transaction</w:t>
            </w:r>
          </w:p>
        </w:tc>
        <w:tc>
          <w:tcPr>
            <w:tcW w:w="5836" w:type="dxa"/>
            <w:tcBorders>
              <w:top w:val="single" w:sz="4" w:space="0" w:color="auto"/>
              <w:left w:val="nil"/>
              <w:bottom w:val="single" w:sz="4" w:space="0" w:color="auto"/>
              <w:right w:val="single" w:sz="4" w:space="0" w:color="000000"/>
            </w:tcBorders>
            <w:shd w:val="clear" w:color="auto" w:fill="auto"/>
            <w:hideMark/>
          </w:tcPr>
          <w:p w14:paraId="4C51AD83"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Le type de la transaction. Choisir impérativement l’une des options suivantes:</w:t>
            </w:r>
          </w:p>
          <w:p w14:paraId="747A50D4"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1 – Passifs éventuels</w:t>
            </w:r>
            <w:r w:rsidRPr="00922DF4">
              <w:rPr>
                <w:rFonts w:ascii="Times New Roman" w:eastAsia="Times New Roman" w:hAnsi="Times New Roman" w:cs="Times New Roman"/>
                <w:color w:val="000000"/>
                <w:sz w:val="20"/>
                <w:szCs w:val="20"/>
              </w:rPr>
              <w:br/>
            </w:r>
            <w:r w:rsidRPr="00922DF4">
              <w:rPr>
                <w:rFonts w:ascii="Times New Roman" w:hAnsi="Times New Roman"/>
                <w:color w:val="000000"/>
                <w:sz w:val="20"/>
              </w:rPr>
              <w:t>2 – Éléments de hors bilan</w:t>
            </w:r>
            <w:r w:rsidRPr="00922DF4">
              <w:rPr>
                <w:rFonts w:ascii="Times New Roman" w:eastAsia="Times New Roman" w:hAnsi="Times New Roman" w:cs="Times New Roman"/>
                <w:color w:val="000000"/>
                <w:sz w:val="20"/>
                <w:szCs w:val="20"/>
              </w:rPr>
              <w:br/>
            </w:r>
            <w:r w:rsidRPr="00922DF4">
              <w:rPr>
                <w:rFonts w:ascii="Times New Roman" w:hAnsi="Times New Roman"/>
                <w:color w:val="000000"/>
                <w:sz w:val="20"/>
              </w:rPr>
              <w:t>3 – Partage interne des coûts</w:t>
            </w:r>
            <w:r w:rsidRPr="00922DF4">
              <w:rPr>
                <w:rFonts w:ascii="Times New Roman" w:eastAsia="Times New Roman" w:hAnsi="Times New Roman" w:cs="Times New Roman"/>
                <w:color w:val="000000"/>
                <w:sz w:val="20"/>
                <w:szCs w:val="20"/>
              </w:rPr>
              <w:br/>
            </w:r>
            <w:r w:rsidRPr="00922DF4">
              <w:rPr>
                <w:rFonts w:ascii="Times New Roman" w:hAnsi="Times New Roman"/>
                <w:color w:val="000000"/>
                <w:sz w:val="20"/>
              </w:rPr>
              <w:t>4 – Autres</w:t>
            </w:r>
          </w:p>
        </w:tc>
      </w:tr>
      <w:tr w:rsidR="007A337E" w:rsidRPr="00922DF4" w14:paraId="4CCCFBBD" w14:textId="77777777" w:rsidTr="007A337E">
        <w:trPr>
          <w:trHeight w:val="285"/>
        </w:trPr>
        <w:tc>
          <w:tcPr>
            <w:tcW w:w="1240" w:type="dxa"/>
            <w:tcBorders>
              <w:top w:val="single" w:sz="4" w:space="0" w:color="auto"/>
              <w:left w:val="single" w:sz="4" w:space="0" w:color="auto"/>
              <w:bottom w:val="single" w:sz="4" w:space="0" w:color="auto"/>
              <w:right w:val="single" w:sz="4" w:space="0" w:color="auto"/>
            </w:tcBorders>
            <w:shd w:val="clear" w:color="auto" w:fill="auto"/>
            <w:hideMark/>
          </w:tcPr>
          <w:p w14:paraId="111432A4"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 xml:space="preserve">C0090 </w:t>
            </w:r>
          </w:p>
        </w:tc>
        <w:tc>
          <w:tcPr>
            <w:tcW w:w="2148" w:type="dxa"/>
            <w:tcBorders>
              <w:top w:val="single" w:sz="4" w:space="0" w:color="auto"/>
              <w:left w:val="single" w:sz="4" w:space="0" w:color="auto"/>
              <w:bottom w:val="single" w:sz="4" w:space="0" w:color="auto"/>
              <w:right w:val="single" w:sz="4" w:space="0" w:color="auto"/>
            </w:tcBorders>
            <w:shd w:val="clear" w:color="auto" w:fill="auto"/>
            <w:hideMark/>
          </w:tcPr>
          <w:p w14:paraId="4EE787C2"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Date d’émission de la transaction</w:t>
            </w:r>
          </w:p>
        </w:tc>
        <w:tc>
          <w:tcPr>
            <w:tcW w:w="5836" w:type="dxa"/>
            <w:tcBorders>
              <w:top w:val="single" w:sz="4" w:space="0" w:color="auto"/>
              <w:left w:val="single" w:sz="4" w:space="0" w:color="auto"/>
              <w:bottom w:val="single" w:sz="4" w:space="0" w:color="auto"/>
              <w:right w:val="single" w:sz="4" w:space="0" w:color="auto"/>
            </w:tcBorders>
            <w:shd w:val="clear" w:color="auto" w:fill="auto"/>
            <w:hideMark/>
          </w:tcPr>
          <w:p w14:paraId="234FF093"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sz w:val="20"/>
              </w:rPr>
              <w:t>Indiquer le code ISO 8601 (aaaa-mm-jj) de la date à laquelle la transaction ou l’émission prend effet.</w:t>
            </w:r>
          </w:p>
        </w:tc>
      </w:tr>
      <w:tr w:rsidR="007A337E" w:rsidRPr="00922DF4" w14:paraId="7E23A13A" w14:textId="77777777" w:rsidTr="007A337E">
        <w:trPr>
          <w:trHeight w:val="1140"/>
        </w:trPr>
        <w:tc>
          <w:tcPr>
            <w:tcW w:w="1240" w:type="dxa"/>
            <w:tcBorders>
              <w:top w:val="single" w:sz="4" w:space="0" w:color="auto"/>
              <w:left w:val="single" w:sz="4" w:space="0" w:color="000000"/>
              <w:bottom w:val="nil"/>
              <w:right w:val="single" w:sz="4" w:space="0" w:color="000000"/>
            </w:tcBorders>
            <w:shd w:val="clear" w:color="auto" w:fill="auto"/>
            <w:hideMark/>
          </w:tcPr>
          <w:p w14:paraId="6EE24E4F"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 xml:space="preserve">C0100 </w:t>
            </w:r>
          </w:p>
        </w:tc>
        <w:tc>
          <w:tcPr>
            <w:tcW w:w="2148" w:type="dxa"/>
            <w:tcBorders>
              <w:top w:val="single" w:sz="4" w:space="0" w:color="auto"/>
              <w:left w:val="nil"/>
              <w:bottom w:val="nil"/>
              <w:right w:val="single" w:sz="4" w:space="0" w:color="000000"/>
            </w:tcBorders>
            <w:shd w:val="clear" w:color="auto" w:fill="auto"/>
            <w:hideMark/>
          </w:tcPr>
          <w:p w14:paraId="7AE325EE"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 xml:space="preserve">Date effective de la convention ou du contrat sous-jacent à la transaction </w:t>
            </w:r>
          </w:p>
        </w:tc>
        <w:tc>
          <w:tcPr>
            <w:tcW w:w="5836" w:type="dxa"/>
            <w:tcBorders>
              <w:top w:val="single" w:sz="4" w:space="0" w:color="auto"/>
              <w:left w:val="nil"/>
              <w:bottom w:val="nil"/>
              <w:right w:val="single" w:sz="4" w:space="0" w:color="000000"/>
            </w:tcBorders>
            <w:shd w:val="clear" w:color="auto" w:fill="auto"/>
            <w:hideMark/>
          </w:tcPr>
          <w:p w14:paraId="773317C4"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 xml:space="preserve">Le cas échéant, le code ISO 8601 (aaaa-mm-jj) de la date à laquelle la convention ou le contrat sous-jacent à la transaction prend effet, si elle diffère de la date de la transaction.  Si cette date est la même que la date de la transaction, indiquer cette dernière.  </w:t>
            </w:r>
          </w:p>
        </w:tc>
      </w:tr>
      <w:tr w:rsidR="007A337E" w:rsidRPr="00922DF4" w14:paraId="7AF763B6" w14:textId="77777777" w:rsidTr="007A337E">
        <w:trPr>
          <w:trHeight w:val="913"/>
        </w:trPr>
        <w:tc>
          <w:tcPr>
            <w:tcW w:w="1240" w:type="dxa"/>
            <w:tcBorders>
              <w:top w:val="single" w:sz="4" w:space="0" w:color="auto"/>
              <w:left w:val="single" w:sz="4" w:space="0" w:color="000000"/>
              <w:bottom w:val="nil"/>
              <w:right w:val="single" w:sz="4" w:space="0" w:color="000000"/>
            </w:tcBorders>
            <w:shd w:val="clear" w:color="auto" w:fill="auto"/>
            <w:hideMark/>
          </w:tcPr>
          <w:p w14:paraId="37ED24FB"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 xml:space="preserve">C0110 </w:t>
            </w:r>
          </w:p>
        </w:tc>
        <w:tc>
          <w:tcPr>
            <w:tcW w:w="2148" w:type="dxa"/>
            <w:tcBorders>
              <w:top w:val="single" w:sz="4" w:space="0" w:color="auto"/>
              <w:left w:val="nil"/>
              <w:bottom w:val="nil"/>
              <w:right w:val="single" w:sz="4" w:space="0" w:color="000000"/>
            </w:tcBorders>
            <w:shd w:val="clear" w:color="auto" w:fill="auto"/>
            <w:hideMark/>
          </w:tcPr>
          <w:p w14:paraId="1FB09537"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 xml:space="preserve">Date d’expiration de la convention ou du contrat sous-jacent à la transaction </w:t>
            </w:r>
          </w:p>
        </w:tc>
        <w:tc>
          <w:tcPr>
            <w:tcW w:w="5836" w:type="dxa"/>
            <w:tcBorders>
              <w:top w:val="single" w:sz="4" w:space="0" w:color="auto"/>
              <w:left w:val="nil"/>
              <w:bottom w:val="nil"/>
              <w:right w:val="single" w:sz="4" w:space="0" w:color="000000"/>
            </w:tcBorders>
            <w:shd w:val="clear" w:color="auto" w:fill="auto"/>
            <w:hideMark/>
          </w:tcPr>
          <w:p w14:paraId="54592543"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Le cas échéant, le code ISO 8601 (aaaa-mm-jj) de la date à laquelle la convention/le contrat expire. Si la date d’expiration est perpétuelle, indiquer «9999-12-31».</w:t>
            </w:r>
          </w:p>
        </w:tc>
      </w:tr>
      <w:tr w:rsidR="007A337E" w:rsidRPr="00922DF4" w14:paraId="1A2C70B6" w14:textId="77777777" w:rsidTr="007A337E">
        <w:trPr>
          <w:trHeight w:val="570"/>
        </w:trPr>
        <w:tc>
          <w:tcPr>
            <w:tcW w:w="1240" w:type="dxa"/>
            <w:tcBorders>
              <w:top w:val="single" w:sz="4" w:space="0" w:color="auto"/>
              <w:left w:val="single" w:sz="4" w:space="0" w:color="000000"/>
              <w:bottom w:val="nil"/>
              <w:right w:val="single" w:sz="4" w:space="0" w:color="000000"/>
            </w:tcBorders>
            <w:shd w:val="clear" w:color="auto" w:fill="auto"/>
            <w:hideMark/>
          </w:tcPr>
          <w:p w14:paraId="7FB93E4A"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 xml:space="preserve">C0120 </w:t>
            </w:r>
          </w:p>
        </w:tc>
        <w:tc>
          <w:tcPr>
            <w:tcW w:w="2148" w:type="dxa"/>
            <w:tcBorders>
              <w:top w:val="single" w:sz="4" w:space="0" w:color="auto"/>
              <w:left w:val="nil"/>
              <w:bottom w:val="nil"/>
              <w:right w:val="single" w:sz="4" w:space="0" w:color="000000"/>
            </w:tcBorders>
            <w:shd w:val="clear" w:color="auto" w:fill="auto"/>
            <w:hideMark/>
          </w:tcPr>
          <w:p w14:paraId="0097A2C9"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 xml:space="preserve">Monnaie de la transaction </w:t>
            </w:r>
          </w:p>
        </w:tc>
        <w:tc>
          <w:tcPr>
            <w:tcW w:w="5836" w:type="dxa"/>
            <w:tcBorders>
              <w:top w:val="single" w:sz="4" w:space="0" w:color="auto"/>
              <w:left w:val="nil"/>
              <w:bottom w:val="nil"/>
              <w:right w:val="single" w:sz="4" w:space="0" w:color="000000"/>
            </w:tcBorders>
            <w:shd w:val="clear" w:color="auto" w:fill="auto"/>
            <w:hideMark/>
          </w:tcPr>
          <w:p w14:paraId="544C9CE9"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sz w:val="20"/>
              </w:rPr>
              <w:t>Le code alphabétique ISO 4217 de la monnaie dans laquelle la transaction a eu lieu.</w:t>
            </w:r>
          </w:p>
        </w:tc>
      </w:tr>
      <w:tr w:rsidR="007A337E" w:rsidRPr="00922DF4" w14:paraId="59DC7D10" w14:textId="77777777" w:rsidTr="007A337E">
        <w:trPr>
          <w:trHeight w:val="855"/>
        </w:trPr>
        <w:tc>
          <w:tcPr>
            <w:tcW w:w="1240" w:type="dxa"/>
            <w:tcBorders>
              <w:top w:val="single" w:sz="4" w:space="0" w:color="auto"/>
              <w:left w:val="single" w:sz="4" w:space="0" w:color="000000"/>
              <w:bottom w:val="nil"/>
              <w:right w:val="single" w:sz="4" w:space="0" w:color="000000"/>
            </w:tcBorders>
            <w:shd w:val="clear" w:color="auto" w:fill="auto"/>
            <w:hideMark/>
          </w:tcPr>
          <w:p w14:paraId="35ECC1CC"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 xml:space="preserve">C0130 </w:t>
            </w:r>
          </w:p>
        </w:tc>
        <w:tc>
          <w:tcPr>
            <w:tcW w:w="2148" w:type="dxa"/>
            <w:tcBorders>
              <w:top w:val="single" w:sz="4" w:space="0" w:color="auto"/>
              <w:left w:val="nil"/>
              <w:bottom w:val="nil"/>
              <w:right w:val="single" w:sz="4" w:space="0" w:color="000000"/>
            </w:tcBorders>
            <w:shd w:val="clear" w:color="auto" w:fill="auto"/>
            <w:hideMark/>
          </w:tcPr>
          <w:p w14:paraId="56D3741E"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 xml:space="preserve">Événement déclencheur </w:t>
            </w:r>
          </w:p>
        </w:tc>
        <w:tc>
          <w:tcPr>
            <w:tcW w:w="5836" w:type="dxa"/>
            <w:tcBorders>
              <w:top w:val="single" w:sz="4" w:space="0" w:color="auto"/>
              <w:left w:val="nil"/>
              <w:bottom w:val="nil"/>
              <w:right w:val="single" w:sz="4" w:space="0" w:color="000000"/>
            </w:tcBorders>
            <w:shd w:val="clear" w:color="auto" w:fill="auto"/>
            <w:hideMark/>
          </w:tcPr>
          <w:p w14:paraId="091A87E8"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Le cas échéant, une brève description de l’événement déclenchant la transaction/le paiement/le passif, par exemple l’événement faisant naître un passif éventuel.</w:t>
            </w:r>
          </w:p>
        </w:tc>
      </w:tr>
      <w:tr w:rsidR="007A337E" w:rsidRPr="00922DF4" w14:paraId="1C86B1A8" w14:textId="77777777" w:rsidTr="007A337E">
        <w:trPr>
          <w:trHeight w:val="558"/>
        </w:trPr>
        <w:tc>
          <w:tcPr>
            <w:tcW w:w="1240" w:type="dxa"/>
            <w:tcBorders>
              <w:top w:val="single" w:sz="4" w:space="0" w:color="auto"/>
              <w:left w:val="single" w:sz="4" w:space="0" w:color="000000"/>
              <w:bottom w:val="nil"/>
              <w:right w:val="single" w:sz="4" w:space="0" w:color="000000"/>
            </w:tcBorders>
            <w:shd w:val="clear" w:color="auto" w:fill="auto"/>
            <w:hideMark/>
          </w:tcPr>
          <w:p w14:paraId="7AB6A7F9"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 xml:space="preserve">C0140 </w:t>
            </w:r>
          </w:p>
        </w:tc>
        <w:tc>
          <w:tcPr>
            <w:tcW w:w="2148" w:type="dxa"/>
            <w:tcBorders>
              <w:top w:val="single" w:sz="4" w:space="0" w:color="auto"/>
              <w:left w:val="nil"/>
              <w:bottom w:val="nil"/>
              <w:right w:val="single" w:sz="4" w:space="0" w:color="000000"/>
            </w:tcBorders>
            <w:shd w:val="clear" w:color="auto" w:fill="auto"/>
            <w:hideMark/>
          </w:tcPr>
          <w:p w14:paraId="4C570181"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Valeur de la transaction/de la sûreté/de la garantie</w:t>
            </w:r>
          </w:p>
        </w:tc>
        <w:tc>
          <w:tcPr>
            <w:tcW w:w="5836" w:type="dxa"/>
            <w:tcBorders>
              <w:top w:val="single" w:sz="4" w:space="0" w:color="auto"/>
              <w:left w:val="nil"/>
              <w:bottom w:val="nil"/>
              <w:right w:val="single" w:sz="4" w:space="0" w:color="000000"/>
            </w:tcBorders>
            <w:shd w:val="clear" w:color="auto" w:fill="auto"/>
            <w:hideMark/>
          </w:tcPr>
          <w:p w14:paraId="40E18A0E" w14:textId="6C2B8A60"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 xml:space="preserve">La valeur de la transaction, des sûretés fournies ou du passif éventuel comptabilisé au bilan. </w:t>
            </w:r>
          </w:p>
          <w:p w14:paraId="277A0CE9"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p>
          <w:p w14:paraId="104E079C" w14:textId="33DB6E4B"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Ces éléments sont à déclarer selon leur valeur Solvabilité II</w:t>
            </w:r>
            <w:r w:rsidR="00625D12" w:rsidRPr="00922DF4">
              <w:rPr>
                <w:rStyle w:val="Appelnotedebasdep"/>
                <w:color w:val="000000"/>
              </w:rPr>
              <w:footnoteReference w:id="1"/>
            </w:r>
            <w:r w:rsidRPr="00922DF4">
              <w:rPr>
                <w:rFonts w:ascii="Times New Roman" w:hAnsi="Times New Roman"/>
                <w:color w:val="000000"/>
                <w:sz w:val="20"/>
              </w:rPr>
              <w:t>. Lorsque cette valeur n’est pas disponible (par exemple, opérations hors EEE selon la seconde méthode sous un régime équivalent, ou banques et établissements de crédit)</w:t>
            </w:r>
            <w:r w:rsidR="00D63D09" w:rsidRPr="00922DF4">
              <w:rPr>
                <w:rFonts w:ascii="Times New Roman" w:hAnsi="Times New Roman"/>
                <w:color w:val="000000"/>
                <w:sz w:val="20"/>
              </w:rPr>
              <w:t>,</w:t>
            </w:r>
            <w:r w:rsidRPr="00922DF4">
              <w:rPr>
                <w:rFonts w:ascii="Times New Roman" w:hAnsi="Times New Roman"/>
                <w:color w:val="000000"/>
                <w:sz w:val="20"/>
              </w:rPr>
              <w:t xml:space="preserve"> utiliser les règles de valorisation locales ou sectorielles.</w:t>
            </w:r>
          </w:p>
        </w:tc>
      </w:tr>
      <w:tr w:rsidR="007A337E" w:rsidRPr="00922DF4" w14:paraId="013452DE" w14:textId="77777777" w:rsidTr="007A337E">
        <w:trPr>
          <w:trHeight w:val="855"/>
        </w:trPr>
        <w:tc>
          <w:tcPr>
            <w:tcW w:w="1240" w:type="dxa"/>
            <w:tcBorders>
              <w:top w:val="single" w:sz="4" w:space="0" w:color="auto"/>
              <w:left w:val="single" w:sz="4" w:space="0" w:color="000000"/>
              <w:bottom w:val="nil"/>
              <w:right w:val="single" w:sz="4" w:space="0" w:color="000000"/>
            </w:tcBorders>
            <w:shd w:val="clear" w:color="auto" w:fill="auto"/>
            <w:hideMark/>
          </w:tcPr>
          <w:p w14:paraId="765A4688"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 xml:space="preserve">C0150 </w:t>
            </w:r>
          </w:p>
        </w:tc>
        <w:tc>
          <w:tcPr>
            <w:tcW w:w="2148" w:type="dxa"/>
            <w:tcBorders>
              <w:top w:val="single" w:sz="4" w:space="0" w:color="auto"/>
              <w:left w:val="nil"/>
              <w:bottom w:val="nil"/>
              <w:right w:val="single" w:sz="4" w:space="0" w:color="000000"/>
            </w:tcBorders>
            <w:shd w:val="clear" w:color="auto" w:fill="auto"/>
            <w:hideMark/>
          </w:tcPr>
          <w:p w14:paraId="0050BAB5"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Valeur maximale possible des passifs éventuels</w:t>
            </w:r>
          </w:p>
        </w:tc>
        <w:tc>
          <w:tcPr>
            <w:tcW w:w="5836" w:type="dxa"/>
            <w:tcBorders>
              <w:top w:val="single" w:sz="4" w:space="0" w:color="auto"/>
              <w:left w:val="nil"/>
              <w:bottom w:val="nil"/>
              <w:right w:val="single" w:sz="4" w:space="0" w:color="000000"/>
            </w:tcBorders>
            <w:shd w:val="clear" w:color="auto" w:fill="auto"/>
            <w:hideMark/>
          </w:tcPr>
          <w:p w14:paraId="3417696D" w14:textId="0CB22E6E" w:rsidR="007A337E" w:rsidRPr="00922DF4" w:rsidRDefault="007A337E" w:rsidP="00D63D09">
            <w:pPr>
              <w:rPr>
                <w:rFonts w:ascii="Times New Roman" w:hAnsi="Times New Roman" w:cs="Times New Roman"/>
                <w:sz w:val="20"/>
                <w:szCs w:val="20"/>
              </w:rPr>
            </w:pPr>
            <w:r w:rsidRPr="00922DF4">
              <w:rPr>
                <w:rFonts w:ascii="Times New Roman" w:hAnsi="Times New Roman"/>
                <w:sz w:val="20"/>
              </w:rPr>
              <w:t>La valeur maximale possible</w:t>
            </w:r>
            <w:r w:rsidR="00D63D09" w:rsidRPr="00922DF4">
              <w:rPr>
                <w:rFonts w:ascii="Times New Roman" w:hAnsi="Times New Roman"/>
                <w:sz w:val="20"/>
              </w:rPr>
              <w:t xml:space="preserve"> </w:t>
            </w:r>
            <w:r w:rsidRPr="00922DF4">
              <w:rPr>
                <w:rFonts w:ascii="Times New Roman" w:hAnsi="Times New Roman"/>
                <w:sz w:val="20"/>
              </w:rPr>
              <w:t xml:space="preserve">des passifs éventuels inclus au bilan, indépendamment de leur probabilité de réalisation (à savoir sorties de trésorerie futures nécessaires pour régler le passif éventuel sur sa durée de vie, actualisées selon la courbe des taux d’intérêt sans risque pertinents). </w:t>
            </w:r>
          </w:p>
        </w:tc>
      </w:tr>
      <w:tr w:rsidR="007A337E" w:rsidRPr="00922DF4" w14:paraId="5FC89687" w14:textId="77777777" w:rsidTr="007A337E">
        <w:trPr>
          <w:trHeight w:val="1140"/>
        </w:trPr>
        <w:tc>
          <w:tcPr>
            <w:tcW w:w="1240" w:type="dxa"/>
            <w:tcBorders>
              <w:top w:val="single" w:sz="4" w:space="0" w:color="auto"/>
              <w:left w:val="single" w:sz="4" w:space="0" w:color="000000"/>
              <w:bottom w:val="single" w:sz="4" w:space="0" w:color="auto"/>
              <w:right w:val="single" w:sz="4" w:space="0" w:color="000000"/>
            </w:tcBorders>
            <w:shd w:val="clear" w:color="auto" w:fill="auto"/>
            <w:hideMark/>
          </w:tcPr>
          <w:p w14:paraId="4F5BCF76"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 xml:space="preserve">C0160 </w:t>
            </w:r>
          </w:p>
        </w:tc>
        <w:tc>
          <w:tcPr>
            <w:tcW w:w="2148" w:type="dxa"/>
            <w:tcBorders>
              <w:top w:val="single" w:sz="4" w:space="0" w:color="auto"/>
              <w:left w:val="nil"/>
              <w:bottom w:val="single" w:sz="4" w:space="0" w:color="auto"/>
              <w:right w:val="single" w:sz="4" w:space="0" w:color="000000"/>
            </w:tcBorders>
            <w:shd w:val="clear" w:color="auto" w:fill="auto"/>
            <w:hideMark/>
          </w:tcPr>
          <w:p w14:paraId="1032C048" w14:textId="2AABF7F2" w:rsidR="007A337E" w:rsidRPr="00922DF4" w:rsidRDefault="007A337E" w:rsidP="00D63D09">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Valeur maximale des passifs éventuels non comptabilisés au bilan</w:t>
            </w:r>
          </w:p>
        </w:tc>
        <w:tc>
          <w:tcPr>
            <w:tcW w:w="5836" w:type="dxa"/>
            <w:tcBorders>
              <w:top w:val="single" w:sz="4" w:space="0" w:color="auto"/>
              <w:left w:val="nil"/>
              <w:bottom w:val="single" w:sz="4" w:space="0" w:color="auto"/>
              <w:right w:val="single" w:sz="4" w:space="0" w:color="000000"/>
            </w:tcBorders>
            <w:shd w:val="clear" w:color="auto" w:fill="auto"/>
            <w:hideMark/>
          </w:tcPr>
          <w:p w14:paraId="06074401" w14:textId="2253CB6B" w:rsidR="007A337E" w:rsidRPr="00922DF4" w:rsidRDefault="007A337E" w:rsidP="00D63D09">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 xml:space="preserve">Le montant maximal des passifs éventuels, non comptabilisés au bilan, qui pourraient être dus au prestataire. </w:t>
            </w:r>
          </w:p>
        </w:tc>
      </w:tr>
      <w:tr w:rsidR="007A337E" w:rsidRPr="00922DF4" w14:paraId="53633307" w14:textId="77777777" w:rsidTr="007A337E">
        <w:trPr>
          <w:trHeight w:val="1140"/>
        </w:trPr>
        <w:tc>
          <w:tcPr>
            <w:tcW w:w="1240" w:type="dxa"/>
            <w:tcBorders>
              <w:top w:val="single" w:sz="4" w:space="0" w:color="auto"/>
              <w:left w:val="single" w:sz="4" w:space="0" w:color="000000"/>
              <w:bottom w:val="single" w:sz="4" w:space="0" w:color="auto"/>
              <w:right w:val="single" w:sz="4" w:space="0" w:color="000000"/>
            </w:tcBorders>
            <w:shd w:val="clear" w:color="auto" w:fill="auto"/>
          </w:tcPr>
          <w:p w14:paraId="2D43B3C7"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 xml:space="preserve">C0170 </w:t>
            </w:r>
          </w:p>
        </w:tc>
        <w:tc>
          <w:tcPr>
            <w:tcW w:w="2148" w:type="dxa"/>
            <w:tcBorders>
              <w:top w:val="single" w:sz="4" w:space="0" w:color="auto"/>
              <w:left w:val="nil"/>
              <w:bottom w:val="single" w:sz="4" w:space="0" w:color="auto"/>
              <w:right w:val="single" w:sz="4" w:space="0" w:color="000000"/>
            </w:tcBorders>
            <w:shd w:val="clear" w:color="auto" w:fill="auto"/>
          </w:tcPr>
          <w:p w14:paraId="1954A101"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Valeur maximale des lettres de crédit/des garanties</w:t>
            </w:r>
          </w:p>
        </w:tc>
        <w:tc>
          <w:tcPr>
            <w:tcW w:w="5836" w:type="dxa"/>
            <w:tcBorders>
              <w:top w:val="single" w:sz="4" w:space="0" w:color="auto"/>
              <w:left w:val="nil"/>
              <w:bottom w:val="single" w:sz="4" w:space="0" w:color="auto"/>
              <w:right w:val="single" w:sz="4" w:space="0" w:color="000000"/>
            </w:tcBorders>
            <w:shd w:val="clear" w:color="auto" w:fill="auto"/>
          </w:tcPr>
          <w:p w14:paraId="5EB15052" w14:textId="7C1C88C6" w:rsidR="007A337E" w:rsidRPr="00922DF4" w:rsidRDefault="007A337E" w:rsidP="007A337E">
            <w:pPr>
              <w:rPr>
                <w:rFonts w:ascii="Times New Roman" w:eastAsia="Times New Roman" w:hAnsi="Times New Roman" w:cs="Times New Roman"/>
                <w:color w:val="000000"/>
                <w:sz w:val="20"/>
                <w:szCs w:val="20"/>
              </w:rPr>
            </w:pPr>
            <w:r w:rsidRPr="00922DF4">
              <w:rPr>
                <w:rFonts w:ascii="Times New Roman" w:hAnsi="Times New Roman"/>
                <w:sz w:val="20"/>
              </w:rPr>
              <w:t>Somme de toutes les entrées de trésorerie, liées aux garanties fournies par le</w:t>
            </w:r>
            <w:r w:rsidR="00031160" w:rsidRPr="00922DF4">
              <w:rPr>
                <w:rFonts w:ascii="Times New Roman" w:hAnsi="Times New Roman"/>
                <w:sz w:val="20"/>
              </w:rPr>
              <w:t xml:space="preserve"> « prestataire »</w:t>
            </w:r>
            <w:r w:rsidRPr="00922DF4">
              <w:rPr>
                <w:rFonts w:ascii="Times New Roman" w:hAnsi="Times New Roman"/>
                <w:sz w:val="20"/>
              </w:rPr>
              <w:t xml:space="preserve"> (cellule C0050) au</w:t>
            </w:r>
            <w:r w:rsidR="00031160" w:rsidRPr="00922DF4">
              <w:rPr>
                <w:rFonts w:ascii="Times New Roman" w:hAnsi="Times New Roman"/>
                <w:sz w:val="20"/>
              </w:rPr>
              <w:t xml:space="preserve"> « bénéficiaire »</w:t>
            </w:r>
            <w:r w:rsidRPr="00922DF4">
              <w:rPr>
                <w:rFonts w:ascii="Times New Roman" w:hAnsi="Times New Roman"/>
                <w:sz w:val="20"/>
              </w:rPr>
              <w:t xml:space="preserve"> (cellule C0020), qui seraient possibles si les événements déclencheurs des garanties reçues par l’entreprise de tiers pour garantir le paiement de ses engagements devaient tous se produire (inclut les lettres de crédit et les facilités d’emprunt garanties et non tirées). Ne pas inclure les montants déjà déclarés en C0150 et C0160. </w:t>
            </w:r>
          </w:p>
        </w:tc>
      </w:tr>
      <w:tr w:rsidR="007A337E" w:rsidRPr="00922DF4" w14:paraId="1F58E5E2" w14:textId="77777777" w:rsidTr="007A337E">
        <w:trPr>
          <w:trHeight w:val="274"/>
        </w:trPr>
        <w:tc>
          <w:tcPr>
            <w:tcW w:w="1240" w:type="dxa"/>
            <w:tcBorders>
              <w:top w:val="single" w:sz="4" w:space="0" w:color="auto"/>
              <w:left w:val="single" w:sz="4" w:space="0" w:color="000000"/>
              <w:bottom w:val="single" w:sz="4" w:space="0" w:color="auto"/>
              <w:right w:val="single" w:sz="4" w:space="0" w:color="000000"/>
            </w:tcBorders>
            <w:shd w:val="clear" w:color="auto" w:fill="auto"/>
          </w:tcPr>
          <w:p w14:paraId="1FA97A32"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 xml:space="preserve">C0180 </w:t>
            </w:r>
          </w:p>
        </w:tc>
        <w:tc>
          <w:tcPr>
            <w:tcW w:w="2148" w:type="dxa"/>
            <w:tcBorders>
              <w:top w:val="single" w:sz="4" w:space="0" w:color="auto"/>
              <w:left w:val="nil"/>
              <w:bottom w:val="single" w:sz="4" w:space="0" w:color="auto"/>
              <w:right w:val="single" w:sz="4" w:space="0" w:color="000000"/>
            </w:tcBorders>
            <w:shd w:val="clear" w:color="auto" w:fill="auto"/>
          </w:tcPr>
          <w:p w14:paraId="43C1A429"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color w:val="000000"/>
                <w:sz w:val="20"/>
              </w:rPr>
              <w:t>Valeur des actifs garantis</w:t>
            </w:r>
          </w:p>
        </w:tc>
        <w:tc>
          <w:tcPr>
            <w:tcW w:w="5836" w:type="dxa"/>
            <w:tcBorders>
              <w:top w:val="single" w:sz="4" w:space="0" w:color="auto"/>
              <w:left w:val="nil"/>
              <w:bottom w:val="single" w:sz="4" w:space="0" w:color="auto"/>
              <w:right w:val="single" w:sz="4" w:space="0" w:color="000000"/>
            </w:tcBorders>
            <w:shd w:val="clear" w:color="auto" w:fill="auto"/>
          </w:tcPr>
          <w:p w14:paraId="76C3841F" w14:textId="77777777" w:rsidR="007A337E" w:rsidRPr="00922DF4" w:rsidRDefault="007A337E" w:rsidP="007A337E">
            <w:pPr>
              <w:rPr>
                <w:rFonts w:ascii="Times New Roman" w:hAnsi="Times New Roman" w:cs="Times New Roman"/>
                <w:sz w:val="20"/>
                <w:szCs w:val="20"/>
              </w:rPr>
            </w:pPr>
            <w:r w:rsidRPr="00922DF4">
              <w:rPr>
                <w:rFonts w:ascii="Times New Roman" w:hAnsi="Times New Roman"/>
                <w:sz w:val="20"/>
              </w:rPr>
              <w:t>Valeur des actifs garantis pour lesquels les garanties sont reçues.</w:t>
            </w:r>
          </w:p>
          <w:p w14:paraId="45B08130" w14:textId="77777777" w:rsidR="007A337E" w:rsidRPr="00922DF4" w:rsidRDefault="007A337E" w:rsidP="007A337E">
            <w:pPr>
              <w:spacing w:after="0" w:line="240" w:lineRule="auto"/>
              <w:rPr>
                <w:rFonts w:ascii="Times New Roman" w:eastAsia="Times New Roman" w:hAnsi="Times New Roman" w:cs="Times New Roman"/>
                <w:color w:val="000000"/>
                <w:sz w:val="20"/>
                <w:szCs w:val="20"/>
              </w:rPr>
            </w:pPr>
            <w:r w:rsidRPr="00922DF4">
              <w:rPr>
                <w:rFonts w:ascii="Times New Roman" w:hAnsi="Times New Roman"/>
                <w:sz w:val="20"/>
              </w:rPr>
              <w:t>Des principes de valorisation locaux ou sectoriels autres que ceux de Solvabilité II pourraient s’appliquer dans ce cas.</w:t>
            </w:r>
          </w:p>
        </w:tc>
      </w:tr>
    </w:tbl>
    <w:p w14:paraId="56DD0F90" w14:textId="75C69BB3" w:rsidR="007115AB" w:rsidRPr="00922DF4" w:rsidRDefault="007115AB" w:rsidP="00CB2FFD">
      <w:pPr>
        <w:pStyle w:val="Paragraphedeliste"/>
        <w:rPr>
          <w:b/>
          <w:bCs/>
        </w:rPr>
      </w:pPr>
    </w:p>
    <w:p w14:paraId="76C88871" w14:textId="4134E663" w:rsidR="00637AB7" w:rsidRPr="00922DF4" w:rsidRDefault="00637AB7" w:rsidP="007A337E">
      <w:pPr>
        <w:rPr>
          <w:rFonts w:ascii="Times New Roman" w:hAnsi="Times New Roman"/>
          <w:b/>
          <w:sz w:val="20"/>
        </w:rPr>
      </w:pPr>
    </w:p>
    <w:p w14:paraId="25772A40" w14:textId="12ABE932" w:rsidR="00CB2FFD" w:rsidRPr="00922DF4" w:rsidRDefault="007873CC" w:rsidP="007873CC">
      <w:pPr>
        <w:rPr>
          <w:b/>
          <w:sz w:val="20"/>
        </w:rPr>
      </w:pPr>
      <w:r w:rsidRPr="00922DF4">
        <w:rPr>
          <w:b/>
          <w:bCs/>
        </w:rPr>
        <w:t xml:space="preserve">4. </w:t>
      </w:r>
      <w:r w:rsidR="00802BBF" w:rsidRPr="00922DF4">
        <w:rPr>
          <w:b/>
          <w:bCs/>
        </w:rPr>
        <w:t>Tableau de l’état</w:t>
      </w:r>
    </w:p>
    <w:p w14:paraId="1B2B2C08" w14:textId="351987F6" w:rsidR="00CB2FFD" w:rsidRPr="00CB2FFD" w:rsidRDefault="004A1FE1" w:rsidP="004A1FE1">
      <w:pPr>
        <w:ind w:left="-170"/>
        <w:rPr>
          <w:b/>
          <w:sz w:val="20"/>
        </w:rPr>
      </w:pPr>
      <w:r w:rsidRPr="00922DF4">
        <w:rPr>
          <w:b/>
          <w:noProof/>
          <w:sz w:val="20"/>
          <w:lang w:bidi="ar-SA"/>
        </w:rPr>
        <w:drawing>
          <wp:inline distT="0" distB="0" distL="0" distR="0" wp14:anchorId="2F81C38E" wp14:editId="7366F29F">
            <wp:extent cx="6380569" cy="2209800"/>
            <wp:effectExtent l="0" t="0" r="127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432433" cy="2227762"/>
                    </a:xfrm>
                    <a:prstGeom prst="rect">
                      <a:avLst/>
                    </a:prstGeom>
                  </pic:spPr>
                </pic:pic>
              </a:graphicData>
            </a:graphic>
          </wp:inline>
        </w:drawing>
      </w:r>
    </w:p>
    <w:p w14:paraId="0442E8EB" w14:textId="24E638B1" w:rsidR="007115AB" w:rsidRPr="007A337E" w:rsidRDefault="007115AB" w:rsidP="004A1FE1">
      <w:pPr>
        <w:spacing w:after="100" w:afterAutospacing="1"/>
        <w:rPr>
          <w:rFonts w:ascii="Times New Roman" w:hAnsi="Times New Roman"/>
          <w:b/>
          <w:sz w:val="20"/>
        </w:rPr>
      </w:pPr>
    </w:p>
    <w:sectPr w:rsidR="007115AB" w:rsidRPr="007A337E" w:rsidSect="00CB2FFD">
      <w:pgSz w:w="11906" w:h="16838"/>
      <w:pgMar w:top="1134" w:right="1440" w:bottom="567" w:left="1440" w:header="22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6B8B66" w14:textId="77777777" w:rsidR="00614E6C" w:rsidRDefault="00614E6C" w:rsidP="0051516F">
      <w:pPr>
        <w:spacing w:after="0" w:line="240" w:lineRule="auto"/>
      </w:pPr>
      <w:r>
        <w:separator/>
      </w:r>
    </w:p>
  </w:endnote>
  <w:endnote w:type="continuationSeparator" w:id="0">
    <w:p w14:paraId="2E28A555" w14:textId="77777777" w:rsidR="00614E6C" w:rsidRDefault="00614E6C" w:rsidP="005151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F9FE57" w14:textId="77777777" w:rsidR="00614E6C" w:rsidRDefault="00614E6C" w:rsidP="0051516F">
      <w:pPr>
        <w:spacing w:after="0" w:line="240" w:lineRule="auto"/>
      </w:pPr>
      <w:r>
        <w:separator/>
      </w:r>
    </w:p>
  </w:footnote>
  <w:footnote w:type="continuationSeparator" w:id="0">
    <w:p w14:paraId="03484023" w14:textId="77777777" w:rsidR="00614E6C" w:rsidRDefault="00614E6C" w:rsidP="0051516F">
      <w:pPr>
        <w:spacing w:after="0" w:line="240" w:lineRule="auto"/>
      </w:pPr>
      <w:r>
        <w:continuationSeparator/>
      </w:r>
    </w:p>
  </w:footnote>
  <w:footnote w:id="1">
    <w:p w14:paraId="042307EB" w14:textId="3DBD4D97" w:rsidR="00A22022" w:rsidRDefault="00A22022">
      <w:pPr>
        <w:pStyle w:val="Notedebasdepage"/>
      </w:pPr>
      <w:r>
        <w:rPr>
          <w:rStyle w:val="Appelnotedebasdep"/>
        </w:rPr>
        <w:footnoteRef/>
      </w:r>
      <w:r>
        <w:t xml:space="preserve"> </w:t>
      </w:r>
      <w:r w:rsidRPr="00625D12">
        <w:t>Même s’ils sont comptabilisés au bilan statutaire pour une valeur différente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BA7E02"/>
    <w:multiLevelType w:val="hybridMultilevel"/>
    <w:tmpl w:val="931412F8"/>
    <w:lvl w:ilvl="0" w:tplc="3BBE544E">
      <w:start w:val="1"/>
      <w:numFmt w:val="decimal"/>
      <w:lvlText w:val="%1."/>
      <w:lvlJc w:val="left"/>
      <w:pPr>
        <w:ind w:left="720" w:hanging="360"/>
      </w:pPr>
      <w:rPr>
        <w:rFonts w:eastAsiaTheme="minorHAnsi" w:cstheme="minorBid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35540FD0"/>
    <w:multiLevelType w:val="hybridMultilevel"/>
    <w:tmpl w:val="8E98C0FA"/>
    <w:lvl w:ilvl="0" w:tplc="B7165E02">
      <w:start w:val="1"/>
      <w:numFmt w:val="bullet"/>
      <w:lvlText w:val=""/>
      <w:lvlJc w:val="left"/>
      <w:pPr>
        <w:tabs>
          <w:tab w:val="num" w:pos="1774"/>
        </w:tabs>
        <w:ind w:left="1774" w:hanging="284"/>
      </w:pPr>
      <w:rPr>
        <w:rFonts w:ascii="Symbol" w:hAnsi="Symbol" w:hint="default"/>
        <w:color w:val="auto"/>
        <w:u w:color="000080"/>
      </w:rPr>
    </w:lvl>
    <w:lvl w:ilvl="1" w:tplc="08090003" w:tentative="1">
      <w:start w:val="1"/>
      <w:numFmt w:val="bullet"/>
      <w:lvlText w:val="o"/>
      <w:lvlJc w:val="left"/>
      <w:pPr>
        <w:tabs>
          <w:tab w:val="num" w:pos="1490"/>
        </w:tabs>
        <w:ind w:left="1490" w:hanging="360"/>
      </w:pPr>
      <w:rPr>
        <w:rFonts w:ascii="Courier New" w:hAnsi="Courier New" w:cs="Courier New" w:hint="default"/>
      </w:rPr>
    </w:lvl>
    <w:lvl w:ilvl="2" w:tplc="08090005" w:tentative="1">
      <w:start w:val="1"/>
      <w:numFmt w:val="bullet"/>
      <w:lvlText w:val=""/>
      <w:lvlJc w:val="left"/>
      <w:pPr>
        <w:tabs>
          <w:tab w:val="num" w:pos="2210"/>
        </w:tabs>
        <w:ind w:left="2210" w:hanging="360"/>
      </w:pPr>
      <w:rPr>
        <w:rFonts w:ascii="Wingdings" w:hAnsi="Wingdings" w:hint="default"/>
      </w:rPr>
    </w:lvl>
    <w:lvl w:ilvl="3" w:tplc="08090001" w:tentative="1">
      <w:start w:val="1"/>
      <w:numFmt w:val="bullet"/>
      <w:lvlText w:val=""/>
      <w:lvlJc w:val="left"/>
      <w:pPr>
        <w:tabs>
          <w:tab w:val="num" w:pos="2930"/>
        </w:tabs>
        <w:ind w:left="2930" w:hanging="360"/>
      </w:pPr>
      <w:rPr>
        <w:rFonts w:ascii="Symbol" w:hAnsi="Symbol" w:hint="default"/>
      </w:rPr>
    </w:lvl>
    <w:lvl w:ilvl="4" w:tplc="08090003" w:tentative="1">
      <w:start w:val="1"/>
      <w:numFmt w:val="bullet"/>
      <w:lvlText w:val="o"/>
      <w:lvlJc w:val="left"/>
      <w:pPr>
        <w:tabs>
          <w:tab w:val="num" w:pos="3650"/>
        </w:tabs>
        <w:ind w:left="3650" w:hanging="360"/>
      </w:pPr>
      <w:rPr>
        <w:rFonts w:ascii="Courier New" w:hAnsi="Courier New" w:cs="Courier New" w:hint="default"/>
      </w:rPr>
    </w:lvl>
    <w:lvl w:ilvl="5" w:tplc="08090005" w:tentative="1">
      <w:start w:val="1"/>
      <w:numFmt w:val="bullet"/>
      <w:lvlText w:val=""/>
      <w:lvlJc w:val="left"/>
      <w:pPr>
        <w:tabs>
          <w:tab w:val="num" w:pos="4370"/>
        </w:tabs>
        <w:ind w:left="4370" w:hanging="360"/>
      </w:pPr>
      <w:rPr>
        <w:rFonts w:ascii="Wingdings" w:hAnsi="Wingdings" w:hint="default"/>
      </w:rPr>
    </w:lvl>
    <w:lvl w:ilvl="6" w:tplc="08090001" w:tentative="1">
      <w:start w:val="1"/>
      <w:numFmt w:val="bullet"/>
      <w:lvlText w:val=""/>
      <w:lvlJc w:val="left"/>
      <w:pPr>
        <w:tabs>
          <w:tab w:val="num" w:pos="5090"/>
        </w:tabs>
        <w:ind w:left="5090" w:hanging="360"/>
      </w:pPr>
      <w:rPr>
        <w:rFonts w:ascii="Symbol" w:hAnsi="Symbol" w:hint="default"/>
      </w:rPr>
    </w:lvl>
    <w:lvl w:ilvl="7" w:tplc="08090003" w:tentative="1">
      <w:start w:val="1"/>
      <w:numFmt w:val="bullet"/>
      <w:lvlText w:val="o"/>
      <w:lvlJc w:val="left"/>
      <w:pPr>
        <w:tabs>
          <w:tab w:val="num" w:pos="5810"/>
        </w:tabs>
        <w:ind w:left="5810" w:hanging="360"/>
      </w:pPr>
      <w:rPr>
        <w:rFonts w:ascii="Courier New" w:hAnsi="Courier New" w:cs="Courier New" w:hint="default"/>
      </w:rPr>
    </w:lvl>
    <w:lvl w:ilvl="8" w:tplc="08090005" w:tentative="1">
      <w:start w:val="1"/>
      <w:numFmt w:val="bullet"/>
      <w:lvlText w:val=""/>
      <w:lvlJc w:val="left"/>
      <w:pPr>
        <w:tabs>
          <w:tab w:val="num" w:pos="6530"/>
        </w:tabs>
        <w:ind w:left="6530" w:hanging="360"/>
      </w:pPr>
      <w:rPr>
        <w:rFonts w:ascii="Wingdings" w:hAnsi="Wingdings" w:hint="default"/>
      </w:rPr>
    </w:lvl>
  </w:abstractNum>
  <w:abstractNum w:abstractNumId="2" w15:restartNumberingAfterBreak="0">
    <w:nsid w:val="37894CDB"/>
    <w:multiLevelType w:val="hybridMultilevel"/>
    <w:tmpl w:val="6D06E970"/>
    <w:lvl w:ilvl="0" w:tplc="73D88ABA">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844EA8"/>
    <w:multiLevelType w:val="hybridMultilevel"/>
    <w:tmpl w:val="8DC657FC"/>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4" w15:restartNumberingAfterBreak="0">
    <w:nsid w:val="44D14C1E"/>
    <w:multiLevelType w:val="hybridMultilevel"/>
    <w:tmpl w:val="155833AA"/>
    <w:lvl w:ilvl="0" w:tplc="8924D098">
      <w:start w:val="2"/>
      <w:numFmt w:val="decimal"/>
      <w:lvlText w:val="%1."/>
      <w:lvlJc w:val="left"/>
      <w:pPr>
        <w:ind w:left="720" w:hanging="360"/>
      </w:pPr>
      <w:rPr>
        <w:rFonts w:asciiTheme="minorHAnsi" w:hAnsiTheme="minorHAnsi" w:cstheme="minorBid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456E509B"/>
    <w:multiLevelType w:val="hybridMultilevel"/>
    <w:tmpl w:val="931412F8"/>
    <w:lvl w:ilvl="0" w:tplc="3BBE544E">
      <w:start w:val="1"/>
      <w:numFmt w:val="decimal"/>
      <w:lvlText w:val="%1."/>
      <w:lvlJc w:val="left"/>
      <w:pPr>
        <w:ind w:left="720" w:hanging="360"/>
      </w:pPr>
      <w:rPr>
        <w:rFonts w:eastAsiaTheme="minorHAnsi" w:cstheme="minorBid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4BDA255E"/>
    <w:multiLevelType w:val="hybridMultilevel"/>
    <w:tmpl w:val="896C8670"/>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7" w15:restartNumberingAfterBreak="0">
    <w:nsid w:val="4FC331DD"/>
    <w:multiLevelType w:val="hybridMultilevel"/>
    <w:tmpl w:val="528E9D52"/>
    <w:lvl w:ilvl="0" w:tplc="B518E57C">
      <w:start w:val="19"/>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6BB14A5"/>
    <w:multiLevelType w:val="hybridMultilevel"/>
    <w:tmpl w:val="931412F8"/>
    <w:lvl w:ilvl="0" w:tplc="3BBE544E">
      <w:start w:val="1"/>
      <w:numFmt w:val="decimal"/>
      <w:lvlText w:val="%1."/>
      <w:lvlJc w:val="left"/>
      <w:pPr>
        <w:ind w:left="720" w:hanging="360"/>
      </w:pPr>
      <w:rPr>
        <w:rFonts w:eastAsiaTheme="minorHAnsi" w:cstheme="minorBid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6FEE58B7"/>
    <w:multiLevelType w:val="hybridMultilevel"/>
    <w:tmpl w:val="931412F8"/>
    <w:lvl w:ilvl="0" w:tplc="3BBE544E">
      <w:start w:val="1"/>
      <w:numFmt w:val="decimal"/>
      <w:lvlText w:val="%1."/>
      <w:lvlJc w:val="left"/>
      <w:pPr>
        <w:ind w:left="2628" w:hanging="360"/>
      </w:pPr>
      <w:rPr>
        <w:rFonts w:eastAsiaTheme="minorHAnsi" w:cstheme="minorBid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77CB78BD"/>
    <w:multiLevelType w:val="hybridMultilevel"/>
    <w:tmpl w:val="2B1C42F4"/>
    <w:lvl w:ilvl="0" w:tplc="98380D72">
      <w:start w:val="2"/>
      <w:numFmt w:val="decimal"/>
      <w:lvlText w:val="%1"/>
      <w:lvlJc w:val="left"/>
      <w:pPr>
        <w:ind w:left="720" w:hanging="360"/>
      </w:pPr>
      <w:rPr>
        <w:rFonts w:asciiTheme="minorHAnsi" w:hAnsiTheme="minorHAnsi" w:cstheme="minorBid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7"/>
  </w:num>
  <w:num w:numId="5">
    <w:abstractNumId w:val="6"/>
  </w:num>
  <w:num w:numId="6">
    <w:abstractNumId w:val="8"/>
  </w:num>
  <w:num w:numId="7">
    <w:abstractNumId w:val="0"/>
  </w:num>
  <w:num w:numId="8">
    <w:abstractNumId w:val="9"/>
  </w:num>
  <w:num w:numId="9">
    <w:abstractNumId w:val="5"/>
  </w:num>
  <w:num w:numId="10">
    <w:abstractNumId w:val="10"/>
  </w:num>
  <w:num w:numId="11">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A2880"/>
    <w:rsid w:val="000065DD"/>
    <w:rsid w:val="0001032B"/>
    <w:rsid w:val="0001107D"/>
    <w:rsid w:val="000113C0"/>
    <w:rsid w:val="00011FC3"/>
    <w:rsid w:val="00013D49"/>
    <w:rsid w:val="0001770E"/>
    <w:rsid w:val="00020961"/>
    <w:rsid w:val="000228E3"/>
    <w:rsid w:val="00026F3F"/>
    <w:rsid w:val="00031160"/>
    <w:rsid w:val="00035FBF"/>
    <w:rsid w:val="00036E79"/>
    <w:rsid w:val="00044E7C"/>
    <w:rsid w:val="00045F07"/>
    <w:rsid w:val="00052BC6"/>
    <w:rsid w:val="00053333"/>
    <w:rsid w:val="00053D9E"/>
    <w:rsid w:val="00056F3B"/>
    <w:rsid w:val="000570D1"/>
    <w:rsid w:val="000661C8"/>
    <w:rsid w:val="00071F5D"/>
    <w:rsid w:val="00074077"/>
    <w:rsid w:val="0007536E"/>
    <w:rsid w:val="00076C40"/>
    <w:rsid w:val="00080895"/>
    <w:rsid w:val="00082D34"/>
    <w:rsid w:val="00085D2D"/>
    <w:rsid w:val="00095251"/>
    <w:rsid w:val="00097A27"/>
    <w:rsid w:val="000A05C6"/>
    <w:rsid w:val="000A20C4"/>
    <w:rsid w:val="000A21AE"/>
    <w:rsid w:val="000A55AA"/>
    <w:rsid w:val="000A66DC"/>
    <w:rsid w:val="000B1310"/>
    <w:rsid w:val="000C45A0"/>
    <w:rsid w:val="000C4A9C"/>
    <w:rsid w:val="000C6BAE"/>
    <w:rsid w:val="000D2E4C"/>
    <w:rsid w:val="000D3256"/>
    <w:rsid w:val="000D7BD0"/>
    <w:rsid w:val="000F1290"/>
    <w:rsid w:val="000F4484"/>
    <w:rsid w:val="000F4F41"/>
    <w:rsid w:val="0010016B"/>
    <w:rsid w:val="00102640"/>
    <w:rsid w:val="001062B8"/>
    <w:rsid w:val="0010649D"/>
    <w:rsid w:val="0010788F"/>
    <w:rsid w:val="0011455D"/>
    <w:rsid w:val="00124DC1"/>
    <w:rsid w:val="0012637F"/>
    <w:rsid w:val="00126B85"/>
    <w:rsid w:val="00132A41"/>
    <w:rsid w:val="001441D4"/>
    <w:rsid w:val="00144777"/>
    <w:rsid w:val="00157CC7"/>
    <w:rsid w:val="001635A8"/>
    <w:rsid w:val="00166F34"/>
    <w:rsid w:val="00167F13"/>
    <w:rsid w:val="001716A8"/>
    <w:rsid w:val="0017378A"/>
    <w:rsid w:val="00175AA7"/>
    <w:rsid w:val="00180169"/>
    <w:rsid w:val="00182441"/>
    <w:rsid w:val="00182F92"/>
    <w:rsid w:val="00187BC4"/>
    <w:rsid w:val="0019116F"/>
    <w:rsid w:val="0019271B"/>
    <w:rsid w:val="0019645C"/>
    <w:rsid w:val="001A6891"/>
    <w:rsid w:val="001B2D41"/>
    <w:rsid w:val="001B32BC"/>
    <w:rsid w:val="001B67DD"/>
    <w:rsid w:val="001D06F5"/>
    <w:rsid w:val="001D0DE2"/>
    <w:rsid w:val="001D212F"/>
    <w:rsid w:val="001D2292"/>
    <w:rsid w:val="001D3D3D"/>
    <w:rsid w:val="001D4914"/>
    <w:rsid w:val="001E1434"/>
    <w:rsid w:val="001E2E9D"/>
    <w:rsid w:val="001E7E5D"/>
    <w:rsid w:val="001F268C"/>
    <w:rsid w:val="001F33AD"/>
    <w:rsid w:val="002037B9"/>
    <w:rsid w:val="0020511C"/>
    <w:rsid w:val="0020548A"/>
    <w:rsid w:val="0020581A"/>
    <w:rsid w:val="00207AC6"/>
    <w:rsid w:val="00213DFA"/>
    <w:rsid w:val="00214026"/>
    <w:rsid w:val="0022080E"/>
    <w:rsid w:val="00223ABA"/>
    <w:rsid w:val="002247D6"/>
    <w:rsid w:val="00226AF2"/>
    <w:rsid w:val="00235E62"/>
    <w:rsid w:val="00240D74"/>
    <w:rsid w:val="00241EF2"/>
    <w:rsid w:val="002447AA"/>
    <w:rsid w:val="0025281F"/>
    <w:rsid w:val="00262318"/>
    <w:rsid w:val="00262375"/>
    <w:rsid w:val="00266BEC"/>
    <w:rsid w:val="00270A08"/>
    <w:rsid w:val="00276645"/>
    <w:rsid w:val="00276C4C"/>
    <w:rsid w:val="00284994"/>
    <w:rsid w:val="0028500E"/>
    <w:rsid w:val="00286AA4"/>
    <w:rsid w:val="0029352E"/>
    <w:rsid w:val="002A01AC"/>
    <w:rsid w:val="002A0ACD"/>
    <w:rsid w:val="002A2F57"/>
    <w:rsid w:val="002B48D4"/>
    <w:rsid w:val="002C06A5"/>
    <w:rsid w:val="002C203E"/>
    <w:rsid w:val="002C253B"/>
    <w:rsid w:val="002C5083"/>
    <w:rsid w:val="002D07BB"/>
    <w:rsid w:val="002D7C8F"/>
    <w:rsid w:val="002E120A"/>
    <w:rsid w:val="002E2940"/>
    <w:rsid w:val="002E4D76"/>
    <w:rsid w:val="002E5263"/>
    <w:rsid w:val="002E5306"/>
    <w:rsid w:val="002E770C"/>
    <w:rsid w:val="002F0892"/>
    <w:rsid w:val="003026E0"/>
    <w:rsid w:val="00302DC9"/>
    <w:rsid w:val="00306742"/>
    <w:rsid w:val="00312902"/>
    <w:rsid w:val="0031378D"/>
    <w:rsid w:val="003175FF"/>
    <w:rsid w:val="00317AA6"/>
    <w:rsid w:val="00325F40"/>
    <w:rsid w:val="00330A0E"/>
    <w:rsid w:val="003316D5"/>
    <w:rsid w:val="003327D2"/>
    <w:rsid w:val="00332BD1"/>
    <w:rsid w:val="00334E4B"/>
    <w:rsid w:val="00344A73"/>
    <w:rsid w:val="0034585D"/>
    <w:rsid w:val="00345A4E"/>
    <w:rsid w:val="003466C0"/>
    <w:rsid w:val="003506B2"/>
    <w:rsid w:val="00352D31"/>
    <w:rsid w:val="0036363B"/>
    <w:rsid w:val="00380326"/>
    <w:rsid w:val="00383992"/>
    <w:rsid w:val="003854FB"/>
    <w:rsid w:val="00390330"/>
    <w:rsid w:val="0039140E"/>
    <w:rsid w:val="003929BD"/>
    <w:rsid w:val="0039387E"/>
    <w:rsid w:val="003A149C"/>
    <w:rsid w:val="003A1841"/>
    <w:rsid w:val="003A207D"/>
    <w:rsid w:val="003B2B5D"/>
    <w:rsid w:val="003B315C"/>
    <w:rsid w:val="003B3EC6"/>
    <w:rsid w:val="003B5C85"/>
    <w:rsid w:val="003C09CC"/>
    <w:rsid w:val="003C27DA"/>
    <w:rsid w:val="003C4153"/>
    <w:rsid w:val="003C60E6"/>
    <w:rsid w:val="003D2920"/>
    <w:rsid w:val="003D361D"/>
    <w:rsid w:val="003D56C4"/>
    <w:rsid w:val="003D5D09"/>
    <w:rsid w:val="003E0378"/>
    <w:rsid w:val="003E7263"/>
    <w:rsid w:val="003E7BC7"/>
    <w:rsid w:val="003E7C29"/>
    <w:rsid w:val="003F24FC"/>
    <w:rsid w:val="003F7860"/>
    <w:rsid w:val="00411393"/>
    <w:rsid w:val="00415ED5"/>
    <w:rsid w:val="00425D6F"/>
    <w:rsid w:val="00434485"/>
    <w:rsid w:val="00440C4F"/>
    <w:rsid w:val="00440FC8"/>
    <w:rsid w:val="00441163"/>
    <w:rsid w:val="004415A6"/>
    <w:rsid w:val="004416A8"/>
    <w:rsid w:val="0044177B"/>
    <w:rsid w:val="00444C82"/>
    <w:rsid w:val="0044578D"/>
    <w:rsid w:val="00445E5A"/>
    <w:rsid w:val="00452293"/>
    <w:rsid w:val="00457489"/>
    <w:rsid w:val="00460B44"/>
    <w:rsid w:val="0046361A"/>
    <w:rsid w:val="00463B3E"/>
    <w:rsid w:val="00463F41"/>
    <w:rsid w:val="00464B85"/>
    <w:rsid w:val="00482CC5"/>
    <w:rsid w:val="004833F8"/>
    <w:rsid w:val="00486118"/>
    <w:rsid w:val="00486501"/>
    <w:rsid w:val="0049344B"/>
    <w:rsid w:val="00496908"/>
    <w:rsid w:val="00496E20"/>
    <w:rsid w:val="004A1FE1"/>
    <w:rsid w:val="004A4F35"/>
    <w:rsid w:val="004A6D3E"/>
    <w:rsid w:val="004A7A8F"/>
    <w:rsid w:val="004B05E3"/>
    <w:rsid w:val="004B0C75"/>
    <w:rsid w:val="004B2500"/>
    <w:rsid w:val="004B41E6"/>
    <w:rsid w:val="004B61AF"/>
    <w:rsid w:val="004C0920"/>
    <w:rsid w:val="004C5083"/>
    <w:rsid w:val="004D51A9"/>
    <w:rsid w:val="004D683A"/>
    <w:rsid w:val="004E2CD5"/>
    <w:rsid w:val="004E7A49"/>
    <w:rsid w:val="004F1DD8"/>
    <w:rsid w:val="004F2256"/>
    <w:rsid w:val="004F7035"/>
    <w:rsid w:val="004F7860"/>
    <w:rsid w:val="00503D92"/>
    <w:rsid w:val="0051516F"/>
    <w:rsid w:val="00524DAC"/>
    <w:rsid w:val="00525199"/>
    <w:rsid w:val="005255A2"/>
    <w:rsid w:val="00525F28"/>
    <w:rsid w:val="00536932"/>
    <w:rsid w:val="0053713B"/>
    <w:rsid w:val="005446B2"/>
    <w:rsid w:val="00552B99"/>
    <w:rsid w:val="0055345F"/>
    <w:rsid w:val="005570BE"/>
    <w:rsid w:val="0056144F"/>
    <w:rsid w:val="00561AAF"/>
    <w:rsid w:val="0056505D"/>
    <w:rsid w:val="00565267"/>
    <w:rsid w:val="00573E2C"/>
    <w:rsid w:val="0057461E"/>
    <w:rsid w:val="00583E5E"/>
    <w:rsid w:val="00585B98"/>
    <w:rsid w:val="00591058"/>
    <w:rsid w:val="00595775"/>
    <w:rsid w:val="005A2F45"/>
    <w:rsid w:val="005B0A66"/>
    <w:rsid w:val="005B60CA"/>
    <w:rsid w:val="005C0297"/>
    <w:rsid w:val="005C54BC"/>
    <w:rsid w:val="005D0351"/>
    <w:rsid w:val="005D0BAB"/>
    <w:rsid w:val="005D5B72"/>
    <w:rsid w:val="005E2783"/>
    <w:rsid w:val="005E724C"/>
    <w:rsid w:val="005F3ABE"/>
    <w:rsid w:val="005F721A"/>
    <w:rsid w:val="00600656"/>
    <w:rsid w:val="00601B14"/>
    <w:rsid w:val="006040B9"/>
    <w:rsid w:val="0060445C"/>
    <w:rsid w:val="00604BAF"/>
    <w:rsid w:val="00611C81"/>
    <w:rsid w:val="00612C5B"/>
    <w:rsid w:val="00614E25"/>
    <w:rsid w:val="00614E6C"/>
    <w:rsid w:val="00620B4E"/>
    <w:rsid w:val="00625D12"/>
    <w:rsid w:val="006313E1"/>
    <w:rsid w:val="006317FF"/>
    <w:rsid w:val="00632A29"/>
    <w:rsid w:val="00637AB7"/>
    <w:rsid w:val="00641121"/>
    <w:rsid w:val="00643E80"/>
    <w:rsid w:val="00651E3F"/>
    <w:rsid w:val="0065601B"/>
    <w:rsid w:val="0067006B"/>
    <w:rsid w:val="006707A9"/>
    <w:rsid w:val="006746F6"/>
    <w:rsid w:val="00674FAB"/>
    <w:rsid w:val="00677115"/>
    <w:rsid w:val="00681AAB"/>
    <w:rsid w:val="006822AF"/>
    <w:rsid w:val="00682B60"/>
    <w:rsid w:val="00684869"/>
    <w:rsid w:val="00685858"/>
    <w:rsid w:val="00686578"/>
    <w:rsid w:val="006876BB"/>
    <w:rsid w:val="006907A8"/>
    <w:rsid w:val="00691EDB"/>
    <w:rsid w:val="00695D89"/>
    <w:rsid w:val="0069793C"/>
    <w:rsid w:val="006A03D4"/>
    <w:rsid w:val="006A0C2A"/>
    <w:rsid w:val="006A16EF"/>
    <w:rsid w:val="006A39A5"/>
    <w:rsid w:val="006A5EDE"/>
    <w:rsid w:val="006B3638"/>
    <w:rsid w:val="006C35D8"/>
    <w:rsid w:val="006C7119"/>
    <w:rsid w:val="006D4290"/>
    <w:rsid w:val="006D50F6"/>
    <w:rsid w:val="006D7AF3"/>
    <w:rsid w:val="006E38D0"/>
    <w:rsid w:val="006E4A52"/>
    <w:rsid w:val="006E6A4A"/>
    <w:rsid w:val="007115AB"/>
    <w:rsid w:val="007124A9"/>
    <w:rsid w:val="0071342B"/>
    <w:rsid w:val="00717C2D"/>
    <w:rsid w:val="0072092D"/>
    <w:rsid w:val="00724947"/>
    <w:rsid w:val="00734AA4"/>
    <w:rsid w:val="00741991"/>
    <w:rsid w:val="007423BE"/>
    <w:rsid w:val="007435FF"/>
    <w:rsid w:val="00743B6B"/>
    <w:rsid w:val="00757810"/>
    <w:rsid w:val="0076289F"/>
    <w:rsid w:val="007700FA"/>
    <w:rsid w:val="00771597"/>
    <w:rsid w:val="00772673"/>
    <w:rsid w:val="007772EF"/>
    <w:rsid w:val="00777AEA"/>
    <w:rsid w:val="007834C8"/>
    <w:rsid w:val="007873CC"/>
    <w:rsid w:val="00791304"/>
    <w:rsid w:val="007922EF"/>
    <w:rsid w:val="00792B68"/>
    <w:rsid w:val="00793BC4"/>
    <w:rsid w:val="007A337E"/>
    <w:rsid w:val="007A38DF"/>
    <w:rsid w:val="007A3B9F"/>
    <w:rsid w:val="007A4D0F"/>
    <w:rsid w:val="007A6967"/>
    <w:rsid w:val="007B0187"/>
    <w:rsid w:val="007B22FD"/>
    <w:rsid w:val="007B38BB"/>
    <w:rsid w:val="007C2E95"/>
    <w:rsid w:val="007C51B5"/>
    <w:rsid w:val="007C59DC"/>
    <w:rsid w:val="007D51B0"/>
    <w:rsid w:val="007E3D53"/>
    <w:rsid w:val="007E61F8"/>
    <w:rsid w:val="007F1535"/>
    <w:rsid w:val="007F1DF0"/>
    <w:rsid w:val="00800E84"/>
    <w:rsid w:val="00802BBF"/>
    <w:rsid w:val="00803166"/>
    <w:rsid w:val="008077CC"/>
    <w:rsid w:val="008146D3"/>
    <w:rsid w:val="008161EF"/>
    <w:rsid w:val="0082485F"/>
    <w:rsid w:val="00825BA0"/>
    <w:rsid w:val="00830094"/>
    <w:rsid w:val="008349EC"/>
    <w:rsid w:val="00837E57"/>
    <w:rsid w:val="008415AF"/>
    <w:rsid w:val="0085062E"/>
    <w:rsid w:val="00850CF8"/>
    <w:rsid w:val="00852E81"/>
    <w:rsid w:val="00854FF4"/>
    <w:rsid w:val="00864495"/>
    <w:rsid w:val="00866276"/>
    <w:rsid w:val="00866F4E"/>
    <w:rsid w:val="0087574D"/>
    <w:rsid w:val="00883D17"/>
    <w:rsid w:val="00884155"/>
    <w:rsid w:val="00884A9A"/>
    <w:rsid w:val="0088697A"/>
    <w:rsid w:val="00886A05"/>
    <w:rsid w:val="0089232F"/>
    <w:rsid w:val="008A0DDC"/>
    <w:rsid w:val="008A2435"/>
    <w:rsid w:val="008A2C9D"/>
    <w:rsid w:val="008A74F5"/>
    <w:rsid w:val="008B3312"/>
    <w:rsid w:val="008B4B0B"/>
    <w:rsid w:val="008B5455"/>
    <w:rsid w:val="008B5B64"/>
    <w:rsid w:val="008C4238"/>
    <w:rsid w:val="008D0186"/>
    <w:rsid w:val="008E0BDF"/>
    <w:rsid w:val="008E4B74"/>
    <w:rsid w:val="008E4C19"/>
    <w:rsid w:val="008E4D75"/>
    <w:rsid w:val="008E7FB7"/>
    <w:rsid w:val="008F0FAD"/>
    <w:rsid w:val="008F1627"/>
    <w:rsid w:val="008F6A3E"/>
    <w:rsid w:val="0090087B"/>
    <w:rsid w:val="009079E3"/>
    <w:rsid w:val="00907D61"/>
    <w:rsid w:val="009100BA"/>
    <w:rsid w:val="009114CD"/>
    <w:rsid w:val="009214FF"/>
    <w:rsid w:val="00922B9F"/>
    <w:rsid w:val="00922DF4"/>
    <w:rsid w:val="009302E9"/>
    <w:rsid w:val="00931BC7"/>
    <w:rsid w:val="009332B5"/>
    <w:rsid w:val="00940479"/>
    <w:rsid w:val="00947B15"/>
    <w:rsid w:val="00950116"/>
    <w:rsid w:val="0095672C"/>
    <w:rsid w:val="009666D0"/>
    <w:rsid w:val="00975FAF"/>
    <w:rsid w:val="00976ECA"/>
    <w:rsid w:val="00980211"/>
    <w:rsid w:val="00985F6E"/>
    <w:rsid w:val="00990282"/>
    <w:rsid w:val="00992985"/>
    <w:rsid w:val="00994513"/>
    <w:rsid w:val="009A1906"/>
    <w:rsid w:val="009A1CF6"/>
    <w:rsid w:val="009A337D"/>
    <w:rsid w:val="009A404B"/>
    <w:rsid w:val="009A4AB6"/>
    <w:rsid w:val="009A4CCA"/>
    <w:rsid w:val="009A7AC0"/>
    <w:rsid w:val="009B00E3"/>
    <w:rsid w:val="009B27E5"/>
    <w:rsid w:val="009B7221"/>
    <w:rsid w:val="009C2E50"/>
    <w:rsid w:val="009D3D9E"/>
    <w:rsid w:val="009D74C4"/>
    <w:rsid w:val="009D7D95"/>
    <w:rsid w:val="009E3975"/>
    <w:rsid w:val="009E4617"/>
    <w:rsid w:val="009E5725"/>
    <w:rsid w:val="009E7E1B"/>
    <w:rsid w:val="009F41F3"/>
    <w:rsid w:val="00A07329"/>
    <w:rsid w:val="00A07F19"/>
    <w:rsid w:val="00A22022"/>
    <w:rsid w:val="00A25866"/>
    <w:rsid w:val="00A261B3"/>
    <w:rsid w:val="00A27E73"/>
    <w:rsid w:val="00A314F2"/>
    <w:rsid w:val="00A36D30"/>
    <w:rsid w:val="00A4173A"/>
    <w:rsid w:val="00A418E1"/>
    <w:rsid w:val="00A41C3B"/>
    <w:rsid w:val="00A46097"/>
    <w:rsid w:val="00A47885"/>
    <w:rsid w:val="00A63304"/>
    <w:rsid w:val="00A65703"/>
    <w:rsid w:val="00A741AB"/>
    <w:rsid w:val="00A75F78"/>
    <w:rsid w:val="00A80F3C"/>
    <w:rsid w:val="00A82A9F"/>
    <w:rsid w:val="00A850E3"/>
    <w:rsid w:val="00A85457"/>
    <w:rsid w:val="00A86581"/>
    <w:rsid w:val="00AA7A36"/>
    <w:rsid w:val="00AB3236"/>
    <w:rsid w:val="00AC05A1"/>
    <w:rsid w:val="00AC3357"/>
    <w:rsid w:val="00AC6C39"/>
    <w:rsid w:val="00AD4A46"/>
    <w:rsid w:val="00AD5867"/>
    <w:rsid w:val="00AE2109"/>
    <w:rsid w:val="00AE65C0"/>
    <w:rsid w:val="00AF0B98"/>
    <w:rsid w:val="00AF1D16"/>
    <w:rsid w:val="00AF2ABF"/>
    <w:rsid w:val="00B05B5B"/>
    <w:rsid w:val="00B14441"/>
    <w:rsid w:val="00B14D00"/>
    <w:rsid w:val="00B1527D"/>
    <w:rsid w:val="00B17730"/>
    <w:rsid w:val="00B227CF"/>
    <w:rsid w:val="00B26627"/>
    <w:rsid w:val="00B272F3"/>
    <w:rsid w:val="00B31C82"/>
    <w:rsid w:val="00B33FD1"/>
    <w:rsid w:val="00B34115"/>
    <w:rsid w:val="00B40D25"/>
    <w:rsid w:val="00B41DC2"/>
    <w:rsid w:val="00B446AA"/>
    <w:rsid w:val="00B508C7"/>
    <w:rsid w:val="00B53FAB"/>
    <w:rsid w:val="00B5555A"/>
    <w:rsid w:val="00B62424"/>
    <w:rsid w:val="00B666D8"/>
    <w:rsid w:val="00B71AE5"/>
    <w:rsid w:val="00B72248"/>
    <w:rsid w:val="00B74AEE"/>
    <w:rsid w:val="00B80DA2"/>
    <w:rsid w:val="00B837D9"/>
    <w:rsid w:val="00B90F65"/>
    <w:rsid w:val="00B91E57"/>
    <w:rsid w:val="00B91E68"/>
    <w:rsid w:val="00B97D0E"/>
    <w:rsid w:val="00BA053C"/>
    <w:rsid w:val="00BA3AB4"/>
    <w:rsid w:val="00BA4648"/>
    <w:rsid w:val="00BA5BC0"/>
    <w:rsid w:val="00BA6EA2"/>
    <w:rsid w:val="00BA7D71"/>
    <w:rsid w:val="00BB0FCA"/>
    <w:rsid w:val="00BB2F7F"/>
    <w:rsid w:val="00BC1FF6"/>
    <w:rsid w:val="00BC6107"/>
    <w:rsid w:val="00BD243A"/>
    <w:rsid w:val="00BE1B63"/>
    <w:rsid w:val="00BE57D0"/>
    <w:rsid w:val="00BF4262"/>
    <w:rsid w:val="00C03D09"/>
    <w:rsid w:val="00C03F55"/>
    <w:rsid w:val="00C051D6"/>
    <w:rsid w:val="00C13933"/>
    <w:rsid w:val="00C16CE6"/>
    <w:rsid w:val="00C22F9F"/>
    <w:rsid w:val="00C238BC"/>
    <w:rsid w:val="00C24E0C"/>
    <w:rsid w:val="00C34BA4"/>
    <w:rsid w:val="00C404B6"/>
    <w:rsid w:val="00C40AF1"/>
    <w:rsid w:val="00C42C88"/>
    <w:rsid w:val="00C44BAC"/>
    <w:rsid w:val="00C54C5C"/>
    <w:rsid w:val="00C64670"/>
    <w:rsid w:val="00C74269"/>
    <w:rsid w:val="00C766D1"/>
    <w:rsid w:val="00C770DE"/>
    <w:rsid w:val="00C90B58"/>
    <w:rsid w:val="00C93C42"/>
    <w:rsid w:val="00C94416"/>
    <w:rsid w:val="00C9579C"/>
    <w:rsid w:val="00C97D8C"/>
    <w:rsid w:val="00CA3CCE"/>
    <w:rsid w:val="00CA57BB"/>
    <w:rsid w:val="00CA6CBD"/>
    <w:rsid w:val="00CA7571"/>
    <w:rsid w:val="00CB0E43"/>
    <w:rsid w:val="00CB1B2E"/>
    <w:rsid w:val="00CB2DFC"/>
    <w:rsid w:val="00CB2FFD"/>
    <w:rsid w:val="00CB4C76"/>
    <w:rsid w:val="00CB64A5"/>
    <w:rsid w:val="00CD22EA"/>
    <w:rsid w:val="00CD23A0"/>
    <w:rsid w:val="00CF19F1"/>
    <w:rsid w:val="00CF5902"/>
    <w:rsid w:val="00D002C4"/>
    <w:rsid w:val="00D037B6"/>
    <w:rsid w:val="00D04822"/>
    <w:rsid w:val="00D05F66"/>
    <w:rsid w:val="00D07DBF"/>
    <w:rsid w:val="00D16095"/>
    <w:rsid w:val="00D16A51"/>
    <w:rsid w:val="00D202B9"/>
    <w:rsid w:val="00D21B2C"/>
    <w:rsid w:val="00D25415"/>
    <w:rsid w:val="00D42064"/>
    <w:rsid w:val="00D42F44"/>
    <w:rsid w:val="00D45508"/>
    <w:rsid w:val="00D52B61"/>
    <w:rsid w:val="00D543CF"/>
    <w:rsid w:val="00D5647A"/>
    <w:rsid w:val="00D574F5"/>
    <w:rsid w:val="00D63D09"/>
    <w:rsid w:val="00D76F83"/>
    <w:rsid w:val="00D80E52"/>
    <w:rsid w:val="00D811EE"/>
    <w:rsid w:val="00D85511"/>
    <w:rsid w:val="00D86918"/>
    <w:rsid w:val="00D93828"/>
    <w:rsid w:val="00D95713"/>
    <w:rsid w:val="00D972F0"/>
    <w:rsid w:val="00DB7C64"/>
    <w:rsid w:val="00DC035A"/>
    <w:rsid w:val="00DC3E15"/>
    <w:rsid w:val="00DC42F1"/>
    <w:rsid w:val="00DC4A4A"/>
    <w:rsid w:val="00DC6B56"/>
    <w:rsid w:val="00DD66F8"/>
    <w:rsid w:val="00DD73BA"/>
    <w:rsid w:val="00DE1920"/>
    <w:rsid w:val="00DE49B9"/>
    <w:rsid w:val="00DF663D"/>
    <w:rsid w:val="00E00A99"/>
    <w:rsid w:val="00E126F8"/>
    <w:rsid w:val="00E17361"/>
    <w:rsid w:val="00E21832"/>
    <w:rsid w:val="00E2229F"/>
    <w:rsid w:val="00E307CD"/>
    <w:rsid w:val="00E358E2"/>
    <w:rsid w:val="00E36D11"/>
    <w:rsid w:val="00E375D3"/>
    <w:rsid w:val="00E5373E"/>
    <w:rsid w:val="00E54DF8"/>
    <w:rsid w:val="00E55D4F"/>
    <w:rsid w:val="00E575F2"/>
    <w:rsid w:val="00E6041B"/>
    <w:rsid w:val="00E608A8"/>
    <w:rsid w:val="00E646B1"/>
    <w:rsid w:val="00E65596"/>
    <w:rsid w:val="00E65DCB"/>
    <w:rsid w:val="00E70031"/>
    <w:rsid w:val="00E7065F"/>
    <w:rsid w:val="00E74D4E"/>
    <w:rsid w:val="00E83AEE"/>
    <w:rsid w:val="00E852D3"/>
    <w:rsid w:val="00E85B23"/>
    <w:rsid w:val="00E91144"/>
    <w:rsid w:val="00E947B4"/>
    <w:rsid w:val="00EA1390"/>
    <w:rsid w:val="00EA3F2D"/>
    <w:rsid w:val="00EA3F32"/>
    <w:rsid w:val="00EA499D"/>
    <w:rsid w:val="00EB043A"/>
    <w:rsid w:val="00EB240E"/>
    <w:rsid w:val="00EB37FF"/>
    <w:rsid w:val="00EC13B4"/>
    <w:rsid w:val="00ED3D91"/>
    <w:rsid w:val="00EE17C3"/>
    <w:rsid w:val="00EE453D"/>
    <w:rsid w:val="00EE5EDC"/>
    <w:rsid w:val="00EE7265"/>
    <w:rsid w:val="00EE7BC6"/>
    <w:rsid w:val="00EF135A"/>
    <w:rsid w:val="00EF2B88"/>
    <w:rsid w:val="00EF3C0A"/>
    <w:rsid w:val="00EF45EA"/>
    <w:rsid w:val="00F03619"/>
    <w:rsid w:val="00F105BE"/>
    <w:rsid w:val="00F13E5D"/>
    <w:rsid w:val="00F15222"/>
    <w:rsid w:val="00F153F2"/>
    <w:rsid w:val="00F170F3"/>
    <w:rsid w:val="00F206A8"/>
    <w:rsid w:val="00F2429D"/>
    <w:rsid w:val="00F25A78"/>
    <w:rsid w:val="00F27197"/>
    <w:rsid w:val="00F33593"/>
    <w:rsid w:val="00F3523E"/>
    <w:rsid w:val="00F37B36"/>
    <w:rsid w:val="00F37D39"/>
    <w:rsid w:val="00F42C0D"/>
    <w:rsid w:val="00F4507F"/>
    <w:rsid w:val="00F45436"/>
    <w:rsid w:val="00F46999"/>
    <w:rsid w:val="00F53CDB"/>
    <w:rsid w:val="00F5429D"/>
    <w:rsid w:val="00F60A50"/>
    <w:rsid w:val="00F60CFD"/>
    <w:rsid w:val="00F635B2"/>
    <w:rsid w:val="00F72364"/>
    <w:rsid w:val="00F820E5"/>
    <w:rsid w:val="00F8243B"/>
    <w:rsid w:val="00F82F5C"/>
    <w:rsid w:val="00F837C3"/>
    <w:rsid w:val="00F85A82"/>
    <w:rsid w:val="00F97A90"/>
    <w:rsid w:val="00FA0938"/>
    <w:rsid w:val="00FA1DA8"/>
    <w:rsid w:val="00FA2880"/>
    <w:rsid w:val="00FA4750"/>
    <w:rsid w:val="00FB3A64"/>
    <w:rsid w:val="00FB3BCA"/>
    <w:rsid w:val="00FB47AF"/>
    <w:rsid w:val="00FB78CE"/>
    <w:rsid w:val="00FD32FA"/>
    <w:rsid w:val="00FE274F"/>
    <w:rsid w:val="00FE6E28"/>
    <w:rsid w:val="00FE79E2"/>
    <w:rsid w:val="00FF0112"/>
    <w:rsid w:val="00FF4B60"/>
    <w:rsid w:val="00FF4F5E"/>
    <w:rsid w:val="00FF64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DA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fr-FR" w:bidi="fr-F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337E"/>
  </w:style>
  <w:style w:type="paragraph" w:styleId="Titre1">
    <w:name w:val="heading 1"/>
    <w:basedOn w:val="Normal"/>
    <w:next w:val="Normal"/>
    <w:link w:val="Titre1Car"/>
    <w:qFormat/>
    <w:rsid w:val="00EE45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Titre1"/>
    <w:next w:val="Normal"/>
    <w:link w:val="Titre2Car"/>
    <w:qFormat/>
    <w:rsid w:val="00EE453D"/>
    <w:pPr>
      <w:keepLines w:val="0"/>
      <w:spacing w:before="360" w:after="120" w:line="240" w:lineRule="auto"/>
      <w:ind w:left="624" w:hanging="624"/>
      <w:outlineLvl w:val="1"/>
    </w:pPr>
    <w:rPr>
      <w:rFonts w:ascii="Arial" w:eastAsia="Times New Roman" w:hAnsi="Arial" w:cs="Times New Roman"/>
      <w:b w:val="0"/>
      <w:bCs w:val="0"/>
      <w:color w:val="auto"/>
      <w:sz w:val="32"/>
      <w:szCs w:val="20"/>
    </w:rPr>
  </w:style>
  <w:style w:type="paragraph" w:styleId="Titre3">
    <w:name w:val="heading 3"/>
    <w:basedOn w:val="Titre2"/>
    <w:next w:val="Normal"/>
    <w:link w:val="Titre3Car"/>
    <w:qFormat/>
    <w:rsid w:val="00EE453D"/>
    <w:pPr>
      <w:ind w:left="680" w:hanging="680"/>
      <w:outlineLvl w:val="2"/>
    </w:pPr>
    <w:rPr>
      <w:b/>
      <w:sz w:val="24"/>
    </w:rPr>
  </w:style>
  <w:style w:type="paragraph" w:styleId="Titre4">
    <w:name w:val="heading 4"/>
    <w:basedOn w:val="Titre3"/>
    <w:next w:val="Normal"/>
    <w:link w:val="Titre4Car"/>
    <w:qFormat/>
    <w:rsid w:val="00EE453D"/>
    <w:pPr>
      <w:spacing w:before="240"/>
      <w:ind w:left="794" w:hanging="794"/>
      <w:outlineLvl w:val="3"/>
    </w:pPr>
    <w:rPr>
      <w:b w:val="0"/>
      <w:sz w:val="22"/>
    </w:rPr>
  </w:style>
  <w:style w:type="paragraph" w:styleId="Titre5">
    <w:name w:val="heading 5"/>
    <w:basedOn w:val="Titre4"/>
    <w:link w:val="Titre5Car"/>
    <w:qFormat/>
    <w:rsid w:val="00EE453D"/>
    <w:pPr>
      <w:ind w:left="0" w:firstLine="0"/>
      <w:outlineLvl w:val="4"/>
    </w:pPr>
    <w:rPr>
      <w:rFonts w:ascii="Times New Roman" w:hAnsi="Times New Roman"/>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5672C"/>
    <w:rPr>
      <w:rFonts w:asciiTheme="majorHAnsi" w:eastAsiaTheme="majorEastAsia" w:hAnsiTheme="majorHAnsi" w:cstheme="majorBidi"/>
      <w:b/>
      <w:bCs/>
      <w:color w:val="365F91" w:themeColor="accent1" w:themeShade="BF"/>
      <w:sz w:val="28"/>
      <w:szCs w:val="28"/>
    </w:rPr>
  </w:style>
  <w:style w:type="table" w:styleId="Grilledutableau">
    <w:name w:val="Table Grid"/>
    <w:basedOn w:val="TableauNormal"/>
    <w:uiPriority w:val="59"/>
    <w:rsid w:val="009567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unhideWhenUsed/>
    <w:rsid w:val="0095672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rsid w:val="0095672C"/>
    <w:rPr>
      <w:rFonts w:ascii="Tahoma" w:hAnsi="Tahoma" w:cs="Tahoma"/>
      <w:sz w:val="16"/>
      <w:szCs w:val="16"/>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sid w:val="0095672C"/>
    <w:rPr>
      <w:sz w:val="20"/>
      <w:szCs w:val="20"/>
    </w:rPr>
  </w:style>
  <w:style w:type="paragraph" w:styleId="Objetducommentaire">
    <w:name w:val="annotation subject"/>
    <w:basedOn w:val="Commentaire"/>
    <w:next w:val="Commentaire"/>
    <w:link w:val="ObjetducommentaireCar"/>
    <w:unhideWhenUsed/>
    <w:rsid w:val="0095672C"/>
    <w:rPr>
      <w:b/>
      <w:bCs/>
    </w:rPr>
  </w:style>
  <w:style w:type="character" w:customStyle="1" w:styleId="ObjetducommentaireCar">
    <w:name w:val="Objet du commentaire Car"/>
    <w:basedOn w:val="CommentaireCar"/>
    <w:link w:val="Objetducommentaire"/>
    <w:uiPriority w:val="99"/>
    <w:rsid w:val="0095672C"/>
    <w:rPr>
      <w:b/>
      <w:bCs/>
      <w:sz w:val="20"/>
      <w:szCs w:val="20"/>
    </w:rPr>
  </w:style>
  <w:style w:type="paragraph" w:styleId="Rvision">
    <w:name w:val="Revision"/>
    <w:hidden/>
    <w:uiPriority w:val="99"/>
    <w:semiHidden/>
    <w:rsid w:val="0095672C"/>
    <w:pPr>
      <w:spacing w:after="0" w:line="240" w:lineRule="auto"/>
    </w:pPr>
  </w:style>
  <w:style w:type="paragraph" w:styleId="Sansinterligne">
    <w:name w:val="No Spacing"/>
    <w:uiPriority w:val="1"/>
    <w:qFormat/>
    <w:rsid w:val="0095672C"/>
    <w:pPr>
      <w:spacing w:after="0" w:line="240" w:lineRule="auto"/>
    </w:pPr>
  </w:style>
  <w:style w:type="character" w:customStyle="1" w:styleId="BalloonTextChar1">
    <w:name w:val="Balloon Text Char1"/>
    <w:basedOn w:val="Policepardfaut"/>
    <w:uiPriority w:val="99"/>
    <w:semiHidden/>
    <w:rsid w:val="0095672C"/>
    <w:rPr>
      <w:rFonts w:ascii="Tahoma" w:hAnsi="Tahoma" w:cs="Tahoma"/>
      <w:sz w:val="16"/>
      <w:szCs w:val="16"/>
    </w:rPr>
  </w:style>
  <w:style w:type="character" w:customStyle="1" w:styleId="CommentTextChar1">
    <w:name w:val="Comment Text Char1"/>
    <w:basedOn w:val="Policepardfaut"/>
    <w:uiPriority w:val="99"/>
    <w:semiHidden/>
    <w:rsid w:val="0095672C"/>
    <w:rPr>
      <w:sz w:val="20"/>
      <w:szCs w:val="20"/>
    </w:rPr>
  </w:style>
  <w:style w:type="character" w:customStyle="1" w:styleId="CommentSubjectChar1">
    <w:name w:val="Comment Subject Char1"/>
    <w:basedOn w:val="CommentaireCar"/>
    <w:uiPriority w:val="99"/>
    <w:semiHidden/>
    <w:rsid w:val="0095672C"/>
    <w:rPr>
      <w:b/>
      <w:bCs/>
      <w:sz w:val="20"/>
      <w:szCs w:val="20"/>
    </w:rPr>
  </w:style>
  <w:style w:type="character" w:customStyle="1" w:styleId="Titre2Car">
    <w:name w:val="Titre 2 Car"/>
    <w:basedOn w:val="Policepardfaut"/>
    <w:link w:val="Titre2"/>
    <w:rsid w:val="0095672C"/>
    <w:rPr>
      <w:rFonts w:ascii="Arial" w:eastAsia="Times New Roman" w:hAnsi="Arial" w:cs="Times New Roman"/>
      <w:sz w:val="32"/>
      <w:szCs w:val="20"/>
      <w:lang w:val="fr-FR" w:eastAsia="fr-FR"/>
    </w:rPr>
  </w:style>
  <w:style w:type="character" w:customStyle="1" w:styleId="Titre3Car">
    <w:name w:val="Titre 3 Car"/>
    <w:basedOn w:val="Policepardfaut"/>
    <w:link w:val="Titre3"/>
    <w:rsid w:val="0095672C"/>
    <w:rPr>
      <w:rFonts w:ascii="Arial" w:eastAsia="Times New Roman" w:hAnsi="Arial" w:cs="Times New Roman"/>
      <w:b/>
      <w:sz w:val="24"/>
      <w:szCs w:val="20"/>
      <w:lang w:val="fr-FR" w:eastAsia="fr-FR"/>
    </w:rPr>
  </w:style>
  <w:style w:type="character" w:customStyle="1" w:styleId="Titre4Car">
    <w:name w:val="Titre 4 Car"/>
    <w:basedOn w:val="Policepardfaut"/>
    <w:link w:val="Titre4"/>
    <w:rsid w:val="0095672C"/>
    <w:rPr>
      <w:rFonts w:ascii="Arial" w:eastAsia="Times New Roman" w:hAnsi="Arial" w:cs="Times New Roman"/>
      <w:szCs w:val="20"/>
      <w:lang w:val="fr-FR" w:eastAsia="fr-FR"/>
    </w:rPr>
  </w:style>
  <w:style w:type="character" w:customStyle="1" w:styleId="Titre5Car">
    <w:name w:val="Titre 5 Car"/>
    <w:basedOn w:val="Policepardfaut"/>
    <w:link w:val="Titre5"/>
    <w:rsid w:val="0095672C"/>
    <w:rPr>
      <w:rFonts w:ascii="Times New Roman" w:eastAsia="Times New Roman" w:hAnsi="Times New Roman" w:cs="Times New Roman"/>
      <w:b/>
      <w:i/>
      <w:szCs w:val="20"/>
      <w:lang w:val="fr-FR" w:eastAsia="fr-FR"/>
    </w:rPr>
  </w:style>
  <w:style w:type="character" w:styleId="Appelnotedebasdep">
    <w:name w:val="footnote reference"/>
    <w:basedOn w:val="Policepardfaut"/>
    <w:semiHidden/>
    <w:rsid w:val="0095672C"/>
    <w:rPr>
      <w:rFonts w:ascii="Times New Roman" w:hAnsi="Times New Roman"/>
      <w:position w:val="6"/>
      <w:sz w:val="12"/>
      <w:bdr w:val="none" w:sz="0" w:space="0" w:color="auto"/>
    </w:rPr>
  </w:style>
  <w:style w:type="paragraph" w:styleId="En-tte">
    <w:name w:val="header"/>
    <w:basedOn w:val="Normal"/>
    <w:link w:val="En-tteCar"/>
    <w:uiPriority w:val="99"/>
    <w:rsid w:val="0095672C"/>
    <w:pPr>
      <w:pBdr>
        <w:bottom w:val="single" w:sz="6" w:space="2" w:color="auto"/>
      </w:pBdr>
      <w:tabs>
        <w:tab w:val="right" w:pos="8222"/>
      </w:tabs>
      <w:spacing w:after="0" w:line="240" w:lineRule="auto"/>
      <w:jc w:val="both"/>
    </w:pPr>
    <w:rPr>
      <w:rFonts w:ascii="Times New Roman" w:eastAsia="Times New Roman" w:hAnsi="Times New Roman" w:cs="Times New Roman"/>
      <w:sz w:val="18"/>
      <w:szCs w:val="20"/>
    </w:rPr>
  </w:style>
  <w:style w:type="character" w:customStyle="1" w:styleId="En-tteCar">
    <w:name w:val="En-tête Car"/>
    <w:basedOn w:val="Policepardfaut"/>
    <w:link w:val="En-tte"/>
    <w:uiPriority w:val="99"/>
    <w:rsid w:val="0095672C"/>
    <w:rPr>
      <w:rFonts w:ascii="Times New Roman" w:eastAsia="Times New Roman" w:hAnsi="Times New Roman" w:cs="Times New Roman"/>
      <w:sz w:val="18"/>
      <w:szCs w:val="20"/>
      <w:lang w:val="fr-FR" w:eastAsia="fr-FR"/>
    </w:rPr>
  </w:style>
  <w:style w:type="paragraph" w:styleId="Notedebasdepage">
    <w:name w:val="footnote text"/>
    <w:basedOn w:val="Normal"/>
    <w:link w:val="NotedebasdepageCar"/>
    <w:semiHidden/>
    <w:rsid w:val="0095672C"/>
    <w:pPr>
      <w:spacing w:before="40" w:after="40" w:line="240" w:lineRule="auto"/>
      <w:ind w:left="170" w:right="851" w:hanging="170"/>
      <w:jc w:val="both"/>
    </w:pPr>
    <w:rPr>
      <w:rFonts w:ascii="Times New Roman" w:eastAsia="Times New Roman" w:hAnsi="Times New Roman" w:cs="Times New Roman"/>
      <w:sz w:val="16"/>
      <w:szCs w:val="20"/>
    </w:rPr>
  </w:style>
  <w:style w:type="character" w:customStyle="1" w:styleId="NotedebasdepageCar">
    <w:name w:val="Note de bas de page Car"/>
    <w:basedOn w:val="Policepardfaut"/>
    <w:link w:val="Notedebasdepage"/>
    <w:semiHidden/>
    <w:rsid w:val="0095672C"/>
    <w:rPr>
      <w:rFonts w:ascii="Times New Roman" w:eastAsia="Times New Roman" w:hAnsi="Times New Roman" w:cs="Times New Roman"/>
      <w:sz w:val="16"/>
      <w:szCs w:val="20"/>
      <w:lang w:val="fr-FR" w:eastAsia="fr-FR"/>
    </w:rPr>
  </w:style>
  <w:style w:type="paragraph" w:styleId="Pieddepage">
    <w:name w:val="footer"/>
    <w:basedOn w:val="Normal"/>
    <w:link w:val="PieddepageCar"/>
    <w:rsid w:val="0095672C"/>
    <w:pPr>
      <w:pBdr>
        <w:top w:val="single" w:sz="6" w:space="2" w:color="auto"/>
      </w:pBdr>
      <w:tabs>
        <w:tab w:val="right" w:pos="8222"/>
      </w:tabs>
      <w:spacing w:after="0" w:line="240" w:lineRule="auto"/>
      <w:jc w:val="both"/>
    </w:pPr>
    <w:rPr>
      <w:rFonts w:ascii="Arial" w:eastAsia="Times New Roman" w:hAnsi="Arial" w:cs="Times New Roman"/>
      <w:sz w:val="18"/>
      <w:szCs w:val="20"/>
    </w:rPr>
  </w:style>
  <w:style w:type="character" w:customStyle="1" w:styleId="PieddepageCar">
    <w:name w:val="Pied de page Car"/>
    <w:basedOn w:val="Policepardfaut"/>
    <w:link w:val="Pieddepage"/>
    <w:uiPriority w:val="99"/>
    <w:rsid w:val="0095672C"/>
    <w:rPr>
      <w:rFonts w:ascii="Arial" w:eastAsia="Times New Roman" w:hAnsi="Arial" w:cs="Times New Roman"/>
      <w:sz w:val="18"/>
      <w:szCs w:val="20"/>
      <w:lang w:val="fr-FR" w:eastAsia="fr-FR"/>
    </w:rPr>
  </w:style>
  <w:style w:type="paragraph" w:styleId="TM1">
    <w:name w:val="toc 1"/>
    <w:basedOn w:val="Normal"/>
    <w:next w:val="Normal"/>
    <w:autoRedefine/>
    <w:semiHidden/>
    <w:rsid w:val="0095672C"/>
    <w:pPr>
      <w:tabs>
        <w:tab w:val="right" w:leader="dot" w:pos="8222"/>
      </w:tabs>
      <w:spacing w:before="240" w:after="60" w:line="240" w:lineRule="auto"/>
      <w:ind w:left="680" w:right="851" w:hanging="340"/>
      <w:jc w:val="both"/>
    </w:pPr>
    <w:rPr>
      <w:rFonts w:ascii="Arial" w:eastAsia="Times New Roman" w:hAnsi="Arial" w:cs="Times New Roman"/>
      <w:b/>
      <w:caps/>
      <w:sz w:val="24"/>
      <w:szCs w:val="20"/>
    </w:rPr>
  </w:style>
  <w:style w:type="paragraph" w:styleId="TM2">
    <w:name w:val="toc 2"/>
    <w:basedOn w:val="Normal"/>
    <w:next w:val="Normal"/>
    <w:autoRedefine/>
    <w:semiHidden/>
    <w:rsid w:val="0095672C"/>
    <w:pPr>
      <w:tabs>
        <w:tab w:val="right" w:leader="dot" w:pos="8222"/>
      </w:tabs>
      <w:spacing w:after="60" w:line="240" w:lineRule="auto"/>
      <w:ind w:left="1134" w:right="851" w:hanging="397"/>
    </w:pPr>
    <w:rPr>
      <w:rFonts w:ascii="Arial" w:eastAsia="Times New Roman" w:hAnsi="Arial" w:cs="Times New Roman"/>
      <w:caps/>
      <w:sz w:val="20"/>
      <w:szCs w:val="20"/>
    </w:rPr>
  </w:style>
  <w:style w:type="paragraph" w:styleId="TM3">
    <w:name w:val="toc 3"/>
    <w:basedOn w:val="Normal"/>
    <w:next w:val="Normal"/>
    <w:autoRedefine/>
    <w:semiHidden/>
    <w:rsid w:val="0095672C"/>
    <w:pPr>
      <w:tabs>
        <w:tab w:val="right" w:leader="dot" w:pos="8222"/>
      </w:tabs>
      <w:spacing w:after="60" w:line="240" w:lineRule="auto"/>
      <w:ind w:left="1871" w:right="851" w:hanging="567"/>
    </w:pPr>
    <w:rPr>
      <w:rFonts w:ascii="Arial" w:eastAsia="Times New Roman" w:hAnsi="Arial" w:cs="Times New Roman"/>
      <w:b/>
      <w:sz w:val="20"/>
      <w:szCs w:val="20"/>
    </w:rPr>
  </w:style>
  <w:style w:type="paragraph" w:styleId="TM4">
    <w:name w:val="toc 4"/>
    <w:basedOn w:val="Normal"/>
    <w:next w:val="Normal"/>
    <w:autoRedefine/>
    <w:semiHidden/>
    <w:rsid w:val="0095672C"/>
    <w:pPr>
      <w:tabs>
        <w:tab w:val="right" w:leader="dot" w:pos="8222"/>
      </w:tabs>
      <w:spacing w:after="60" w:line="240" w:lineRule="auto"/>
      <w:ind w:left="2552" w:right="851" w:hanging="624"/>
    </w:pPr>
    <w:rPr>
      <w:rFonts w:ascii="Times New Roman" w:eastAsia="Times New Roman" w:hAnsi="Times New Roman" w:cs="Times New Roman"/>
      <w:sz w:val="20"/>
      <w:szCs w:val="20"/>
    </w:rPr>
  </w:style>
  <w:style w:type="paragraph" w:styleId="TM5">
    <w:name w:val="toc 5"/>
    <w:basedOn w:val="Normal"/>
    <w:next w:val="Normal"/>
    <w:autoRedefine/>
    <w:semiHidden/>
    <w:rsid w:val="0095672C"/>
    <w:pPr>
      <w:tabs>
        <w:tab w:val="right" w:leader="dot" w:pos="8222"/>
      </w:tabs>
      <w:spacing w:after="0" w:line="240" w:lineRule="auto"/>
      <w:ind w:left="2381" w:right="851" w:hanging="113"/>
    </w:pPr>
    <w:rPr>
      <w:rFonts w:ascii="Times New Roman" w:eastAsia="Times New Roman" w:hAnsi="Times New Roman" w:cs="Times New Roman"/>
      <w:sz w:val="20"/>
      <w:szCs w:val="20"/>
    </w:rPr>
  </w:style>
  <w:style w:type="paragraph" w:styleId="Lgende">
    <w:name w:val="caption"/>
    <w:basedOn w:val="Normal"/>
    <w:next w:val="Normal"/>
    <w:qFormat/>
    <w:rsid w:val="0095672C"/>
    <w:pPr>
      <w:spacing w:after="0" w:line="240" w:lineRule="auto"/>
      <w:jc w:val="both"/>
    </w:pPr>
    <w:rPr>
      <w:rFonts w:ascii="Arial" w:eastAsia="Times New Roman" w:hAnsi="Arial" w:cs="Times New Roman"/>
      <w:b/>
      <w:sz w:val="20"/>
      <w:szCs w:val="20"/>
    </w:rPr>
  </w:style>
  <w:style w:type="paragraph" w:styleId="Titre">
    <w:name w:val="Title"/>
    <w:basedOn w:val="Normal"/>
    <w:next w:val="Normal"/>
    <w:link w:val="TitreCar"/>
    <w:autoRedefine/>
    <w:qFormat/>
    <w:rsid w:val="0095672C"/>
    <w:pPr>
      <w:pBdr>
        <w:bottom w:val="single" w:sz="8" w:space="4" w:color="4F81BD" w:themeColor="accent1"/>
      </w:pBdr>
      <w:spacing w:after="300" w:line="240" w:lineRule="auto"/>
      <w:contextualSpacing/>
      <w:jc w:val="both"/>
    </w:pPr>
    <w:rPr>
      <w:rFonts w:ascii="Arial" w:eastAsiaTheme="majorEastAsia" w:hAnsi="Arial" w:cstheme="majorBidi"/>
      <w:color w:val="17365D" w:themeColor="text2" w:themeShade="BF"/>
      <w:spacing w:val="5"/>
      <w:kern w:val="28"/>
      <w:sz w:val="52"/>
      <w:szCs w:val="52"/>
    </w:rPr>
  </w:style>
  <w:style w:type="character" w:customStyle="1" w:styleId="TitreCar">
    <w:name w:val="Titre Car"/>
    <w:basedOn w:val="Policepardfaut"/>
    <w:link w:val="Titre"/>
    <w:rsid w:val="0095672C"/>
    <w:rPr>
      <w:rFonts w:ascii="Arial" w:eastAsiaTheme="majorEastAsia" w:hAnsi="Arial" w:cstheme="majorBidi"/>
      <w:color w:val="17365D" w:themeColor="text2" w:themeShade="BF"/>
      <w:spacing w:val="5"/>
      <w:kern w:val="28"/>
      <w:sz w:val="52"/>
      <w:szCs w:val="52"/>
      <w:lang w:val="fr-FR" w:eastAsia="fr-FR"/>
    </w:rPr>
  </w:style>
  <w:style w:type="paragraph" w:customStyle="1" w:styleId="Default">
    <w:name w:val="Default"/>
    <w:rsid w:val="0095672C"/>
    <w:pPr>
      <w:autoSpaceDE w:val="0"/>
      <w:autoSpaceDN w:val="0"/>
      <w:adjustRightInd w:val="0"/>
      <w:spacing w:after="0" w:line="240" w:lineRule="auto"/>
    </w:pPr>
    <w:rPr>
      <w:rFonts w:ascii="Arial" w:eastAsia="Times New Roman" w:hAnsi="Arial" w:cs="Arial"/>
      <w:color w:val="000000"/>
      <w:sz w:val="24"/>
      <w:szCs w:val="24"/>
    </w:rPr>
  </w:style>
  <w:style w:type="paragraph" w:styleId="Paragraphedeliste">
    <w:name w:val="List Paragraph"/>
    <w:basedOn w:val="Normal"/>
    <w:uiPriority w:val="34"/>
    <w:qFormat/>
    <w:rsid w:val="0095672C"/>
    <w:pPr>
      <w:spacing w:after="0" w:line="240" w:lineRule="auto"/>
      <w:ind w:left="720"/>
      <w:contextualSpacing/>
      <w:jc w:val="both"/>
    </w:pPr>
    <w:rPr>
      <w:rFonts w:ascii="Times New Roman" w:eastAsia="Times New Roman" w:hAnsi="Times New Roman" w:cs="Times New Roman"/>
      <w:szCs w:val="20"/>
    </w:rPr>
  </w:style>
  <w:style w:type="paragraph" w:styleId="Textebrut">
    <w:name w:val="Plain Text"/>
    <w:basedOn w:val="Normal"/>
    <w:link w:val="TextebrutCar"/>
    <w:uiPriority w:val="99"/>
    <w:unhideWhenUsed/>
    <w:rsid w:val="0095672C"/>
    <w:pPr>
      <w:spacing w:after="0" w:line="240" w:lineRule="auto"/>
    </w:pPr>
    <w:rPr>
      <w:rFonts w:ascii="Calibri" w:eastAsia="Times New Roman" w:hAnsi="Calibri" w:cs="Times New Roman"/>
      <w:szCs w:val="21"/>
    </w:rPr>
  </w:style>
  <w:style w:type="character" w:customStyle="1" w:styleId="TextebrutCar">
    <w:name w:val="Texte brut Car"/>
    <w:basedOn w:val="Policepardfaut"/>
    <w:link w:val="Textebrut"/>
    <w:uiPriority w:val="99"/>
    <w:rsid w:val="0095672C"/>
    <w:rPr>
      <w:rFonts w:ascii="Calibri" w:eastAsia="Times New Roman" w:hAnsi="Calibri" w:cs="Times New Roman"/>
      <w:szCs w:val="21"/>
      <w:lang w:eastAsia="fr-FR"/>
    </w:rPr>
  </w:style>
  <w:style w:type="character" w:styleId="Lienhypertexte">
    <w:name w:val="Hyperlink"/>
    <w:basedOn w:val="Policepardfaut"/>
    <w:uiPriority w:val="99"/>
    <w:unhideWhenUsed/>
    <w:rsid w:val="0095672C"/>
    <w:rPr>
      <w:color w:val="0000FF"/>
      <w:u w:val="single"/>
    </w:rPr>
  </w:style>
  <w:style w:type="character" w:styleId="Lienhypertextesuivivisit">
    <w:name w:val="FollowedHyperlink"/>
    <w:basedOn w:val="Policepardfaut"/>
    <w:uiPriority w:val="99"/>
    <w:semiHidden/>
    <w:unhideWhenUsed/>
    <w:rsid w:val="0095672C"/>
    <w:rPr>
      <w:color w:val="800080"/>
      <w:u w:val="single"/>
    </w:rPr>
  </w:style>
  <w:style w:type="paragraph" w:customStyle="1" w:styleId="xl16814">
    <w:name w:val="xl16814"/>
    <w:basedOn w:val="Normal"/>
    <w:rsid w:val="0095672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15">
    <w:name w:val="xl16815"/>
    <w:basedOn w:val="Normal"/>
    <w:rsid w:val="0095672C"/>
    <w:pPr>
      <w:shd w:val="clear" w:color="000000" w:fill="FFFFFF"/>
      <w:spacing w:before="100" w:beforeAutospacing="1" w:after="100" w:afterAutospacing="1" w:line="240" w:lineRule="auto"/>
      <w:jc w:val="center"/>
      <w:textAlignment w:val="center"/>
    </w:pPr>
    <w:rPr>
      <w:rFonts w:ascii="Verdana" w:eastAsia="Times New Roman" w:hAnsi="Verdana" w:cs="Times New Roman"/>
      <w:b/>
      <w:bCs/>
      <w:sz w:val="24"/>
      <w:szCs w:val="24"/>
    </w:rPr>
  </w:style>
  <w:style w:type="paragraph" w:customStyle="1" w:styleId="xl16816">
    <w:name w:val="xl16816"/>
    <w:basedOn w:val="Normal"/>
    <w:rsid w:val="0095672C"/>
    <w:pP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17">
    <w:name w:val="xl16817"/>
    <w:basedOn w:val="Normal"/>
    <w:rsid w:val="009567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18">
    <w:name w:val="xl16818"/>
    <w:basedOn w:val="Normal"/>
    <w:rsid w:val="0095672C"/>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19">
    <w:name w:val="xl16819"/>
    <w:basedOn w:val="Normal"/>
    <w:rsid w:val="0095672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0">
    <w:name w:val="xl16820"/>
    <w:basedOn w:val="Normal"/>
    <w:rsid w:val="009567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1">
    <w:name w:val="xl16821"/>
    <w:basedOn w:val="Normal"/>
    <w:rsid w:val="0095672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2">
    <w:name w:val="xl16822"/>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rPr>
  </w:style>
  <w:style w:type="paragraph" w:customStyle="1" w:styleId="xl16823">
    <w:name w:val="xl16823"/>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sz w:val="24"/>
      <w:szCs w:val="24"/>
    </w:rPr>
  </w:style>
  <w:style w:type="paragraph" w:customStyle="1" w:styleId="xl16824">
    <w:name w:val="xl16824"/>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rPr>
  </w:style>
  <w:style w:type="paragraph" w:customStyle="1" w:styleId="xl16825">
    <w:name w:val="xl16825"/>
    <w:basedOn w:val="Normal"/>
    <w:rsid w:val="0095672C"/>
    <w:pPr>
      <w:shd w:val="clear" w:color="000000" w:fill="FFFFFF"/>
      <w:spacing w:before="100" w:beforeAutospacing="1" w:after="100" w:afterAutospacing="1" w:line="240" w:lineRule="auto"/>
      <w:jc w:val="center"/>
    </w:pPr>
    <w:rPr>
      <w:rFonts w:ascii="Verdana" w:eastAsia="Times New Roman" w:hAnsi="Verdana" w:cs="Times New Roman"/>
      <w:b/>
      <w:bCs/>
      <w:sz w:val="24"/>
      <w:szCs w:val="24"/>
    </w:rPr>
  </w:style>
  <w:style w:type="paragraph" w:customStyle="1" w:styleId="xl16826">
    <w:name w:val="xl16826"/>
    <w:basedOn w:val="Normal"/>
    <w:rsid w:val="0095672C"/>
    <w:pPr>
      <w:shd w:val="clear" w:color="000000" w:fill="FFFFFF"/>
      <w:spacing w:before="100" w:beforeAutospacing="1" w:after="100" w:afterAutospacing="1" w:line="240" w:lineRule="auto"/>
      <w:jc w:val="center"/>
      <w:textAlignment w:val="center"/>
    </w:pPr>
    <w:rPr>
      <w:rFonts w:ascii="Verdana" w:eastAsia="Times New Roman" w:hAnsi="Verdana" w:cs="Times New Roman"/>
      <w:b/>
      <w:bCs/>
      <w:sz w:val="24"/>
      <w:szCs w:val="24"/>
    </w:rPr>
  </w:style>
  <w:style w:type="paragraph" w:customStyle="1" w:styleId="xl16827">
    <w:name w:val="xl16827"/>
    <w:basedOn w:val="Normal"/>
    <w:rsid w:val="0095672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8">
    <w:name w:val="xl16828"/>
    <w:basedOn w:val="Normal"/>
    <w:rsid w:val="0095672C"/>
    <w:pPr>
      <w:pBdr>
        <w:left w:val="single" w:sz="4" w:space="7" w:color="auto"/>
        <w:right w:val="single" w:sz="4" w:space="0" w:color="auto"/>
      </w:pBdr>
      <w:shd w:val="clear" w:color="000000" w:fill="FFFFFF"/>
      <w:spacing w:before="100" w:beforeAutospacing="1" w:after="100" w:afterAutospacing="1" w:line="240" w:lineRule="auto"/>
      <w:ind w:firstLineChars="100" w:firstLine="100"/>
      <w:textAlignment w:val="top"/>
    </w:pPr>
    <w:rPr>
      <w:rFonts w:ascii="Verdana" w:eastAsia="Times New Roman" w:hAnsi="Verdana" w:cs="Times New Roman"/>
      <w:sz w:val="24"/>
      <w:szCs w:val="24"/>
    </w:rPr>
  </w:style>
  <w:style w:type="paragraph" w:customStyle="1" w:styleId="xl16829">
    <w:name w:val="xl16829"/>
    <w:basedOn w:val="Normal"/>
    <w:rsid w:val="0095672C"/>
    <w:pPr>
      <w:pBdr>
        <w:left w:val="single" w:sz="4" w:space="7" w:color="auto"/>
        <w:bottom w:val="single" w:sz="4" w:space="0" w:color="auto"/>
        <w:right w:val="single" w:sz="4" w:space="0" w:color="auto"/>
      </w:pBdr>
      <w:shd w:val="clear" w:color="000000" w:fill="FFFFFF"/>
      <w:spacing w:before="100" w:beforeAutospacing="1" w:after="100" w:afterAutospacing="1" w:line="240" w:lineRule="auto"/>
      <w:ind w:firstLineChars="100" w:firstLine="100"/>
      <w:textAlignment w:val="top"/>
    </w:pPr>
    <w:rPr>
      <w:rFonts w:ascii="Verdana" w:eastAsia="Times New Roman" w:hAnsi="Verdana" w:cs="Times New Roman"/>
      <w:sz w:val="24"/>
      <w:szCs w:val="24"/>
    </w:rPr>
  </w:style>
  <w:style w:type="paragraph" w:customStyle="1" w:styleId="xl16830">
    <w:name w:val="xl16830"/>
    <w:basedOn w:val="Normal"/>
    <w:rsid w:val="0095672C"/>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31">
    <w:name w:val="xl16831"/>
    <w:basedOn w:val="Normal"/>
    <w:rsid w:val="0095672C"/>
    <w:pP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rPr>
  </w:style>
  <w:style w:type="paragraph" w:customStyle="1" w:styleId="xl16832">
    <w:name w:val="xl16832"/>
    <w:basedOn w:val="Normal"/>
    <w:rsid w:val="0095672C"/>
    <w:pPr>
      <w:pBdr>
        <w:left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33">
    <w:name w:val="xl16833"/>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rPr>
  </w:style>
  <w:style w:type="paragraph" w:customStyle="1" w:styleId="xl16834">
    <w:name w:val="xl16834"/>
    <w:basedOn w:val="Normal"/>
    <w:rsid w:val="0095672C"/>
    <w:pP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rPr>
  </w:style>
  <w:style w:type="paragraph" w:customStyle="1" w:styleId="xl16835">
    <w:name w:val="xl16835"/>
    <w:basedOn w:val="Normal"/>
    <w:rsid w:val="0095672C"/>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36">
    <w:name w:val="xl16836"/>
    <w:basedOn w:val="Normal"/>
    <w:rsid w:val="0095672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37">
    <w:name w:val="xl16837"/>
    <w:basedOn w:val="Normal"/>
    <w:rsid w:val="0095672C"/>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38">
    <w:name w:val="xl16838"/>
    <w:basedOn w:val="Normal"/>
    <w:rsid w:val="009567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39">
    <w:name w:val="xl16839"/>
    <w:basedOn w:val="Normal"/>
    <w:rsid w:val="0095672C"/>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Verdana" w:eastAsia="Times New Roman" w:hAnsi="Verdana" w:cs="Times New Roman"/>
      <w:b/>
      <w:bCs/>
      <w:i/>
      <w:iCs/>
      <w:sz w:val="24"/>
      <w:szCs w:val="24"/>
    </w:rPr>
  </w:style>
  <w:style w:type="paragraph" w:customStyle="1" w:styleId="xl16840">
    <w:name w:val="xl16840"/>
    <w:basedOn w:val="Normal"/>
    <w:rsid w:val="0095672C"/>
    <w:pPr>
      <w:pBdr>
        <w:bottom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rPr>
  </w:style>
  <w:style w:type="paragraph" w:customStyle="1" w:styleId="Rvision1">
    <w:name w:val="Révision1"/>
    <w:hidden/>
    <w:uiPriority w:val="99"/>
    <w:semiHidden/>
    <w:rsid w:val="000A55AA"/>
    <w:pPr>
      <w:spacing w:after="0" w:line="240" w:lineRule="auto"/>
    </w:pPr>
    <w:rPr>
      <w:rFonts w:ascii="Calibri" w:eastAsia="Calibri" w:hAnsi="Calibri" w:cs="Times New Roman"/>
    </w:rPr>
  </w:style>
  <w:style w:type="character" w:styleId="Numrodepage">
    <w:name w:val="page number"/>
    <w:basedOn w:val="Policepardfaut"/>
    <w:rsid w:val="000A55AA"/>
  </w:style>
  <w:style w:type="paragraph" w:styleId="NormalWeb">
    <w:name w:val="Normal (Web)"/>
    <w:basedOn w:val="Normal"/>
    <w:uiPriority w:val="99"/>
    <w:semiHidden/>
    <w:unhideWhenUsed/>
    <w:rsid w:val="00496908"/>
    <w:pPr>
      <w:spacing w:before="100" w:beforeAutospacing="1" w:after="100" w:afterAutospacing="1" w:line="240" w:lineRule="auto"/>
    </w:pPr>
    <w:rPr>
      <w:rFonts w:ascii="Times New Roman" w:eastAsia="Times New Roman" w:hAnsi="Times New Roman" w:cs="Times New Roman"/>
      <w:sz w:val="24"/>
      <w:szCs w:val="24"/>
      <w:lang w:bidi="ar-SA"/>
    </w:rPr>
  </w:style>
  <w:style w:type="paragraph" w:customStyle="1" w:styleId="Paragraphedeliste1">
    <w:name w:val="Paragraphe de liste1"/>
    <w:basedOn w:val="Normal"/>
    <w:rsid w:val="00B33FD1"/>
    <w:pPr>
      <w:spacing w:after="0" w:line="240" w:lineRule="auto"/>
      <w:ind w:left="720"/>
      <w:contextualSpacing/>
      <w:jc w:val="both"/>
    </w:pPr>
    <w:rPr>
      <w:rFonts w:ascii="Times New Roman" w:hAnsi="Times New Roman" w:cs="Times New Roman"/>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244763">
      <w:bodyDiv w:val="1"/>
      <w:marLeft w:val="0"/>
      <w:marRight w:val="0"/>
      <w:marTop w:val="0"/>
      <w:marBottom w:val="0"/>
      <w:divBdr>
        <w:top w:val="none" w:sz="0" w:space="0" w:color="auto"/>
        <w:left w:val="none" w:sz="0" w:space="0" w:color="auto"/>
        <w:bottom w:val="none" w:sz="0" w:space="0" w:color="auto"/>
        <w:right w:val="none" w:sz="0" w:space="0" w:color="auto"/>
      </w:divBdr>
    </w:div>
    <w:div w:id="240918785">
      <w:bodyDiv w:val="1"/>
      <w:marLeft w:val="0"/>
      <w:marRight w:val="0"/>
      <w:marTop w:val="0"/>
      <w:marBottom w:val="0"/>
      <w:divBdr>
        <w:top w:val="none" w:sz="0" w:space="0" w:color="auto"/>
        <w:left w:val="none" w:sz="0" w:space="0" w:color="auto"/>
        <w:bottom w:val="none" w:sz="0" w:space="0" w:color="auto"/>
        <w:right w:val="none" w:sz="0" w:space="0" w:color="auto"/>
      </w:divBdr>
    </w:div>
    <w:div w:id="333842039">
      <w:bodyDiv w:val="1"/>
      <w:marLeft w:val="0"/>
      <w:marRight w:val="0"/>
      <w:marTop w:val="0"/>
      <w:marBottom w:val="0"/>
      <w:divBdr>
        <w:top w:val="none" w:sz="0" w:space="0" w:color="auto"/>
        <w:left w:val="none" w:sz="0" w:space="0" w:color="auto"/>
        <w:bottom w:val="none" w:sz="0" w:space="0" w:color="auto"/>
        <w:right w:val="none" w:sz="0" w:space="0" w:color="auto"/>
      </w:divBdr>
    </w:div>
    <w:div w:id="430980044">
      <w:bodyDiv w:val="1"/>
      <w:marLeft w:val="0"/>
      <w:marRight w:val="0"/>
      <w:marTop w:val="0"/>
      <w:marBottom w:val="0"/>
      <w:divBdr>
        <w:top w:val="none" w:sz="0" w:space="0" w:color="auto"/>
        <w:left w:val="none" w:sz="0" w:space="0" w:color="auto"/>
        <w:bottom w:val="none" w:sz="0" w:space="0" w:color="auto"/>
        <w:right w:val="none" w:sz="0" w:space="0" w:color="auto"/>
      </w:divBdr>
    </w:div>
    <w:div w:id="770205181">
      <w:bodyDiv w:val="1"/>
      <w:marLeft w:val="0"/>
      <w:marRight w:val="0"/>
      <w:marTop w:val="0"/>
      <w:marBottom w:val="0"/>
      <w:divBdr>
        <w:top w:val="none" w:sz="0" w:space="0" w:color="auto"/>
        <w:left w:val="none" w:sz="0" w:space="0" w:color="auto"/>
        <w:bottom w:val="none" w:sz="0" w:space="0" w:color="auto"/>
        <w:right w:val="none" w:sz="0" w:space="0" w:color="auto"/>
      </w:divBdr>
    </w:div>
    <w:div w:id="1085304842">
      <w:bodyDiv w:val="1"/>
      <w:marLeft w:val="0"/>
      <w:marRight w:val="0"/>
      <w:marTop w:val="0"/>
      <w:marBottom w:val="0"/>
      <w:divBdr>
        <w:top w:val="none" w:sz="0" w:space="0" w:color="auto"/>
        <w:left w:val="none" w:sz="0" w:space="0" w:color="auto"/>
        <w:bottom w:val="none" w:sz="0" w:space="0" w:color="auto"/>
        <w:right w:val="none" w:sz="0" w:space="0" w:color="auto"/>
      </w:divBdr>
    </w:div>
    <w:div w:id="1170097678">
      <w:bodyDiv w:val="1"/>
      <w:marLeft w:val="0"/>
      <w:marRight w:val="0"/>
      <w:marTop w:val="0"/>
      <w:marBottom w:val="0"/>
      <w:divBdr>
        <w:top w:val="none" w:sz="0" w:space="0" w:color="auto"/>
        <w:left w:val="none" w:sz="0" w:space="0" w:color="auto"/>
        <w:bottom w:val="none" w:sz="0" w:space="0" w:color="auto"/>
        <w:right w:val="none" w:sz="0" w:space="0" w:color="auto"/>
      </w:divBdr>
    </w:div>
    <w:div w:id="1215311206">
      <w:bodyDiv w:val="1"/>
      <w:marLeft w:val="0"/>
      <w:marRight w:val="0"/>
      <w:marTop w:val="0"/>
      <w:marBottom w:val="0"/>
      <w:divBdr>
        <w:top w:val="none" w:sz="0" w:space="0" w:color="auto"/>
        <w:left w:val="none" w:sz="0" w:space="0" w:color="auto"/>
        <w:bottom w:val="none" w:sz="0" w:space="0" w:color="auto"/>
        <w:right w:val="none" w:sz="0" w:space="0" w:color="auto"/>
      </w:divBdr>
    </w:div>
    <w:div w:id="1254506931">
      <w:bodyDiv w:val="1"/>
      <w:marLeft w:val="0"/>
      <w:marRight w:val="0"/>
      <w:marTop w:val="0"/>
      <w:marBottom w:val="0"/>
      <w:divBdr>
        <w:top w:val="none" w:sz="0" w:space="0" w:color="auto"/>
        <w:left w:val="none" w:sz="0" w:space="0" w:color="auto"/>
        <w:bottom w:val="none" w:sz="0" w:space="0" w:color="auto"/>
        <w:right w:val="none" w:sz="0" w:space="0" w:color="auto"/>
      </w:divBdr>
    </w:div>
    <w:div w:id="1278291708">
      <w:bodyDiv w:val="1"/>
      <w:marLeft w:val="0"/>
      <w:marRight w:val="0"/>
      <w:marTop w:val="0"/>
      <w:marBottom w:val="0"/>
      <w:divBdr>
        <w:top w:val="none" w:sz="0" w:space="0" w:color="auto"/>
        <w:left w:val="none" w:sz="0" w:space="0" w:color="auto"/>
        <w:bottom w:val="none" w:sz="0" w:space="0" w:color="auto"/>
        <w:right w:val="none" w:sz="0" w:space="0" w:color="auto"/>
      </w:divBdr>
    </w:div>
    <w:div w:id="1390766289">
      <w:bodyDiv w:val="1"/>
      <w:marLeft w:val="0"/>
      <w:marRight w:val="0"/>
      <w:marTop w:val="0"/>
      <w:marBottom w:val="0"/>
      <w:divBdr>
        <w:top w:val="none" w:sz="0" w:space="0" w:color="auto"/>
        <w:left w:val="none" w:sz="0" w:space="0" w:color="auto"/>
        <w:bottom w:val="none" w:sz="0" w:space="0" w:color="auto"/>
        <w:right w:val="none" w:sz="0" w:space="0" w:color="auto"/>
      </w:divBdr>
    </w:div>
    <w:div w:id="1532918217">
      <w:bodyDiv w:val="1"/>
      <w:marLeft w:val="0"/>
      <w:marRight w:val="0"/>
      <w:marTop w:val="0"/>
      <w:marBottom w:val="0"/>
      <w:divBdr>
        <w:top w:val="none" w:sz="0" w:space="0" w:color="auto"/>
        <w:left w:val="none" w:sz="0" w:space="0" w:color="auto"/>
        <w:bottom w:val="none" w:sz="0" w:space="0" w:color="auto"/>
        <w:right w:val="none" w:sz="0" w:space="0" w:color="auto"/>
      </w:divBdr>
    </w:div>
    <w:div w:id="1789660798">
      <w:bodyDiv w:val="1"/>
      <w:marLeft w:val="0"/>
      <w:marRight w:val="0"/>
      <w:marTop w:val="0"/>
      <w:marBottom w:val="0"/>
      <w:divBdr>
        <w:top w:val="none" w:sz="0" w:space="0" w:color="auto"/>
        <w:left w:val="none" w:sz="0" w:space="0" w:color="auto"/>
        <w:bottom w:val="none" w:sz="0" w:space="0" w:color="auto"/>
        <w:right w:val="none" w:sz="0" w:space="0" w:color="auto"/>
      </w:divBdr>
    </w:div>
    <w:div w:id="1818035313">
      <w:bodyDiv w:val="1"/>
      <w:marLeft w:val="0"/>
      <w:marRight w:val="0"/>
      <w:marTop w:val="0"/>
      <w:marBottom w:val="0"/>
      <w:divBdr>
        <w:top w:val="none" w:sz="0" w:space="0" w:color="auto"/>
        <w:left w:val="none" w:sz="0" w:space="0" w:color="auto"/>
        <w:bottom w:val="none" w:sz="0" w:space="0" w:color="auto"/>
        <w:right w:val="none" w:sz="0" w:space="0" w:color="auto"/>
      </w:divBdr>
    </w:div>
    <w:div w:id="1859193133">
      <w:bodyDiv w:val="1"/>
      <w:marLeft w:val="0"/>
      <w:marRight w:val="0"/>
      <w:marTop w:val="0"/>
      <w:marBottom w:val="0"/>
      <w:divBdr>
        <w:top w:val="none" w:sz="0" w:space="0" w:color="auto"/>
        <w:left w:val="none" w:sz="0" w:space="0" w:color="auto"/>
        <w:bottom w:val="none" w:sz="0" w:space="0" w:color="auto"/>
        <w:right w:val="none" w:sz="0" w:space="0" w:color="auto"/>
      </w:divBdr>
    </w:div>
    <w:div w:id="1938831602">
      <w:bodyDiv w:val="1"/>
      <w:marLeft w:val="0"/>
      <w:marRight w:val="0"/>
      <w:marTop w:val="0"/>
      <w:marBottom w:val="0"/>
      <w:divBdr>
        <w:top w:val="none" w:sz="0" w:space="0" w:color="auto"/>
        <w:left w:val="none" w:sz="0" w:space="0" w:color="auto"/>
        <w:bottom w:val="none" w:sz="0" w:space="0" w:color="auto"/>
        <w:right w:val="none" w:sz="0" w:space="0" w:color="auto"/>
      </w:divBdr>
    </w:div>
    <w:div w:id="2002193699">
      <w:bodyDiv w:val="1"/>
      <w:marLeft w:val="0"/>
      <w:marRight w:val="0"/>
      <w:marTop w:val="0"/>
      <w:marBottom w:val="0"/>
      <w:divBdr>
        <w:top w:val="none" w:sz="0" w:space="0" w:color="auto"/>
        <w:left w:val="none" w:sz="0" w:space="0" w:color="auto"/>
        <w:bottom w:val="none" w:sz="0" w:space="0" w:color="auto"/>
        <w:right w:val="none" w:sz="0" w:space="0" w:color="auto"/>
      </w:divBdr>
    </w:div>
    <w:div w:id="2057241600">
      <w:bodyDiv w:val="1"/>
      <w:marLeft w:val="0"/>
      <w:marRight w:val="0"/>
      <w:marTop w:val="0"/>
      <w:marBottom w:val="0"/>
      <w:divBdr>
        <w:top w:val="none" w:sz="0" w:space="0" w:color="auto"/>
        <w:left w:val="none" w:sz="0" w:space="0" w:color="auto"/>
        <w:bottom w:val="none" w:sz="0" w:space="0" w:color="auto"/>
        <w:right w:val="none" w:sz="0" w:space="0" w:color="auto"/>
      </w:divBdr>
    </w:div>
    <w:div w:id="2066640465">
      <w:bodyDiv w:val="1"/>
      <w:marLeft w:val="0"/>
      <w:marRight w:val="0"/>
      <w:marTop w:val="0"/>
      <w:marBottom w:val="0"/>
      <w:divBdr>
        <w:top w:val="none" w:sz="0" w:space="0" w:color="auto"/>
        <w:left w:val="none" w:sz="0" w:space="0" w:color="auto"/>
        <w:bottom w:val="none" w:sz="0" w:space="0" w:color="auto"/>
        <w:right w:val="none" w:sz="0" w:space="0" w:color="auto"/>
      </w:divBdr>
    </w:div>
    <w:div w:id="2089956427">
      <w:bodyDiv w:val="1"/>
      <w:marLeft w:val="0"/>
      <w:marRight w:val="0"/>
      <w:marTop w:val="0"/>
      <w:marBottom w:val="0"/>
      <w:divBdr>
        <w:top w:val="none" w:sz="0" w:space="0" w:color="auto"/>
        <w:left w:val="none" w:sz="0" w:space="0" w:color="auto"/>
        <w:bottom w:val="none" w:sz="0" w:space="0" w:color="auto"/>
        <w:right w:val="none" w:sz="0" w:space="0" w:color="auto"/>
      </w:divBdr>
      <w:divsChild>
        <w:div w:id="595093087">
          <w:marLeft w:val="0"/>
          <w:marRight w:val="0"/>
          <w:marTop w:val="0"/>
          <w:marBottom w:val="0"/>
          <w:divBdr>
            <w:top w:val="none" w:sz="0" w:space="0" w:color="auto"/>
            <w:left w:val="none" w:sz="0" w:space="0" w:color="auto"/>
            <w:bottom w:val="none" w:sz="0" w:space="0" w:color="auto"/>
            <w:right w:val="none" w:sz="0" w:space="0" w:color="auto"/>
          </w:divBdr>
          <w:divsChild>
            <w:div w:id="1765566836">
              <w:marLeft w:val="0"/>
              <w:marRight w:val="0"/>
              <w:marTop w:val="0"/>
              <w:marBottom w:val="0"/>
              <w:divBdr>
                <w:top w:val="none" w:sz="0" w:space="0" w:color="auto"/>
                <w:left w:val="none" w:sz="0" w:space="0" w:color="auto"/>
                <w:bottom w:val="none" w:sz="0" w:space="0" w:color="auto"/>
                <w:right w:val="none" w:sz="0" w:space="0" w:color="auto"/>
              </w:divBdr>
              <w:divsChild>
                <w:div w:id="2050832704">
                  <w:marLeft w:val="0"/>
                  <w:marRight w:val="0"/>
                  <w:marTop w:val="0"/>
                  <w:marBottom w:val="0"/>
                  <w:divBdr>
                    <w:top w:val="none" w:sz="0" w:space="0" w:color="auto"/>
                    <w:left w:val="none" w:sz="0" w:space="0" w:color="auto"/>
                    <w:bottom w:val="none" w:sz="0" w:space="0" w:color="auto"/>
                    <w:right w:val="none" w:sz="0" w:space="0" w:color="auto"/>
                  </w:divBdr>
                  <w:divsChild>
                    <w:div w:id="13700974">
                      <w:marLeft w:val="0"/>
                      <w:marRight w:val="0"/>
                      <w:marTop w:val="0"/>
                      <w:marBottom w:val="0"/>
                      <w:divBdr>
                        <w:top w:val="none" w:sz="0" w:space="0" w:color="auto"/>
                        <w:left w:val="none" w:sz="0" w:space="0" w:color="auto"/>
                        <w:bottom w:val="none" w:sz="0" w:space="0" w:color="auto"/>
                        <w:right w:val="none" w:sz="0" w:space="0" w:color="auto"/>
                      </w:divBdr>
                      <w:divsChild>
                        <w:div w:id="51781964">
                          <w:marLeft w:val="0"/>
                          <w:marRight w:val="0"/>
                          <w:marTop w:val="0"/>
                          <w:marBottom w:val="0"/>
                          <w:divBdr>
                            <w:top w:val="none" w:sz="0" w:space="0" w:color="auto"/>
                            <w:left w:val="none" w:sz="0" w:space="0" w:color="auto"/>
                            <w:bottom w:val="none" w:sz="0" w:space="0" w:color="auto"/>
                            <w:right w:val="none" w:sz="0" w:space="0" w:color="auto"/>
                          </w:divBdr>
                          <w:divsChild>
                            <w:div w:id="1086654685">
                              <w:marLeft w:val="0"/>
                              <w:marRight w:val="0"/>
                              <w:marTop w:val="0"/>
                              <w:marBottom w:val="0"/>
                              <w:divBdr>
                                <w:top w:val="none" w:sz="0" w:space="0" w:color="auto"/>
                                <w:left w:val="none" w:sz="0" w:space="0" w:color="auto"/>
                                <w:bottom w:val="none" w:sz="0" w:space="0" w:color="auto"/>
                                <w:right w:val="none" w:sz="0" w:space="0" w:color="auto"/>
                              </w:divBdr>
                              <w:divsChild>
                                <w:div w:id="30154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Postal">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igo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Postal">
          <TAG><![CDATA[#SECUNDÁRIA_1:ENTIDADE_AVULSO:CODIGO_POSTAL:LOCALIDADE#]]></TAG>
          <VALUE><![CDATA[Localidade Postal]]></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Postal">
          <TAG><![CDATA[#SECUNDÁRIA_2:ENTIDADE_AVULSO:CODIGO_POSTAL:LOCALIDADE#]]></TAG>
          <VALUE><![CDATA[Localidade Postal]]></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Postal">
          <TAG><![CDATA[#SECUNDÁRIA_3:ENTIDADE_AVULSO:CODIGO_POSTAL:LOCALIDADE#]]></TAG>
          <VALUE><![CDATA[Localidade Postal]]></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13F505-ACB5-486F-A46D-6606404041F9}">
  <ds:schemaRefs/>
</ds:datastoreItem>
</file>

<file path=customXml/itemProps2.xml><?xml version="1.0" encoding="utf-8"?>
<ds:datastoreItem xmlns:ds="http://schemas.openxmlformats.org/officeDocument/2006/customXml" ds:itemID="{ECCD0D3D-2E27-4500-BCBC-4494A76B48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5392</Words>
  <Characters>29661</Characters>
  <Application>Microsoft Office Word</Application>
  <DocSecurity>0</DocSecurity>
  <Lines>247</Lines>
  <Paragraphs>69</Paragraphs>
  <ScaleCrop>false</ScaleCrop>
  <Company/>
  <LinksUpToDate>false</LinksUpToDate>
  <CharactersWithSpaces>34984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2024-09-25T08:24:00Z</dcterms:created>
  <dcterms:modified xsi:type="dcterms:W3CDTF">2024-09-27T14:17:00Z</dcterms:modified>
</cp:coreProperties>
</file>