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A763A" w14:textId="77777777" w:rsidR="00AF1D16" w:rsidRPr="004B4944" w:rsidRDefault="00AF1D16" w:rsidP="007A337E">
      <w:pPr>
        <w:rPr>
          <w:rFonts w:ascii="Times New Roman" w:hAnsi="Times New Roman" w:cs="Times New Roman"/>
          <w:b/>
          <w:sz w:val="20"/>
        </w:rPr>
      </w:pPr>
      <w:r w:rsidRPr="004B4944">
        <w:rPr>
          <w:rFonts w:ascii="Times New Roman" w:hAnsi="Times New Roman" w:cs="Times New Roman"/>
          <w:noProof/>
          <w:lang w:bidi="ar-SA"/>
        </w:rPr>
        <w:drawing>
          <wp:inline distT="0" distB="0" distL="0" distR="0" wp14:anchorId="369B0102" wp14:editId="738278A0">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4523BA31" w14:textId="77777777" w:rsidR="00AF1D16" w:rsidRPr="004B4944" w:rsidDel="00160A5F" w:rsidRDefault="00AF1D16" w:rsidP="00AF1D16">
      <w:pPr>
        <w:jc w:val="center"/>
        <w:rPr>
          <w:rFonts w:ascii="Times New Roman" w:hAnsi="Times New Roman" w:cs="Times New Roman"/>
          <w:b/>
          <w:color w:val="003B8E"/>
          <w:sz w:val="32"/>
          <w:szCs w:val="32"/>
        </w:rPr>
      </w:pPr>
      <w:r w:rsidRPr="004B4944" w:rsidDel="00160A5F">
        <w:rPr>
          <w:rFonts w:ascii="Times New Roman" w:hAnsi="Times New Roman" w:cs="Times New Roman"/>
          <w:b/>
          <w:color w:val="003B8E"/>
          <w:sz w:val="32"/>
          <w:szCs w:val="32"/>
        </w:rPr>
        <w:t>Guide méthodologique</w:t>
      </w:r>
    </w:p>
    <w:p w14:paraId="08632DB4" w14:textId="774B205F" w:rsidR="00AF1D16" w:rsidRPr="004B4944" w:rsidRDefault="00AF1D16" w:rsidP="00AF1D16">
      <w:pPr>
        <w:jc w:val="center"/>
        <w:rPr>
          <w:rFonts w:ascii="Times New Roman" w:hAnsi="Times New Roman" w:cs="Times New Roman"/>
          <w:b/>
          <w:color w:val="003B8E"/>
          <w:sz w:val="28"/>
          <w:szCs w:val="32"/>
        </w:rPr>
      </w:pPr>
      <w:r w:rsidRPr="004B4944">
        <w:rPr>
          <w:rFonts w:ascii="Times New Roman" w:hAnsi="Times New Roman" w:cs="Times New Roman"/>
          <w:b/>
          <w:color w:val="003B8E"/>
          <w:sz w:val="28"/>
          <w:szCs w:val="32"/>
        </w:rPr>
        <w:t>Modèle des états « </w:t>
      </w:r>
      <w:r w:rsidR="007148FF" w:rsidRPr="004B4944">
        <w:rPr>
          <w:rFonts w:ascii="Times New Roman" w:hAnsi="Times New Roman" w:cs="Times New Roman"/>
          <w:b/>
          <w:color w:val="003B8E"/>
          <w:sz w:val="28"/>
          <w:szCs w:val="32"/>
        </w:rPr>
        <w:t>Exigence minimale de marge</w:t>
      </w:r>
      <w:r w:rsidRPr="004B4944">
        <w:rPr>
          <w:rFonts w:ascii="Times New Roman" w:hAnsi="Times New Roman" w:cs="Times New Roman"/>
          <w:b/>
          <w:color w:val="003B8E"/>
          <w:sz w:val="28"/>
          <w:szCs w:val="32"/>
        </w:rPr>
        <w:t> » (RP</w:t>
      </w:r>
      <w:r w:rsidR="007148FF" w:rsidRPr="004B4944">
        <w:rPr>
          <w:rFonts w:ascii="Times New Roman" w:hAnsi="Times New Roman" w:cs="Times New Roman"/>
          <w:b/>
          <w:color w:val="003B8E"/>
          <w:sz w:val="28"/>
          <w:szCs w:val="32"/>
        </w:rPr>
        <w:t>.42</w:t>
      </w:r>
      <w:r w:rsidRPr="004B4944">
        <w:rPr>
          <w:rFonts w:ascii="Times New Roman" w:hAnsi="Times New Roman" w:cs="Times New Roman"/>
          <w:b/>
          <w:color w:val="003B8E"/>
          <w:sz w:val="28"/>
          <w:szCs w:val="32"/>
        </w:rPr>
        <w:t>.0X.01) :</w:t>
      </w:r>
    </w:p>
    <w:p w14:paraId="1517B8E2" w14:textId="77777777" w:rsidR="00AF1D16" w:rsidRPr="004B4944" w:rsidRDefault="00AF1D16" w:rsidP="00AF1D16">
      <w:pPr>
        <w:rPr>
          <w:rFonts w:ascii="Times New Roman" w:hAnsi="Times New Roman" w:cs="Times New Roman"/>
          <w:b/>
          <w:color w:val="003B8E"/>
          <w:szCs w:val="32"/>
        </w:rPr>
      </w:pPr>
    </w:p>
    <w:p w14:paraId="06AAB089" w14:textId="58640A58" w:rsidR="00AF1D16" w:rsidRPr="004B4944" w:rsidRDefault="00AF1D16" w:rsidP="00AF1D16">
      <w:pPr>
        <w:rPr>
          <w:rFonts w:ascii="Times New Roman" w:hAnsi="Times New Roman" w:cs="Times New Roman"/>
          <w:b/>
          <w:color w:val="003B8E"/>
          <w:szCs w:val="32"/>
        </w:rPr>
      </w:pPr>
      <w:r w:rsidRPr="004B4944">
        <w:rPr>
          <w:rFonts w:ascii="Times New Roman" w:hAnsi="Times New Roman" w:cs="Times New Roman"/>
          <w:b/>
          <w:color w:val="003B8E"/>
          <w:szCs w:val="32"/>
        </w:rPr>
        <w:t>- « </w:t>
      </w:r>
      <w:r w:rsidR="007148FF" w:rsidRPr="004B4944">
        <w:rPr>
          <w:rFonts w:ascii="Times New Roman" w:hAnsi="Times New Roman" w:cs="Times New Roman"/>
          <w:b/>
          <w:color w:val="003B8E"/>
          <w:szCs w:val="32"/>
        </w:rPr>
        <w:t>Fraction calculée selon les règles vie</w:t>
      </w:r>
      <w:r w:rsidR="009E36D2" w:rsidRPr="004B4944">
        <w:rPr>
          <w:rFonts w:ascii="Times New Roman" w:hAnsi="Times New Roman" w:cs="Times New Roman"/>
          <w:b/>
          <w:color w:val="003B8E"/>
          <w:szCs w:val="32"/>
        </w:rPr>
        <w:t xml:space="preserve"> </w:t>
      </w:r>
      <w:r w:rsidR="007148FF" w:rsidRPr="004B4944">
        <w:rPr>
          <w:rFonts w:ascii="Times New Roman" w:hAnsi="Times New Roman" w:cs="Times New Roman"/>
          <w:b/>
          <w:color w:val="003B8E"/>
          <w:szCs w:val="32"/>
        </w:rPr>
        <w:t>» (RP.4</w:t>
      </w:r>
      <w:bookmarkStart w:id="0" w:name="_GoBack"/>
      <w:bookmarkEnd w:id="0"/>
      <w:r w:rsidR="007148FF" w:rsidRPr="004B4944">
        <w:rPr>
          <w:rFonts w:ascii="Times New Roman" w:hAnsi="Times New Roman" w:cs="Times New Roman"/>
          <w:b/>
          <w:color w:val="003B8E"/>
          <w:szCs w:val="32"/>
        </w:rPr>
        <w:t>2</w:t>
      </w:r>
      <w:r w:rsidRPr="004B4944">
        <w:rPr>
          <w:rFonts w:ascii="Times New Roman" w:hAnsi="Times New Roman" w:cs="Times New Roman"/>
          <w:b/>
          <w:color w:val="003B8E"/>
          <w:szCs w:val="32"/>
        </w:rPr>
        <w:t>.01.01)</w:t>
      </w:r>
    </w:p>
    <w:p w14:paraId="2AC382C0" w14:textId="260FB5A5" w:rsidR="00AF1D16" w:rsidRPr="004B4944" w:rsidRDefault="00AF1D16" w:rsidP="00AF1D16">
      <w:pPr>
        <w:rPr>
          <w:rFonts w:ascii="Times New Roman" w:hAnsi="Times New Roman" w:cs="Times New Roman"/>
          <w:b/>
          <w:color w:val="003B8E"/>
          <w:szCs w:val="32"/>
        </w:rPr>
      </w:pPr>
      <w:r w:rsidRPr="004B4944">
        <w:rPr>
          <w:rFonts w:ascii="Times New Roman" w:hAnsi="Times New Roman" w:cs="Times New Roman"/>
          <w:b/>
          <w:color w:val="003B8E"/>
          <w:szCs w:val="32"/>
        </w:rPr>
        <w:t>- « </w:t>
      </w:r>
      <w:r w:rsidR="007148FF" w:rsidRPr="004B4944">
        <w:rPr>
          <w:rFonts w:ascii="Times New Roman" w:hAnsi="Times New Roman" w:cs="Times New Roman"/>
          <w:b/>
          <w:color w:val="003B8E"/>
          <w:szCs w:val="32"/>
        </w:rPr>
        <w:t>Fraction calculée selon les règles non vie</w:t>
      </w:r>
      <w:r w:rsidRPr="004B4944">
        <w:rPr>
          <w:rFonts w:ascii="Times New Roman" w:hAnsi="Times New Roman" w:cs="Times New Roman"/>
          <w:b/>
          <w:color w:val="003B8E"/>
          <w:szCs w:val="32"/>
        </w:rPr>
        <w:t> » (RP</w:t>
      </w:r>
      <w:r w:rsidR="007148FF" w:rsidRPr="004B4944">
        <w:rPr>
          <w:rFonts w:ascii="Times New Roman" w:hAnsi="Times New Roman" w:cs="Times New Roman"/>
          <w:b/>
          <w:color w:val="003B8E"/>
          <w:szCs w:val="32"/>
        </w:rPr>
        <w:t>.42</w:t>
      </w:r>
      <w:r w:rsidRPr="004B4944">
        <w:rPr>
          <w:rFonts w:ascii="Times New Roman" w:hAnsi="Times New Roman" w:cs="Times New Roman"/>
          <w:b/>
          <w:color w:val="003B8E"/>
          <w:szCs w:val="32"/>
        </w:rPr>
        <w:t>.02.01)</w:t>
      </w:r>
    </w:p>
    <w:p w14:paraId="3057B8A5" w14:textId="2EAF1A0F" w:rsidR="00AF1D16" w:rsidRPr="004B4944" w:rsidRDefault="00AF1D16" w:rsidP="00AF1D16">
      <w:pPr>
        <w:rPr>
          <w:rFonts w:ascii="Times New Roman" w:hAnsi="Times New Roman" w:cs="Times New Roman"/>
          <w:b/>
          <w:color w:val="003B8E"/>
          <w:szCs w:val="32"/>
        </w:rPr>
      </w:pPr>
      <w:r w:rsidRPr="004B4944">
        <w:rPr>
          <w:rFonts w:ascii="Times New Roman" w:hAnsi="Times New Roman" w:cs="Times New Roman"/>
          <w:b/>
          <w:color w:val="003B8E"/>
          <w:szCs w:val="32"/>
        </w:rPr>
        <w:t>- « </w:t>
      </w:r>
      <w:r w:rsidR="007148FF" w:rsidRPr="004B4944">
        <w:rPr>
          <w:rFonts w:ascii="Times New Roman" w:hAnsi="Times New Roman" w:cs="Times New Roman"/>
          <w:b/>
          <w:color w:val="003B8E"/>
          <w:szCs w:val="32"/>
        </w:rPr>
        <w:t>Éléments constitutifs</w:t>
      </w:r>
      <w:r w:rsidRPr="004B4944">
        <w:rPr>
          <w:rFonts w:ascii="Times New Roman" w:hAnsi="Times New Roman" w:cs="Times New Roman"/>
          <w:b/>
          <w:color w:val="003B8E"/>
          <w:szCs w:val="32"/>
        </w:rPr>
        <w:t> » (RP</w:t>
      </w:r>
      <w:r w:rsidR="007148FF" w:rsidRPr="004B4944">
        <w:rPr>
          <w:rFonts w:ascii="Times New Roman" w:hAnsi="Times New Roman" w:cs="Times New Roman"/>
          <w:b/>
          <w:color w:val="003B8E"/>
          <w:szCs w:val="32"/>
        </w:rPr>
        <w:t>.42</w:t>
      </w:r>
      <w:r w:rsidRPr="004B4944">
        <w:rPr>
          <w:rFonts w:ascii="Times New Roman" w:hAnsi="Times New Roman" w:cs="Times New Roman"/>
          <w:b/>
          <w:color w:val="003B8E"/>
          <w:szCs w:val="32"/>
        </w:rPr>
        <w:t>.03.01)</w:t>
      </w:r>
    </w:p>
    <w:p w14:paraId="171D44E3" w14:textId="77777777" w:rsidR="00D06D43" w:rsidRPr="004B4944" w:rsidRDefault="00D06D43" w:rsidP="007141EA">
      <w:pPr>
        <w:rPr>
          <w:rFonts w:ascii="Times New Roman" w:hAnsi="Times New Roman"/>
          <w:b/>
          <w:sz w:val="20"/>
        </w:rPr>
      </w:pPr>
    </w:p>
    <w:p w14:paraId="686E3376" w14:textId="632F06AC" w:rsidR="00D06D43" w:rsidRPr="004B4944" w:rsidRDefault="00D06D43" w:rsidP="00493062">
      <w:pPr>
        <w:rPr>
          <w:rFonts w:ascii="Times New Roman" w:hAnsi="Times New Roman" w:cs="Times New Roman"/>
          <w:b/>
          <w:bCs/>
          <w:sz w:val="24"/>
          <w:szCs w:val="24"/>
        </w:rPr>
      </w:pPr>
      <w:r w:rsidRPr="004B4944">
        <w:rPr>
          <w:rFonts w:ascii="Times New Roman" w:hAnsi="Times New Roman" w:cs="Times New Roman"/>
          <w:b/>
          <w:sz w:val="24"/>
          <w:szCs w:val="24"/>
        </w:rPr>
        <w:t>Observations générales</w:t>
      </w:r>
    </w:p>
    <w:p w14:paraId="03C50D0F" w14:textId="77777777" w:rsidR="00B922AE" w:rsidRPr="004B4944" w:rsidRDefault="00B922AE" w:rsidP="00B922AE">
      <w:pPr>
        <w:rPr>
          <w:rFonts w:ascii="Times New Roman" w:hAnsi="Times New Roman" w:cs="Times New Roman"/>
          <w:bCs/>
          <w:sz w:val="20"/>
          <w:szCs w:val="20"/>
        </w:rPr>
      </w:pPr>
      <w:r w:rsidRPr="004B4944">
        <w:rPr>
          <w:rFonts w:ascii="Times New Roman" w:hAnsi="Times New Roman" w:cs="Times New Roman"/>
          <w:bCs/>
          <w:sz w:val="20"/>
          <w:szCs w:val="20"/>
        </w:rPr>
        <w:t>Le modèle vise à rapprocher la marge de solvabilité constituée de l'exigence minimale de marge de solvabilité :</w:t>
      </w:r>
    </w:p>
    <w:p w14:paraId="3992A2EF" w14:textId="2D87D768" w:rsidR="00B922AE" w:rsidRPr="004B4944" w:rsidRDefault="00B922AE" w:rsidP="00B922AE">
      <w:pPr>
        <w:pStyle w:val="Paragraphedeliste"/>
        <w:numPr>
          <w:ilvl w:val="0"/>
          <w:numId w:val="10"/>
        </w:numPr>
        <w:rPr>
          <w:bCs/>
          <w:sz w:val="20"/>
        </w:rPr>
      </w:pPr>
      <w:r w:rsidRPr="004B4944">
        <w:rPr>
          <w:bCs/>
          <w:sz w:val="20"/>
        </w:rPr>
        <w:t>L’état RP.42.01.01 vise à calculer l'exigence minimale de marge de solvabilité selon l</w:t>
      </w:r>
      <w:r w:rsidR="004176F8" w:rsidRPr="004B4944">
        <w:rPr>
          <w:bCs/>
          <w:sz w:val="20"/>
        </w:rPr>
        <w:t>es règles vie et capitalisation</w:t>
      </w:r>
      <w:r w:rsidRPr="004B4944">
        <w:rPr>
          <w:bCs/>
          <w:sz w:val="20"/>
        </w:rPr>
        <w:t>;</w:t>
      </w:r>
    </w:p>
    <w:p w14:paraId="4981844A" w14:textId="13096D32" w:rsidR="00B922AE" w:rsidRPr="004B4944" w:rsidRDefault="00B922AE" w:rsidP="00B922AE">
      <w:pPr>
        <w:pStyle w:val="Paragraphedeliste"/>
        <w:numPr>
          <w:ilvl w:val="0"/>
          <w:numId w:val="10"/>
        </w:numPr>
        <w:rPr>
          <w:bCs/>
          <w:sz w:val="20"/>
        </w:rPr>
      </w:pPr>
      <w:r w:rsidRPr="004B4944">
        <w:rPr>
          <w:bCs/>
          <w:sz w:val="20"/>
        </w:rPr>
        <w:t>L’état RP.42.02.01 vise à calculer l'exigence minimale de marge de solvabilité selon les règles non-vie ;</w:t>
      </w:r>
    </w:p>
    <w:p w14:paraId="08BCE014" w14:textId="77777777" w:rsidR="00B922AE" w:rsidRPr="004B4944" w:rsidRDefault="00B922AE" w:rsidP="00B922AE">
      <w:pPr>
        <w:pStyle w:val="Paragraphedeliste"/>
        <w:numPr>
          <w:ilvl w:val="0"/>
          <w:numId w:val="10"/>
        </w:numPr>
        <w:rPr>
          <w:bCs/>
          <w:sz w:val="20"/>
        </w:rPr>
      </w:pPr>
      <w:r w:rsidRPr="004B4944">
        <w:rPr>
          <w:bCs/>
          <w:sz w:val="20"/>
        </w:rPr>
        <w:t>L’état RP.42.03.01 vise à calculer les éléments constitutifs de la marge de solvabilité.</w:t>
      </w:r>
    </w:p>
    <w:p w14:paraId="50ED26E5" w14:textId="77777777" w:rsidR="00B922AE" w:rsidRPr="004B4944" w:rsidRDefault="00B922AE" w:rsidP="00B922AE">
      <w:pPr>
        <w:rPr>
          <w:rFonts w:ascii="Times New Roman" w:hAnsi="Times New Roman" w:cs="Times New Roman"/>
          <w:bCs/>
          <w:sz w:val="20"/>
          <w:szCs w:val="20"/>
        </w:rPr>
      </w:pPr>
    </w:p>
    <w:p w14:paraId="5246F5DA" w14:textId="0C92486E" w:rsidR="00B922AE" w:rsidRPr="004B4944" w:rsidRDefault="00B922AE" w:rsidP="00B922AE">
      <w:pPr>
        <w:rPr>
          <w:rFonts w:ascii="Times New Roman" w:hAnsi="Times New Roman" w:cs="Times New Roman"/>
          <w:bCs/>
          <w:sz w:val="20"/>
          <w:szCs w:val="20"/>
        </w:rPr>
      </w:pPr>
      <w:r w:rsidRPr="004B4944">
        <w:rPr>
          <w:rFonts w:ascii="Times New Roman" w:hAnsi="Times New Roman" w:cs="Times New Roman"/>
          <w:bCs/>
          <w:sz w:val="20"/>
          <w:szCs w:val="20"/>
        </w:rPr>
        <w:t>L'exigence minimale de marge de solvabilité est égale à la somme de la fraction calculée selon les règles non-vie et de la fraction calculée selon les règles vie.</w:t>
      </w:r>
    </w:p>
    <w:p w14:paraId="183CE7D7" w14:textId="77777777" w:rsidR="000743FF" w:rsidRPr="004B4944" w:rsidRDefault="000743FF" w:rsidP="00B922AE">
      <w:pPr>
        <w:rPr>
          <w:rFonts w:ascii="Times New Roman" w:hAnsi="Times New Roman" w:cs="Times New Roman"/>
          <w:b/>
          <w:bCs/>
          <w:sz w:val="20"/>
          <w:szCs w:val="20"/>
        </w:rPr>
      </w:pPr>
    </w:p>
    <w:p w14:paraId="788DCEA4" w14:textId="5F95FDF7" w:rsidR="00B922AE" w:rsidRPr="004B4944" w:rsidRDefault="00B922AE" w:rsidP="00B922AE">
      <w:pPr>
        <w:rPr>
          <w:rFonts w:ascii="Times New Roman" w:hAnsi="Times New Roman" w:cs="Times New Roman"/>
          <w:b/>
          <w:bCs/>
          <w:sz w:val="20"/>
          <w:szCs w:val="20"/>
        </w:rPr>
      </w:pPr>
      <w:r w:rsidRPr="004B4944">
        <w:rPr>
          <w:rFonts w:ascii="Times New Roman" w:hAnsi="Times New Roman" w:cs="Times New Roman"/>
          <w:b/>
          <w:bCs/>
          <w:sz w:val="20"/>
          <w:szCs w:val="20"/>
        </w:rPr>
        <w:t>RP.42.01.01 – Exigence minimale de marge : fraction calculée selon les règles vie</w:t>
      </w:r>
    </w:p>
    <w:p w14:paraId="76170C0B" w14:textId="1666C33E" w:rsidR="00B922AE" w:rsidRPr="004B4944" w:rsidRDefault="00B922AE" w:rsidP="00B922AE">
      <w:pPr>
        <w:rPr>
          <w:rFonts w:ascii="Times New Roman" w:hAnsi="Times New Roman" w:cs="Times New Roman"/>
          <w:bCs/>
          <w:sz w:val="20"/>
          <w:szCs w:val="20"/>
          <w:u w:val="single"/>
        </w:rPr>
      </w:pPr>
      <w:r w:rsidRPr="004B4944">
        <w:rPr>
          <w:rFonts w:ascii="Times New Roman" w:hAnsi="Times New Roman" w:cs="Times New Roman"/>
          <w:bCs/>
          <w:sz w:val="20"/>
          <w:szCs w:val="20"/>
          <w:u w:val="single"/>
        </w:rPr>
        <w:t>Utilisation de l’état</w:t>
      </w:r>
    </w:p>
    <w:tbl>
      <w:tblPr>
        <w:tblStyle w:val="Grilledutableau"/>
        <w:tblW w:w="0" w:type="auto"/>
        <w:tblLook w:val="04A0" w:firstRow="1" w:lastRow="0" w:firstColumn="1" w:lastColumn="0" w:noHBand="0" w:noVBand="1"/>
      </w:tblPr>
      <w:tblGrid>
        <w:gridCol w:w="1539"/>
        <w:gridCol w:w="2074"/>
        <w:gridCol w:w="5403"/>
      </w:tblGrid>
      <w:tr w:rsidR="000743FF" w:rsidRPr="004B4944" w14:paraId="7DE9DE7A" w14:textId="77777777" w:rsidTr="007A74A5">
        <w:trPr>
          <w:trHeight w:val="511"/>
          <w:tblHeader/>
        </w:trPr>
        <w:tc>
          <w:tcPr>
            <w:tcW w:w="1539" w:type="dxa"/>
            <w:noWrap/>
            <w:hideMark/>
          </w:tcPr>
          <w:p w14:paraId="733D4FDA" w14:textId="77777777" w:rsidR="00B922AE" w:rsidRPr="004B4944" w:rsidRDefault="00B922AE" w:rsidP="00D97517">
            <w:pPr>
              <w:rPr>
                <w:rFonts w:ascii="Times New Roman" w:hAnsi="Times New Roman" w:cs="Times New Roman"/>
                <w:i/>
                <w:sz w:val="20"/>
                <w:szCs w:val="20"/>
              </w:rPr>
            </w:pPr>
          </w:p>
          <w:p w14:paraId="122D5C27" w14:textId="77777777" w:rsidR="00B922AE" w:rsidRPr="004B4944" w:rsidRDefault="00B922AE" w:rsidP="00D97517">
            <w:pPr>
              <w:jc w:val="center"/>
              <w:rPr>
                <w:rFonts w:ascii="Times New Roman" w:hAnsi="Times New Roman" w:cs="Times New Roman"/>
                <w:i/>
                <w:sz w:val="20"/>
                <w:szCs w:val="20"/>
              </w:rPr>
            </w:pPr>
            <w:r w:rsidRPr="004B4944">
              <w:rPr>
                <w:rFonts w:ascii="Times New Roman" w:hAnsi="Times New Roman" w:cs="Times New Roman"/>
                <w:i/>
                <w:sz w:val="20"/>
                <w:szCs w:val="20"/>
              </w:rPr>
              <w:t>RP.42.01.01</w:t>
            </w:r>
          </w:p>
          <w:p w14:paraId="713504AE" w14:textId="77777777" w:rsidR="00B922AE" w:rsidRPr="004B4944" w:rsidRDefault="00B922AE" w:rsidP="00D97517">
            <w:pPr>
              <w:rPr>
                <w:rFonts w:ascii="Times New Roman" w:hAnsi="Times New Roman" w:cs="Times New Roman"/>
                <w:i/>
                <w:sz w:val="20"/>
                <w:szCs w:val="20"/>
              </w:rPr>
            </w:pPr>
          </w:p>
        </w:tc>
        <w:tc>
          <w:tcPr>
            <w:tcW w:w="2074" w:type="dxa"/>
            <w:hideMark/>
          </w:tcPr>
          <w:p w14:paraId="1A01701D" w14:textId="77777777" w:rsidR="00B922AE" w:rsidRPr="004B4944" w:rsidRDefault="00B922AE" w:rsidP="00D97517">
            <w:pPr>
              <w:jc w:val="center"/>
              <w:rPr>
                <w:rFonts w:ascii="Times New Roman" w:hAnsi="Times New Roman"/>
                <w:b/>
                <w:color w:val="000000" w:themeColor="text1"/>
                <w:sz w:val="20"/>
              </w:rPr>
            </w:pPr>
          </w:p>
          <w:p w14:paraId="4436C766" w14:textId="77777777" w:rsidR="00B922AE" w:rsidRPr="004B4944" w:rsidRDefault="00B922AE" w:rsidP="00D97517">
            <w:pPr>
              <w:jc w:val="center"/>
              <w:rPr>
                <w:rFonts w:ascii="Times New Roman" w:hAnsi="Times New Roman"/>
                <w:b/>
                <w:color w:val="000000" w:themeColor="text1"/>
                <w:sz w:val="20"/>
              </w:rPr>
            </w:pPr>
            <w:r w:rsidRPr="004B4944">
              <w:rPr>
                <w:rFonts w:ascii="Times New Roman" w:hAnsi="Times New Roman"/>
                <w:b/>
                <w:color w:val="000000" w:themeColor="text1"/>
                <w:sz w:val="20"/>
              </w:rPr>
              <w:t>ÉLÉMENT À DÉCLARER</w:t>
            </w:r>
          </w:p>
        </w:tc>
        <w:tc>
          <w:tcPr>
            <w:tcW w:w="5403" w:type="dxa"/>
            <w:hideMark/>
          </w:tcPr>
          <w:p w14:paraId="048C7D1C" w14:textId="77777777" w:rsidR="00B922AE" w:rsidRPr="004B4944" w:rsidRDefault="00B922AE" w:rsidP="00D97517">
            <w:pPr>
              <w:jc w:val="center"/>
              <w:rPr>
                <w:rFonts w:ascii="Times New Roman" w:hAnsi="Times New Roman"/>
                <w:b/>
                <w:color w:val="000000" w:themeColor="text1"/>
                <w:sz w:val="20"/>
              </w:rPr>
            </w:pPr>
          </w:p>
          <w:p w14:paraId="1CA8419D" w14:textId="77777777" w:rsidR="00B922AE" w:rsidRPr="004B4944" w:rsidRDefault="00B922AE" w:rsidP="00D97517">
            <w:pPr>
              <w:jc w:val="center"/>
              <w:rPr>
                <w:rFonts w:ascii="Times New Roman" w:hAnsi="Times New Roman"/>
                <w:b/>
                <w:color w:val="000000" w:themeColor="text1"/>
                <w:sz w:val="20"/>
              </w:rPr>
            </w:pPr>
            <w:r w:rsidRPr="004B4944">
              <w:rPr>
                <w:rFonts w:ascii="Times New Roman" w:hAnsi="Times New Roman"/>
                <w:b/>
                <w:color w:val="000000" w:themeColor="text1"/>
                <w:sz w:val="20"/>
              </w:rPr>
              <w:t>INSTRUCTIONS</w:t>
            </w:r>
          </w:p>
        </w:tc>
      </w:tr>
      <w:tr w:rsidR="000743FF" w:rsidRPr="004B4944" w14:paraId="52879CDA" w14:textId="77777777" w:rsidTr="007A74A5">
        <w:trPr>
          <w:trHeight w:val="530"/>
        </w:trPr>
        <w:tc>
          <w:tcPr>
            <w:tcW w:w="1539" w:type="dxa"/>
          </w:tcPr>
          <w:p w14:paraId="1008E23D"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sz w:val="20"/>
              </w:rPr>
              <w:t>C0050/R0010</w:t>
            </w:r>
          </w:p>
        </w:tc>
        <w:tc>
          <w:tcPr>
            <w:tcW w:w="2074" w:type="dxa"/>
          </w:tcPr>
          <w:p w14:paraId="3FDBF1A3"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sz w:val="20"/>
              </w:rPr>
              <w:t>Rapport de rétention – Provisions mathématiques – supports euros</w:t>
            </w:r>
          </w:p>
        </w:tc>
        <w:tc>
          <w:tcPr>
            <w:tcW w:w="5403" w:type="dxa"/>
          </w:tcPr>
          <w:p w14:paraId="73D1CBE2"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bCs/>
                <w:sz w:val="20"/>
                <w:szCs w:val="20"/>
              </w:rPr>
              <w:t>Rapport entre le montant des provisions mathématiques nettes de cessions et rétrocessions en réassurance et le montant des provisions mathématiques brutes des cessions et rétrocessions en réassurance.</w:t>
            </w:r>
          </w:p>
        </w:tc>
      </w:tr>
      <w:tr w:rsidR="000743FF" w:rsidRPr="004B4944" w14:paraId="0D9D615F" w14:textId="77777777" w:rsidTr="007A74A5">
        <w:trPr>
          <w:trHeight w:val="500"/>
        </w:trPr>
        <w:tc>
          <w:tcPr>
            <w:tcW w:w="1539" w:type="dxa"/>
          </w:tcPr>
          <w:p w14:paraId="37994BDC"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C0060/R0010</w:t>
            </w:r>
          </w:p>
        </w:tc>
        <w:tc>
          <w:tcPr>
            <w:tcW w:w="2074" w:type="dxa"/>
          </w:tcPr>
          <w:p w14:paraId="0F0009A5"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Taux minimal</w:t>
            </w:r>
          </w:p>
        </w:tc>
        <w:tc>
          <w:tcPr>
            <w:tcW w:w="5403" w:type="dxa"/>
          </w:tcPr>
          <w:p w14:paraId="0F7EC6CD"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Correspond à la valeur minimale du taux d’affaires directes, à savoir 85%</w:t>
            </w:r>
          </w:p>
        </w:tc>
      </w:tr>
      <w:tr w:rsidR="000743FF" w:rsidRPr="004B4944" w14:paraId="1D0ECC9E" w14:textId="77777777" w:rsidTr="007A74A5">
        <w:trPr>
          <w:trHeight w:val="810"/>
        </w:trPr>
        <w:tc>
          <w:tcPr>
            <w:tcW w:w="1539" w:type="dxa"/>
          </w:tcPr>
          <w:p w14:paraId="69AD2425"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C0070/R0010</w:t>
            </w:r>
          </w:p>
        </w:tc>
        <w:tc>
          <w:tcPr>
            <w:tcW w:w="2074" w:type="dxa"/>
          </w:tcPr>
          <w:p w14:paraId="325086D8"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Taux d’affaires directes</w:t>
            </w:r>
          </w:p>
        </w:tc>
        <w:tc>
          <w:tcPr>
            <w:tcW w:w="5403" w:type="dxa"/>
          </w:tcPr>
          <w:p w14:paraId="5651D96B"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Correspond au maximum entre le rapport de rétention et le taux minimal. Le taux d’affaires directes ne peut être supérieur à 100%.</w:t>
            </w:r>
          </w:p>
        </w:tc>
      </w:tr>
      <w:tr w:rsidR="000743FF" w:rsidRPr="004B4944" w14:paraId="604D3C3B" w14:textId="77777777" w:rsidTr="007A74A5">
        <w:trPr>
          <w:trHeight w:val="810"/>
        </w:trPr>
        <w:tc>
          <w:tcPr>
            <w:tcW w:w="1539" w:type="dxa"/>
          </w:tcPr>
          <w:p w14:paraId="5BCC8EB5"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C0090/R0010</w:t>
            </w:r>
          </w:p>
        </w:tc>
        <w:tc>
          <w:tcPr>
            <w:tcW w:w="2074" w:type="dxa"/>
          </w:tcPr>
          <w:p w14:paraId="518B9044"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Résultat</w:t>
            </w:r>
          </w:p>
        </w:tc>
        <w:tc>
          <w:tcPr>
            <w:tcW w:w="5403" w:type="dxa"/>
          </w:tcPr>
          <w:p w14:paraId="722A6AB9"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bCs/>
                <w:sz w:val="20"/>
                <w:szCs w:val="20"/>
              </w:rPr>
              <w:t>Correspond au montant des provisions mathématiques brutes des cessions et rétrocessions en réassurance multiplié par le taux d’affaires directes multiplié par un coefficient de 4%</w:t>
            </w:r>
          </w:p>
        </w:tc>
      </w:tr>
      <w:tr w:rsidR="000743FF" w:rsidRPr="004B4944" w14:paraId="70819FEB" w14:textId="77777777" w:rsidTr="007A74A5">
        <w:trPr>
          <w:trHeight w:val="810"/>
        </w:trPr>
        <w:tc>
          <w:tcPr>
            <w:tcW w:w="1539" w:type="dxa"/>
          </w:tcPr>
          <w:p w14:paraId="0E0C9B8C"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sz w:val="20"/>
              </w:rPr>
              <w:lastRenderedPageBreak/>
              <w:t>C0050/R0020</w:t>
            </w:r>
          </w:p>
        </w:tc>
        <w:tc>
          <w:tcPr>
            <w:tcW w:w="2074" w:type="dxa"/>
          </w:tcPr>
          <w:p w14:paraId="14B803DB"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sz w:val="20"/>
              </w:rPr>
              <w:t>Rapport de rétention – Capitaux sous risques - supports euros</w:t>
            </w:r>
          </w:p>
        </w:tc>
        <w:tc>
          <w:tcPr>
            <w:tcW w:w="5403" w:type="dxa"/>
          </w:tcPr>
          <w:p w14:paraId="7278B2A9"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Rapport entre le montant des capitaux sous risques nets de cessions et rétrocessions en réassurance et le montant des capitaux sous risques bruts de cessions et rétrocessions en réassurance.</w:t>
            </w:r>
          </w:p>
          <w:p w14:paraId="1B6AEFE3" w14:textId="77777777" w:rsidR="00B922AE" w:rsidRPr="004B4944" w:rsidRDefault="00B922AE" w:rsidP="00D97517">
            <w:pPr>
              <w:rPr>
                <w:rFonts w:ascii="Times New Roman" w:hAnsi="Times New Roman" w:cs="Times New Roman"/>
                <w:sz w:val="20"/>
                <w:szCs w:val="20"/>
              </w:rPr>
            </w:pPr>
          </w:p>
        </w:tc>
      </w:tr>
      <w:tr w:rsidR="000743FF" w:rsidRPr="004B4944" w14:paraId="2416178E" w14:textId="77777777" w:rsidTr="007A74A5">
        <w:trPr>
          <w:trHeight w:val="709"/>
        </w:trPr>
        <w:tc>
          <w:tcPr>
            <w:tcW w:w="1539" w:type="dxa"/>
          </w:tcPr>
          <w:p w14:paraId="37E0ED03"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C0060/R0020</w:t>
            </w:r>
          </w:p>
        </w:tc>
        <w:tc>
          <w:tcPr>
            <w:tcW w:w="2074" w:type="dxa"/>
          </w:tcPr>
          <w:p w14:paraId="4AF162A2"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Taux minimal</w:t>
            </w:r>
          </w:p>
        </w:tc>
        <w:tc>
          <w:tcPr>
            <w:tcW w:w="5403" w:type="dxa"/>
          </w:tcPr>
          <w:p w14:paraId="2961B2D3"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Correspond à la valeur minimale du taux d’affaires directes, à savoir 50%</w:t>
            </w:r>
          </w:p>
        </w:tc>
      </w:tr>
      <w:tr w:rsidR="000743FF" w:rsidRPr="004B4944" w14:paraId="154F3591" w14:textId="77777777" w:rsidTr="007A74A5">
        <w:trPr>
          <w:trHeight w:val="409"/>
        </w:trPr>
        <w:tc>
          <w:tcPr>
            <w:tcW w:w="1539" w:type="dxa"/>
          </w:tcPr>
          <w:p w14:paraId="7E926053" w14:textId="0A9B92F9" w:rsidR="007D3563" w:rsidRPr="004B4944" w:rsidRDefault="007D3563" w:rsidP="000743FF">
            <w:pPr>
              <w:rPr>
                <w:rFonts w:ascii="Times New Roman" w:hAnsi="Times New Roman" w:cs="Times New Roman"/>
                <w:sz w:val="20"/>
                <w:szCs w:val="20"/>
              </w:rPr>
            </w:pPr>
            <w:r w:rsidRPr="004B4944">
              <w:rPr>
                <w:rFonts w:ascii="Times New Roman" w:hAnsi="Times New Roman" w:cs="Times New Roman"/>
                <w:sz w:val="20"/>
                <w:szCs w:val="20"/>
              </w:rPr>
              <w:t>C0070/R0020 à C0070/R0050</w:t>
            </w:r>
          </w:p>
        </w:tc>
        <w:tc>
          <w:tcPr>
            <w:tcW w:w="2074" w:type="dxa"/>
          </w:tcPr>
          <w:p w14:paraId="508643C4"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Taux d’affaires directes</w:t>
            </w:r>
          </w:p>
        </w:tc>
        <w:tc>
          <w:tcPr>
            <w:tcW w:w="5403" w:type="dxa"/>
          </w:tcPr>
          <w:p w14:paraId="49E29A88"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Correspond au maximum entre le rapport de rétention et le taux minimal. Le taux d’affaires directes ne peut être supérieur à 100%.</w:t>
            </w:r>
          </w:p>
        </w:tc>
      </w:tr>
      <w:tr w:rsidR="000743FF" w:rsidRPr="004B4944" w14:paraId="7049FA16" w14:textId="77777777" w:rsidTr="007A74A5">
        <w:trPr>
          <w:trHeight w:val="409"/>
        </w:trPr>
        <w:tc>
          <w:tcPr>
            <w:tcW w:w="1539" w:type="dxa"/>
          </w:tcPr>
          <w:p w14:paraId="1AC6AD35"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C0090/R0030</w:t>
            </w:r>
          </w:p>
        </w:tc>
        <w:tc>
          <w:tcPr>
            <w:tcW w:w="2074" w:type="dxa"/>
          </w:tcPr>
          <w:p w14:paraId="52EF8034"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bCs/>
                <w:sz w:val="20"/>
                <w:szCs w:val="20"/>
              </w:rPr>
              <w:t>Résultat - Toutes assurances, sauf temporaires décès de durée inférieure ou égale à 5 ans</w:t>
            </w:r>
          </w:p>
        </w:tc>
        <w:tc>
          <w:tcPr>
            <w:tcW w:w="5403" w:type="dxa"/>
          </w:tcPr>
          <w:p w14:paraId="49161C56"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bCs/>
                <w:sz w:val="20"/>
                <w:szCs w:val="20"/>
              </w:rPr>
              <w:t>Correspond au montant des capitaux sous risques (toutes assurances, sauf temporaires décès de durée inférieure ou égale à 5 ans) bruts de cessions et rétrocessions en réassurance multiplié par la taux d’affaires directes multiplié par un coefficient de 0,30%</w:t>
            </w:r>
          </w:p>
        </w:tc>
      </w:tr>
      <w:tr w:rsidR="000743FF" w:rsidRPr="004B4944" w14:paraId="7D786E7E" w14:textId="77777777" w:rsidTr="007A74A5">
        <w:trPr>
          <w:trHeight w:val="409"/>
        </w:trPr>
        <w:tc>
          <w:tcPr>
            <w:tcW w:w="1539" w:type="dxa"/>
          </w:tcPr>
          <w:p w14:paraId="610C1EF1"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C0090/R0040</w:t>
            </w:r>
          </w:p>
        </w:tc>
        <w:tc>
          <w:tcPr>
            <w:tcW w:w="2074" w:type="dxa"/>
          </w:tcPr>
          <w:p w14:paraId="290BF49F"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 xml:space="preserve">Résultat - </w:t>
            </w:r>
            <w:r w:rsidRPr="004B4944">
              <w:rPr>
                <w:rFonts w:ascii="Times New Roman" w:hAnsi="Times New Roman" w:cs="Times New Roman"/>
                <w:bCs/>
                <w:sz w:val="20"/>
                <w:szCs w:val="20"/>
              </w:rPr>
              <w:t>Temporaires décès de durée supérieure à 3 ans et inférieure ou égale à 5 ans</w:t>
            </w:r>
          </w:p>
        </w:tc>
        <w:tc>
          <w:tcPr>
            <w:tcW w:w="5403" w:type="dxa"/>
          </w:tcPr>
          <w:p w14:paraId="4AB42EE9"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au montant des capitaux sous risques (temporaires décès de durée supérieure à 3 ans et inférieure ou égale à 5 ans) bruts de cessions et rétrocessions en réassurance multiplié par la taux d’affaires directes multiplié par un coefficient de 0,15%</w:t>
            </w:r>
          </w:p>
        </w:tc>
      </w:tr>
      <w:tr w:rsidR="000743FF" w:rsidRPr="004B4944" w14:paraId="6E7E6AAC" w14:textId="77777777" w:rsidTr="007A74A5">
        <w:trPr>
          <w:trHeight w:val="409"/>
        </w:trPr>
        <w:tc>
          <w:tcPr>
            <w:tcW w:w="1539" w:type="dxa"/>
          </w:tcPr>
          <w:p w14:paraId="1033CD6A"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C0090/R0050</w:t>
            </w:r>
          </w:p>
        </w:tc>
        <w:tc>
          <w:tcPr>
            <w:tcW w:w="2074" w:type="dxa"/>
          </w:tcPr>
          <w:p w14:paraId="2E5C15E1"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 xml:space="preserve">Résultat - </w:t>
            </w:r>
            <w:r w:rsidRPr="004B4944">
              <w:rPr>
                <w:rFonts w:ascii="Times New Roman" w:hAnsi="Times New Roman" w:cs="Times New Roman"/>
                <w:bCs/>
                <w:sz w:val="20"/>
                <w:szCs w:val="20"/>
              </w:rPr>
              <w:t>Temporaires décès de durée inférieure ou égale à 3 ans</w:t>
            </w:r>
          </w:p>
        </w:tc>
        <w:tc>
          <w:tcPr>
            <w:tcW w:w="5403" w:type="dxa"/>
          </w:tcPr>
          <w:p w14:paraId="1DC01F53"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au montant des capitaux sous risques (temporaires décès de durée inférieure ou égale à 3 ans) bruts de cessions et rétrocessions en réassurance multiplié par la taux d’affaires directes multiplié par un coefficient de 0,10%</w:t>
            </w:r>
          </w:p>
        </w:tc>
      </w:tr>
      <w:tr w:rsidR="000743FF" w:rsidRPr="004B4944" w14:paraId="535E6411" w14:textId="77777777" w:rsidTr="007A74A5">
        <w:trPr>
          <w:trHeight w:val="409"/>
        </w:trPr>
        <w:tc>
          <w:tcPr>
            <w:tcW w:w="1539" w:type="dxa"/>
          </w:tcPr>
          <w:p w14:paraId="02CF392E"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C0090/R0020</w:t>
            </w:r>
          </w:p>
        </w:tc>
        <w:tc>
          <w:tcPr>
            <w:tcW w:w="2074" w:type="dxa"/>
          </w:tcPr>
          <w:p w14:paraId="62D15461" w14:textId="4FD7E44B"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Résultat</w:t>
            </w:r>
            <w:r w:rsidR="0086208A" w:rsidRPr="004B4944">
              <w:rPr>
                <w:rFonts w:ascii="Times New Roman" w:hAnsi="Times New Roman" w:cs="Times New Roman"/>
                <w:sz w:val="20"/>
                <w:szCs w:val="20"/>
              </w:rPr>
              <w:t xml:space="preserve"> </w:t>
            </w:r>
            <w:r w:rsidR="0086208A" w:rsidRPr="004B4944">
              <w:rPr>
                <w:rFonts w:ascii="Times New Roman" w:hAnsi="Times New Roman"/>
                <w:sz w:val="20"/>
              </w:rPr>
              <w:t>– Capitaux sous risques - supports euros</w:t>
            </w:r>
          </w:p>
        </w:tc>
        <w:tc>
          <w:tcPr>
            <w:tcW w:w="5403" w:type="dxa"/>
          </w:tcPr>
          <w:p w14:paraId="139EEFB3"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xml:space="preserve">Correspond à la somme des Résultat - Toutes assurances, sauf temporaires décès de durée inférieure ou égale à 5 ans, </w:t>
            </w:r>
            <w:r w:rsidRPr="004B4944">
              <w:rPr>
                <w:rFonts w:ascii="Times New Roman" w:hAnsi="Times New Roman" w:cs="Times New Roman"/>
                <w:sz w:val="20"/>
                <w:szCs w:val="20"/>
              </w:rPr>
              <w:t xml:space="preserve">Résultat - </w:t>
            </w:r>
            <w:r w:rsidRPr="004B4944">
              <w:rPr>
                <w:rFonts w:ascii="Times New Roman" w:hAnsi="Times New Roman" w:cs="Times New Roman"/>
                <w:bCs/>
                <w:sz w:val="20"/>
                <w:szCs w:val="20"/>
              </w:rPr>
              <w:t xml:space="preserve">Temporaires décès de durée supérieure à 3 ans et inférieure ou égale à 5 ans et </w:t>
            </w:r>
            <w:r w:rsidRPr="004B4944">
              <w:rPr>
                <w:rFonts w:ascii="Times New Roman" w:hAnsi="Times New Roman" w:cs="Times New Roman"/>
                <w:sz w:val="20"/>
                <w:szCs w:val="20"/>
              </w:rPr>
              <w:t xml:space="preserve">Résultat - </w:t>
            </w:r>
            <w:r w:rsidRPr="004B4944">
              <w:rPr>
                <w:rFonts w:ascii="Times New Roman" w:hAnsi="Times New Roman" w:cs="Times New Roman"/>
                <w:bCs/>
                <w:sz w:val="20"/>
                <w:szCs w:val="20"/>
              </w:rPr>
              <w:t>Temporaires décès de durée inférieure ou égale à 3 ans</w:t>
            </w:r>
          </w:p>
        </w:tc>
      </w:tr>
      <w:tr w:rsidR="000743FF" w:rsidRPr="004B4944" w14:paraId="5594E71E" w14:textId="77777777" w:rsidTr="007A74A5">
        <w:trPr>
          <w:trHeight w:val="409"/>
        </w:trPr>
        <w:tc>
          <w:tcPr>
            <w:tcW w:w="1539" w:type="dxa"/>
          </w:tcPr>
          <w:p w14:paraId="6731C94C" w14:textId="77777777" w:rsidR="00B922AE" w:rsidRPr="004B4944" w:rsidRDefault="00B922AE" w:rsidP="00D97517">
            <w:pPr>
              <w:rPr>
                <w:rFonts w:ascii="Times New Roman" w:hAnsi="Times New Roman"/>
                <w:sz w:val="20"/>
              </w:rPr>
            </w:pPr>
            <w:r w:rsidRPr="004B4944">
              <w:rPr>
                <w:rFonts w:ascii="Times New Roman" w:hAnsi="Times New Roman"/>
                <w:sz w:val="20"/>
              </w:rPr>
              <w:t>C0050/R0060</w:t>
            </w:r>
          </w:p>
        </w:tc>
        <w:tc>
          <w:tcPr>
            <w:tcW w:w="2074" w:type="dxa"/>
          </w:tcPr>
          <w:p w14:paraId="7C0462BD" w14:textId="77777777" w:rsidR="00B922AE" w:rsidRPr="004B4944" w:rsidRDefault="00B922AE" w:rsidP="00D97517">
            <w:pPr>
              <w:rPr>
                <w:rFonts w:ascii="Times New Roman" w:hAnsi="Times New Roman"/>
                <w:sz w:val="20"/>
              </w:rPr>
            </w:pPr>
            <w:r w:rsidRPr="004B4944">
              <w:rPr>
                <w:rFonts w:ascii="Times New Roman" w:hAnsi="Times New Roman"/>
                <w:sz w:val="20"/>
              </w:rPr>
              <w:t>Rapport de rétention – Provisions mathématiques  - UC et engagements donnant lieu à provisions de diversification</w:t>
            </w:r>
          </w:p>
        </w:tc>
        <w:tc>
          <w:tcPr>
            <w:tcW w:w="5403" w:type="dxa"/>
          </w:tcPr>
          <w:p w14:paraId="4F4CEFB6"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Rapport entre le montant des provisions mathématiques nettes de cessions et rétrocessions en réassurance et le montant des provisions mathématiques brutes des cessions et rétrocessions en réassurance.</w:t>
            </w:r>
          </w:p>
        </w:tc>
      </w:tr>
      <w:tr w:rsidR="000743FF" w:rsidRPr="004B4944" w14:paraId="268A4F91" w14:textId="77777777" w:rsidTr="007A74A5">
        <w:trPr>
          <w:trHeight w:val="409"/>
        </w:trPr>
        <w:tc>
          <w:tcPr>
            <w:tcW w:w="1539" w:type="dxa"/>
          </w:tcPr>
          <w:p w14:paraId="4C73471C"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color w:val="000000" w:themeColor="text1"/>
                <w:sz w:val="20"/>
                <w:szCs w:val="20"/>
              </w:rPr>
              <w:t>C0060/R0060</w:t>
            </w:r>
          </w:p>
        </w:tc>
        <w:tc>
          <w:tcPr>
            <w:tcW w:w="2074" w:type="dxa"/>
          </w:tcPr>
          <w:p w14:paraId="7D7BD582"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color w:val="000000" w:themeColor="text1"/>
                <w:sz w:val="20"/>
                <w:szCs w:val="20"/>
              </w:rPr>
              <w:t>Taux minimal</w:t>
            </w:r>
          </w:p>
        </w:tc>
        <w:tc>
          <w:tcPr>
            <w:tcW w:w="5403" w:type="dxa"/>
          </w:tcPr>
          <w:p w14:paraId="12BAE25A"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color w:val="000000" w:themeColor="text1"/>
                <w:sz w:val="20"/>
                <w:szCs w:val="20"/>
              </w:rPr>
              <w:t>Correspond à la valeur minimale du taux d’affaires directes, à savoir 85%</w:t>
            </w:r>
          </w:p>
        </w:tc>
      </w:tr>
      <w:tr w:rsidR="000743FF" w:rsidRPr="004B4944" w14:paraId="13CF2331" w14:textId="77777777" w:rsidTr="007A74A5">
        <w:trPr>
          <w:trHeight w:val="409"/>
        </w:trPr>
        <w:tc>
          <w:tcPr>
            <w:tcW w:w="1539" w:type="dxa"/>
          </w:tcPr>
          <w:p w14:paraId="231B4259"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C0070/R0060 à C0070/R0080</w:t>
            </w:r>
          </w:p>
        </w:tc>
        <w:tc>
          <w:tcPr>
            <w:tcW w:w="2074" w:type="dxa"/>
          </w:tcPr>
          <w:p w14:paraId="67CD0D8C"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Taux d’affaires directes</w:t>
            </w:r>
          </w:p>
        </w:tc>
        <w:tc>
          <w:tcPr>
            <w:tcW w:w="5403" w:type="dxa"/>
          </w:tcPr>
          <w:p w14:paraId="408D9D0F"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Correspond au maximum entre le rapport de rétention et le taux minimal. Le taux d’affaires directes ne peut être supérieur à 100%.</w:t>
            </w:r>
          </w:p>
        </w:tc>
      </w:tr>
      <w:tr w:rsidR="000743FF" w:rsidRPr="004B4944" w14:paraId="51052B8B" w14:textId="77777777" w:rsidTr="007A74A5">
        <w:trPr>
          <w:trHeight w:val="409"/>
        </w:trPr>
        <w:tc>
          <w:tcPr>
            <w:tcW w:w="1539" w:type="dxa"/>
          </w:tcPr>
          <w:p w14:paraId="0C85C102"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C0090/R0070</w:t>
            </w:r>
          </w:p>
        </w:tc>
        <w:tc>
          <w:tcPr>
            <w:tcW w:w="2074" w:type="dxa"/>
          </w:tcPr>
          <w:p w14:paraId="024A11AB"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bCs/>
                <w:color w:val="000000" w:themeColor="text1"/>
                <w:sz w:val="20"/>
                <w:szCs w:val="20"/>
              </w:rPr>
              <w:t>Résultat - Avec risque de placement</w:t>
            </w:r>
          </w:p>
        </w:tc>
        <w:tc>
          <w:tcPr>
            <w:tcW w:w="5403" w:type="dxa"/>
          </w:tcPr>
          <w:p w14:paraId="6E94797A"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bCs/>
                <w:color w:val="000000" w:themeColor="text1"/>
                <w:sz w:val="20"/>
                <w:szCs w:val="20"/>
              </w:rPr>
              <w:t>Correspond au montant des provisions mathématiques brutes des cessions et rétrocessions en réassurance multiplié par le taux d’affaires directes multiplié par un coefficient de 4%</w:t>
            </w:r>
          </w:p>
        </w:tc>
      </w:tr>
      <w:tr w:rsidR="000743FF" w:rsidRPr="004B4944" w14:paraId="22D6B8DD" w14:textId="77777777" w:rsidTr="007A74A5">
        <w:trPr>
          <w:trHeight w:val="409"/>
        </w:trPr>
        <w:tc>
          <w:tcPr>
            <w:tcW w:w="1539" w:type="dxa"/>
          </w:tcPr>
          <w:p w14:paraId="4E644564"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C0090/R0080</w:t>
            </w:r>
          </w:p>
        </w:tc>
        <w:tc>
          <w:tcPr>
            <w:tcW w:w="2074" w:type="dxa"/>
          </w:tcPr>
          <w:p w14:paraId="77C6FB9F"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 xml:space="preserve">Résultat - </w:t>
            </w:r>
            <w:r w:rsidRPr="004B4944">
              <w:rPr>
                <w:rFonts w:ascii="Times New Roman" w:hAnsi="Times New Roman" w:cs="Times New Roman"/>
                <w:bCs/>
                <w:color w:val="000000" w:themeColor="text1"/>
                <w:sz w:val="20"/>
                <w:szCs w:val="20"/>
              </w:rPr>
              <w:t>Sans risque de placement lorsque le contrat a une durée supérieure à 5 ans et que les frais de gestion sont fixés pour plus de 5 ans</w:t>
            </w:r>
          </w:p>
        </w:tc>
        <w:tc>
          <w:tcPr>
            <w:tcW w:w="5403" w:type="dxa"/>
          </w:tcPr>
          <w:p w14:paraId="27AFEAFD" w14:textId="77777777" w:rsidR="00B922AE" w:rsidRPr="004B4944" w:rsidRDefault="00B922AE" w:rsidP="00D97517">
            <w:pPr>
              <w:rPr>
                <w:rFonts w:ascii="Times New Roman" w:hAnsi="Times New Roman" w:cs="Times New Roman"/>
                <w:bCs/>
                <w:color w:val="000000" w:themeColor="text1"/>
                <w:sz w:val="20"/>
                <w:szCs w:val="20"/>
              </w:rPr>
            </w:pPr>
            <w:r w:rsidRPr="004B4944">
              <w:rPr>
                <w:rFonts w:ascii="Times New Roman" w:hAnsi="Times New Roman" w:cs="Times New Roman"/>
                <w:bCs/>
                <w:color w:val="000000" w:themeColor="text1"/>
                <w:sz w:val="20"/>
                <w:szCs w:val="20"/>
              </w:rPr>
              <w:t>Correspond au montant des provisions mathématiques brutes des cessions et rétrocessions en réassurance multiplié par le taux d’affaires directes multiplié par un coefficient de 1%</w:t>
            </w:r>
          </w:p>
        </w:tc>
      </w:tr>
      <w:tr w:rsidR="000743FF" w:rsidRPr="004B4944" w14:paraId="1F2B4CFC" w14:textId="77777777" w:rsidTr="007A74A5">
        <w:trPr>
          <w:trHeight w:val="409"/>
        </w:trPr>
        <w:tc>
          <w:tcPr>
            <w:tcW w:w="1539" w:type="dxa"/>
          </w:tcPr>
          <w:p w14:paraId="227EBEAB"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C0090/R0060</w:t>
            </w:r>
          </w:p>
        </w:tc>
        <w:tc>
          <w:tcPr>
            <w:tcW w:w="2074" w:type="dxa"/>
          </w:tcPr>
          <w:p w14:paraId="73656B6D" w14:textId="38C81D5E"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color w:val="000000" w:themeColor="text1"/>
                <w:sz w:val="20"/>
                <w:szCs w:val="20"/>
              </w:rPr>
              <w:t>Résultat</w:t>
            </w:r>
            <w:r w:rsidR="0086208A" w:rsidRPr="004B4944">
              <w:rPr>
                <w:rFonts w:ascii="Times New Roman" w:hAnsi="Times New Roman" w:cs="Times New Roman"/>
                <w:color w:val="000000" w:themeColor="text1"/>
                <w:sz w:val="20"/>
                <w:szCs w:val="20"/>
              </w:rPr>
              <w:t xml:space="preserve"> </w:t>
            </w:r>
            <w:r w:rsidR="0086208A" w:rsidRPr="004B4944">
              <w:rPr>
                <w:rFonts w:ascii="Times New Roman" w:hAnsi="Times New Roman"/>
                <w:sz w:val="20"/>
              </w:rPr>
              <w:t>– Capitaux sous risques - supports euros</w:t>
            </w:r>
          </w:p>
        </w:tc>
        <w:tc>
          <w:tcPr>
            <w:tcW w:w="5403" w:type="dxa"/>
          </w:tcPr>
          <w:p w14:paraId="14D7357A" w14:textId="3AB95EA1" w:rsidR="00B922AE" w:rsidRPr="004B4944" w:rsidRDefault="00B922AE" w:rsidP="000743FF">
            <w:pPr>
              <w:rPr>
                <w:rFonts w:ascii="Times New Roman" w:hAnsi="Times New Roman" w:cs="Times New Roman"/>
                <w:bCs/>
                <w:color w:val="000000" w:themeColor="text1"/>
                <w:sz w:val="20"/>
                <w:szCs w:val="20"/>
              </w:rPr>
            </w:pPr>
            <w:r w:rsidRPr="004B4944">
              <w:rPr>
                <w:rFonts w:ascii="Times New Roman" w:hAnsi="Times New Roman" w:cs="Times New Roman"/>
                <w:bCs/>
                <w:color w:val="000000" w:themeColor="text1"/>
                <w:sz w:val="20"/>
                <w:szCs w:val="20"/>
              </w:rPr>
              <w:t xml:space="preserve">Correspond à la somme du Résultat - Avec risque de placement et du </w:t>
            </w:r>
            <w:r w:rsidRPr="004B4944">
              <w:rPr>
                <w:rFonts w:ascii="Times New Roman" w:hAnsi="Times New Roman" w:cs="Times New Roman"/>
                <w:color w:val="000000" w:themeColor="text1"/>
                <w:sz w:val="20"/>
                <w:szCs w:val="20"/>
              </w:rPr>
              <w:t xml:space="preserve">Résultat - </w:t>
            </w:r>
            <w:r w:rsidRPr="004B4944">
              <w:rPr>
                <w:rFonts w:ascii="Times New Roman" w:hAnsi="Times New Roman" w:cs="Times New Roman"/>
                <w:bCs/>
                <w:color w:val="000000" w:themeColor="text1"/>
                <w:sz w:val="20"/>
                <w:szCs w:val="20"/>
              </w:rPr>
              <w:t xml:space="preserve">Sans risque de placement lorsque le contrat a une durée supérieure à 5 ans et que les frais de gestion sont fixés </w:t>
            </w:r>
            <w:r w:rsidR="000743FF" w:rsidRPr="004B4944">
              <w:rPr>
                <w:rFonts w:ascii="Times New Roman" w:hAnsi="Times New Roman" w:cs="Times New Roman"/>
                <w:bCs/>
                <w:color w:val="000000" w:themeColor="text1"/>
                <w:sz w:val="20"/>
                <w:szCs w:val="20"/>
              </w:rPr>
              <w:t>pour plus de 5 ans</w:t>
            </w:r>
          </w:p>
        </w:tc>
      </w:tr>
      <w:tr w:rsidR="000743FF" w:rsidRPr="004B4944" w14:paraId="2DF981A8" w14:textId="77777777" w:rsidTr="007A74A5">
        <w:trPr>
          <w:trHeight w:val="409"/>
        </w:trPr>
        <w:tc>
          <w:tcPr>
            <w:tcW w:w="1539" w:type="dxa"/>
          </w:tcPr>
          <w:p w14:paraId="5B3513D8"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sz w:val="20"/>
              </w:rPr>
              <w:lastRenderedPageBreak/>
              <w:t>C0050/R0090</w:t>
            </w:r>
          </w:p>
        </w:tc>
        <w:tc>
          <w:tcPr>
            <w:tcW w:w="2074" w:type="dxa"/>
          </w:tcPr>
          <w:p w14:paraId="1E473D6E"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sz w:val="20"/>
              </w:rPr>
              <w:t>Rapport de rétention – Capitaux sous risques non négatifs - UC et engagements donnant lieu à provisions de diversification</w:t>
            </w:r>
          </w:p>
        </w:tc>
        <w:tc>
          <w:tcPr>
            <w:tcW w:w="5403" w:type="dxa"/>
          </w:tcPr>
          <w:p w14:paraId="2E0C7762"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Rapport entre le montant des capitaux sous risques nets de cessions et rétrocessions en réassurance et le montant des capitaux sous risques non négatifs bruts de cessions et rétrocessions en réassurance.</w:t>
            </w:r>
          </w:p>
          <w:p w14:paraId="2F4CBCF3" w14:textId="77777777" w:rsidR="00B922AE" w:rsidRPr="004B4944" w:rsidRDefault="00B922AE" w:rsidP="00D97517">
            <w:pPr>
              <w:rPr>
                <w:rFonts w:ascii="Times New Roman" w:hAnsi="Times New Roman" w:cs="Times New Roman"/>
                <w:color w:val="000000" w:themeColor="text1"/>
                <w:sz w:val="20"/>
                <w:szCs w:val="20"/>
              </w:rPr>
            </w:pPr>
          </w:p>
        </w:tc>
      </w:tr>
      <w:tr w:rsidR="000743FF" w:rsidRPr="004B4944" w14:paraId="758CAAF9" w14:textId="77777777" w:rsidTr="007A74A5">
        <w:trPr>
          <w:trHeight w:val="409"/>
        </w:trPr>
        <w:tc>
          <w:tcPr>
            <w:tcW w:w="1539" w:type="dxa"/>
          </w:tcPr>
          <w:p w14:paraId="57EFD987"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sz w:val="20"/>
                <w:szCs w:val="20"/>
              </w:rPr>
              <w:t>C0060/R0090</w:t>
            </w:r>
          </w:p>
        </w:tc>
        <w:tc>
          <w:tcPr>
            <w:tcW w:w="2074" w:type="dxa"/>
          </w:tcPr>
          <w:p w14:paraId="27790588"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sz w:val="20"/>
                <w:szCs w:val="20"/>
              </w:rPr>
              <w:t>Taux minimal</w:t>
            </w:r>
          </w:p>
        </w:tc>
        <w:tc>
          <w:tcPr>
            <w:tcW w:w="5403" w:type="dxa"/>
          </w:tcPr>
          <w:p w14:paraId="68D6050D"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sz w:val="20"/>
                <w:szCs w:val="20"/>
              </w:rPr>
              <w:t>Correspond à la valeur minimale du taux d’affaires directes, à savoir 50%</w:t>
            </w:r>
          </w:p>
        </w:tc>
      </w:tr>
      <w:tr w:rsidR="000743FF" w:rsidRPr="004B4944" w14:paraId="3642E234" w14:textId="77777777" w:rsidTr="007A74A5">
        <w:trPr>
          <w:trHeight w:val="409"/>
        </w:trPr>
        <w:tc>
          <w:tcPr>
            <w:tcW w:w="1539" w:type="dxa"/>
          </w:tcPr>
          <w:p w14:paraId="3087F7D6"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 xml:space="preserve">C0070/R0090 </w:t>
            </w:r>
          </w:p>
        </w:tc>
        <w:tc>
          <w:tcPr>
            <w:tcW w:w="2074" w:type="dxa"/>
          </w:tcPr>
          <w:p w14:paraId="6B3B9D70"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Taux d’affaires directes</w:t>
            </w:r>
          </w:p>
        </w:tc>
        <w:tc>
          <w:tcPr>
            <w:tcW w:w="5403" w:type="dxa"/>
          </w:tcPr>
          <w:p w14:paraId="6913C394"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Correspond au maximum entre le rapport de rétention et le taux minimal. Le taux d’affaires directes ne peut être supérieur à 100%.</w:t>
            </w:r>
          </w:p>
        </w:tc>
      </w:tr>
      <w:tr w:rsidR="000743FF" w:rsidRPr="004B4944" w14:paraId="3B84C9F4" w14:textId="77777777" w:rsidTr="007A74A5">
        <w:trPr>
          <w:trHeight w:val="409"/>
        </w:trPr>
        <w:tc>
          <w:tcPr>
            <w:tcW w:w="1539" w:type="dxa"/>
          </w:tcPr>
          <w:p w14:paraId="3EECABC6"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C0090/R0090</w:t>
            </w:r>
          </w:p>
        </w:tc>
        <w:tc>
          <w:tcPr>
            <w:tcW w:w="2074" w:type="dxa"/>
          </w:tcPr>
          <w:p w14:paraId="18869E54"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bCs/>
                <w:sz w:val="20"/>
                <w:szCs w:val="20"/>
              </w:rPr>
              <w:t xml:space="preserve">Résultat - </w:t>
            </w:r>
            <w:r w:rsidRPr="004B4944">
              <w:rPr>
                <w:rFonts w:ascii="Times New Roman" w:hAnsi="Times New Roman"/>
                <w:sz w:val="20"/>
              </w:rPr>
              <w:t>Capitaux sous risques non négatifs - UC et engagements donnant lieu à provisions de diversification</w:t>
            </w:r>
          </w:p>
        </w:tc>
        <w:tc>
          <w:tcPr>
            <w:tcW w:w="5403" w:type="dxa"/>
          </w:tcPr>
          <w:p w14:paraId="7F74B65B"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bCs/>
                <w:sz w:val="20"/>
                <w:szCs w:val="20"/>
              </w:rPr>
              <w:t>Correspond au montant des capitaux sous risques non négatifs bruts de cessions et rétrocessions en réassurance multiplié par le taux d’affaires directes multiplié par un coefficient de 0,30%</w:t>
            </w:r>
          </w:p>
        </w:tc>
      </w:tr>
      <w:tr w:rsidR="000743FF" w:rsidRPr="004B4944" w14:paraId="378BB225" w14:textId="77777777" w:rsidTr="007A74A5">
        <w:trPr>
          <w:trHeight w:val="804"/>
        </w:trPr>
        <w:tc>
          <w:tcPr>
            <w:tcW w:w="1539" w:type="dxa"/>
          </w:tcPr>
          <w:p w14:paraId="70446A15" w14:textId="7172A394" w:rsidR="00B922AE" w:rsidRPr="004B4944" w:rsidRDefault="007A74A5" w:rsidP="000743FF">
            <w:pPr>
              <w:rPr>
                <w:rFonts w:ascii="Times New Roman" w:hAnsi="Times New Roman" w:cs="Times New Roman"/>
                <w:sz w:val="20"/>
                <w:szCs w:val="20"/>
              </w:rPr>
            </w:pPr>
            <w:r w:rsidRPr="004B4944">
              <w:rPr>
                <w:rFonts w:ascii="Times New Roman" w:hAnsi="Times New Roman" w:cs="Times New Roman"/>
                <w:sz w:val="20"/>
                <w:szCs w:val="20"/>
              </w:rPr>
              <w:t>C0010/R0100 et C0030/R0100</w:t>
            </w:r>
          </w:p>
        </w:tc>
        <w:tc>
          <w:tcPr>
            <w:tcW w:w="2074" w:type="dxa"/>
          </w:tcPr>
          <w:p w14:paraId="0BA69CAC"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 xml:space="preserve"> (a) Provision mathématique théorique (R. 441-21)</w:t>
            </w:r>
          </w:p>
        </w:tc>
        <w:tc>
          <w:tcPr>
            <w:tcW w:w="5403" w:type="dxa"/>
          </w:tcPr>
          <w:p w14:paraId="11D51B79" w14:textId="0AF38E11" w:rsidR="00B922AE" w:rsidRPr="004B4944" w:rsidRDefault="00B922AE" w:rsidP="0086208A">
            <w:pPr>
              <w:rPr>
                <w:rFonts w:ascii="Times New Roman" w:hAnsi="Times New Roman" w:cs="Times New Roman"/>
                <w:bCs/>
                <w:sz w:val="20"/>
                <w:szCs w:val="20"/>
              </w:rPr>
            </w:pPr>
            <w:r w:rsidRPr="004B4944">
              <w:rPr>
                <w:rFonts w:ascii="Times New Roman" w:hAnsi="Times New Roman" w:cs="Times New Roman"/>
                <w:bCs/>
                <w:sz w:val="20"/>
                <w:szCs w:val="20"/>
              </w:rPr>
              <w:t>Indiquer le montant de la provision mathématique théorique définie à l’article R. 441-21 du code des assurances (affaires directes [C00</w:t>
            </w:r>
            <w:r w:rsidR="0086208A" w:rsidRPr="004B4944">
              <w:rPr>
                <w:rFonts w:ascii="Times New Roman" w:hAnsi="Times New Roman" w:cs="Times New Roman"/>
                <w:bCs/>
                <w:sz w:val="20"/>
                <w:szCs w:val="20"/>
              </w:rPr>
              <w:t>7</w:t>
            </w:r>
            <w:r w:rsidRPr="004B4944">
              <w:rPr>
                <w:rFonts w:ascii="Times New Roman" w:hAnsi="Times New Roman" w:cs="Times New Roman"/>
                <w:bCs/>
                <w:sz w:val="20"/>
                <w:szCs w:val="20"/>
              </w:rPr>
              <w:t>0], et acceptations [C0030]).</w:t>
            </w:r>
          </w:p>
        </w:tc>
      </w:tr>
      <w:tr w:rsidR="000743FF" w:rsidRPr="004B4944" w14:paraId="12D82AD9" w14:textId="77777777" w:rsidTr="007A74A5">
        <w:trPr>
          <w:trHeight w:val="1694"/>
        </w:trPr>
        <w:tc>
          <w:tcPr>
            <w:tcW w:w="1539" w:type="dxa"/>
          </w:tcPr>
          <w:p w14:paraId="053E1055" w14:textId="5D68BA45" w:rsidR="00B922AE" w:rsidRPr="004B4944" w:rsidRDefault="007A74A5" w:rsidP="007A74A5">
            <w:pPr>
              <w:rPr>
                <w:rFonts w:ascii="Times New Roman" w:hAnsi="Times New Roman" w:cs="Times New Roman"/>
                <w:sz w:val="20"/>
                <w:szCs w:val="20"/>
              </w:rPr>
            </w:pPr>
            <w:r w:rsidRPr="004B4944">
              <w:rPr>
                <w:rFonts w:ascii="Times New Roman" w:hAnsi="Times New Roman" w:cs="Times New Roman"/>
                <w:sz w:val="20"/>
                <w:szCs w:val="20"/>
              </w:rPr>
              <w:t>C0010/R0110 et C0030/R0110</w:t>
            </w:r>
          </w:p>
        </w:tc>
        <w:tc>
          <w:tcPr>
            <w:tcW w:w="2074" w:type="dxa"/>
          </w:tcPr>
          <w:p w14:paraId="39054D05"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 xml:space="preserve"> (b) Provision technique spéciale nette retenue pour le calcul de l’EMS</w:t>
            </w:r>
          </w:p>
        </w:tc>
        <w:tc>
          <w:tcPr>
            <w:tcW w:w="5403" w:type="dxa"/>
          </w:tcPr>
          <w:p w14:paraId="1B687EE0" w14:textId="160266CB" w:rsidR="00B922AE" w:rsidRPr="004B4944" w:rsidRDefault="00B922AE" w:rsidP="0086208A">
            <w:pPr>
              <w:rPr>
                <w:rFonts w:ascii="Times New Roman" w:hAnsi="Times New Roman" w:cs="Times New Roman"/>
                <w:bCs/>
                <w:sz w:val="20"/>
                <w:szCs w:val="20"/>
              </w:rPr>
            </w:pPr>
            <w:r w:rsidRPr="004B4944">
              <w:rPr>
                <w:rFonts w:ascii="Times New Roman" w:hAnsi="Times New Roman" w:cs="Times New Roman"/>
                <w:bCs/>
                <w:sz w:val="20"/>
                <w:szCs w:val="20"/>
              </w:rPr>
              <w:t>Indiquer le montant de la provision technique spéciale définie au 1° de l’article R. 441-7 du code des assurances (affaires directes [C00</w:t>
            </w:r>
            <w:r w:rsidR="0086208A" w:rsidRPr="004B4944">
              <w:rPr>
                <w:rFonts w:ascii="Times New Roman" w:hAnsi="Times New Roman" w:cs="Times New Roman"/>
                <w:bCs/>
                <w:sz w:val="20"/>
                <w:szCs w:val="20"/>
              </w:rPr>
              <w:t>7</w:t>
            </w:r>
            <w:r w:rsidRPr="004B4944">
              <w:rPr>
                <w:rFonts w:ascii="Times New Roman" w:hAnsi="Times New Roman" w:cs="Times New Roman"/>
                <w:bCs/>
                <w:sz w:val="20"/>
                <w:szCs w:val="20"/>
              </w:rPr>
              <w:t>0], et acceptations [C0030]), nette de cessions, telle que le rapport entre la provision technique spéciale brute de réassurance et cette même provision nette de réassurance ne puisse être inférieur à 85 % (conformément au a) du 5° de l’article R. 385-2 du code des assurances).</w:t>
            </w:r>
          </w:p>
        </w:tc>
      </w:tr>
      <w:tr w:rsidR="007A74A5" w:rsidRPr="004B4944" w14:paraId="359A1B50" w14:textId="77777777" w:rsidTr="007A74A5">
        <w:trPr>
          <w:trHeight w:val="995"/>
        </w:trPr>
        <w:tc>
          <w:tcPr>
            <w:tcW w:w="1539" w:type="dxa"/>
          </w:tcPr>
          <w:p w14:paraId="09F087A6" w14:textId="032AB856" w:rsidR="007A74A5" w:rsidRPr="004B4944" w:rsidRDefault="007A74A5" w:rsidP="007A74A5">
            <w:pPr>
              <w:rPr>
                <w:rFonts w:ascii="Times New Roman" w:hAnsi="Times New Roman" w:cs="Times New Roman"/>
                <w:sz w:val="20"/>
                <w:szCs w:val="20"/>
              </w:rPr>
            </w:pPr>
            <w:r w:rsidRPr="004B4944">
              <w:rPr>
                <w:rFonts w:ascii="Times New Roman" w:hAnsi="Times New Roman" w:cs="Times New Roman"/>
                <w:sz w:val="20"/>
                <w:szCs w:val="20"/>
              </w:rPr>
              <w:t>C0010/R0120 et C0030/R0120</w:t>
            </w:r>
          </w:p>
        </w:tc>
        <w:tc>
          <w:tcPr>
            <w:tcW w:w="2074" w:type="dxa"/>
          </w:tcPr>
          <w:p w14:paraId="6B90A359" w14:textId="77777777" w:rsidR="007A74A5" w:rsidRPr="004B4944" w:rsidRDefault="007A74A5" w:rsidP="007A74A5">
            <w:pPr>
              <w:rPr>
                <w:rFonts w:ascii="Times New Roman" w:hAnsi="Times New Roman" w:cs="Times New Roman"/>
                <w:sz w:val="20"/>
                <w:szCs w:val="20"/>
              </w:rPr>
            </w:pPr>
            <w:r w:rsidRPr="004B4944">
              <w:rPr>
                <w:rFonts w:ascii="Times New Roman" w:hAnsi="Times New Roman" w:cs="Times New Roman"/>
                <w:sz w:val="20"/>
                <w:szCs w:val="20"/>
              </w:rPr>
              <w:t xml:space="preserve"> (c) PVL ou MVL nettes des actifs en représentation de la PTS</w:t>
            </w:r>
          </w:p>
        </w:tc>
        <w:tc>
          <w:tcPr>
            <w:tcW w:w="5403" w:type="dxa"/>
          </w:tcPr>
          <w:p w14:paraId="26D78871" w14:textId="4296A081" w:rsidR="007A74A5" w:rsidRPr="004B4944" w:rsidRDefault="007A74A5" w:rsidP="007A74A5">
            <w:pPr>
              <w:rPr>
                <w:rFonts w:ascii="Times New Roman" w:hAnsi="Times New Roman" w:cs="Times New Roman"/>
                <w:bCs/>
                <w:sz w:val="20"/>
                <w:szCs w:val="20"/>
              </w:rPr>
            </w:pPr>
            <w:r w:rsidRPr="004B4944">
              <w:rPr>
                <w:rFonts w:ascii="Times New Roman" w:hAnsi="Times New Roman" w:cs="Times New Roman"/>
                <w:bCs/>
                <w:sz w:val="20"/>
                <w:szCs w:val="20"/>
              </w:rPr>
              <w:t>Indiquer le montant des plus-values ou moins-values latentes nettes sur les actifs affectés à la provision technique spéciale, mentionnées au b) du 5° de l’article R. 385-2 du code des assurances (affaires directes [C0070], et acceptations [C0030]).</w:t>
            </w:r>
          </w:p>
        </w:tc>
      </w:tr>
      <w:tr w:rsidR="007A74A5" w:rsidRPr="004B4944" w14:paraId="66728A70" w14:textId="77777777" w:rsidTr="007A74A5">
        <w:trPr>
          <w:trHeight w:val="826"/>
        </w:trPr>
        <w:tc>
          <w:tcPr>
            <w:tcW w:w="1539" w:type="dxa"/>
          </w:tcPr>
          <w:p w14:paraId="741691BE" w14:textId="590C5EDF" w:rsidR="007A74A5" w:rsidRPr="004B4944" w:rsidRDefault="007A74A5" w:rsidP="007A74A5">
            <w:pPr>
              <w:rPr>
                <w:rFonts w:ascii="Times New Roman" w:hAnsi="Times New Roman" w:cs="Times New Roman"/>
                <w:sz w:val="20"/>
                <w:szCs w:val="20"/>
              </w:rPr>
            </w:pPr>
            <w:r w:rsidRPr="004B4944">
              <w:rPr>
                <w:rFonts w:ascii="Times New Roman" w:hAnsi="Times New Roman" w:cs="Times New Roman"/>
                <w:sz w:val="20"/>
                <w:szCs w:val="20"/>
              </w:rPr>
              <w:t>C0010/R0130 et C0030/R0130</w:t>
            </w:r>
          </w:p>
        </w:tc>
        <w:tc>
          <w:tcPr>
            <w:tcW w:w="2074" w:type="dxa"/>
          </w:tcPr>
          <w:p w14:paraId="20E22361" w14:textId="77777777" w:rsidR="007A74A5" w:rsidRPr="004B4944" w:rsidRDefault="007A74A5" w:rsidP="007A74A5">
            <w:pPr>
              <w:rPr>
                <w:rFonts w:ascii="Times New Roman" w:hAnsi="Times New Roman" w:cs="Times New Roman"/>
                <w:sz w:val="20"/>
                <w:szCs w:val="20"/>
              </w:rPr>
            </w:pPr>
            <w:r w:rsidRPr="004B4944">
              <w:rPr>
                <w:rFonts w:ascii="Times New Roman" w:hAnsi="Times New Roman" w:cs="Times New Roman"/>
                <w:sz w:val="20"/>
                <w:szCs w:val="20"/>
              </w:rPr>
              <w:t xml:space="preserve"> (d) Provision technique spéciale complémentaire</w:t>
            </w:r>
          </w:p>
        </w:tc>
        <w:tc>
          <w:tcPr>
            <w:tcW w:w="5403" w:type="dxa"/>
          </w:tcPr>
          <w:p w14:paraId="1E7415BC" w14:textId="771FD5C4" w:rsidR="007A74A5" w:rsidRPr="004B4944" w:rsidRDefault="007A74A5" w:rsidP="007A74A5">
            <w:pPr>
              <w:rPr>
                <w:rFonts w:ascii="Times New Roman" w:hAnsi="Times New Roman" w:cs="Times New Roman"/>
                <w:bCs/>
                <w:sz w:val="20"/>
                <w:szCs w:val="20"/>
              </w:rPr>
            </w:pPr>
            <w:r w:rsidRPr="004B4944">
              <w:rPr>
                <w:rFonts w:ascii="Times New Roman" w:hAnsi="Times New Roman" w:cs="Times New Roman"/>
                <w:bCs/>
                <w:sz w:val="20"/>
                <w:szCs w:val="20"/>
              </w:rPr>
              <w:t>Indiquer le montant de la provision technique spéciale  complémentaire définie au 2° de l’article R. 441-7, (affaires directes [C0070], et acceptations [C0030]).</w:t>
            </w:r>
          </w:p>
        </w:tc>
      </w:tr>
      <w:tr w:rsidR="007A74A5" w:rsidRPr="004B4944" w14:paraId="386BA0F3" w14:textId="77777777" w:rsidTr="007A74A5">
        <w:trPr>
          <w:trHeight w:val="852"/>
        </w:trPr>
        <w:tc>
          <w:tcPr>
            <w:tcW w:w="1539" w:type="dxa"/>
          </w:tcPr>
          <w:p w14:paraId="5335CCEB" w14:textId="7AE7C2B7" w:rsidR="007A74A5" w:rsidRPr="004B4944" w:rsidRDefault="007A74A5" w:rsidP="0069204A">
            <w:pPr>
              <w:rPr>
                <w:rFonts w:ascii="Times New Roman" w:hAnsi="Times New Roman" w:cs="Times New Roman"/>
                <w:sz w:val="20"/>
                <w:szCs w:val="20"/>
              </w:rPr>
            </w:pPr>
            <w:r w:rsidRPr="004B4944">
              <w:rPr>
                <w:rFonts w:ascii="Times New Roman" w:hAnsi="Times New Roman" w:cs="Times New Roman"/>
                <w:sz w:val="20"/>
                <w:szCs w:val="20"/>
              </w:rPr>
              <w:t>C0010/R01</w:t>
            </w:r>
            <w:r w:rsidR="0069204A" w:rsidRPr="004B4944">
              <w:rPr>
                <w:rFonts w:ascii="Times New Roman" w:hAnsi="Times New Roman" w:cs="Times New Roman"/>
                <w:sz w:val="20"/>
                <w:szCs w:val="20"/>
              </w:rPr>
              <w:t>4</w:t>
            </w:r>
            <w:r w:rsidRPr="004B4944">
              <w:rPr>
                <w:rFonts w:ascii="Times New Roman" w:hAnsi="Times New Roman" w:cs="Times New Roman"/>
                <w:sz w:val="20"/>
                <w:szCs w:val="20"/>
              </w:rPr>
              <w:t>0 et C</w:t>
            </w:r>
            <w:r w:rsidR="0069204A" w:rsidRPr="004B4944">
              <w:rPr>
                <w:rFonts w:ascii="Times New Roman" w:hAnsi="Times New Roman" w:cs="Times New Roman"/>
                <w:sz w:val="20"/>
                <w:szCs w:val="20"/>
              </w:rPr>
              <w:t>0</w:t>
            </w:r>
            <w:r w:rsidRPr="004B4944">
              <w:rPr>
                <w:rFonts w:ascii="Times New Roman" w:hAnsi="Times New Roman" w:cs="Times New Roman"/>
                <w:sz w:val="20"/>
                <w:szCs w:val="20"/>
              </w:rPr>
              <w:t>030/R01</w:t>
            </w:r>
            <w:r w:rsidR="0069204A" w:rsidRPr="004B4944">
              <w:rPr>
                <w:rFonts w:ascii="Times New Roman" w:hAnsi="Times New Roman" w:cs="Times New Roman"/>
                <w:sz w:val="20"/>
                <w:szCs w:val="20"/>
              </w:rPr>
              <w:t>4</w:t>
            </w:r>
            <w:r w:rsidRPr="004B4944">
              <w:rPr>
                <w:rFonts w:ascii="Times New Roman" w:hAnsi="Times New Roman" w:cs="Times New Roman"/>
                <w:sz w:val="20"/>
                <w:szCs w:val="20"/>
              </w:rPr>
              <w:t>0</w:t>
            </w:r>
          </w:p>
        </w:tc>
        <w:tc>
          <w:tcPr>
            <w:tcW w:w="2074" w:type="dxa"/>
          </w:tcPr>
          <w:p w14:paraId="5203323B" w14:textId="77777777" w:rsidR="007A74A5" w:rsidRPr="004B4944" w:rsidRDefault="007A74A5" w:rsidP="007A74A5">
            <w:pPr>
              <w:rPr>
                <w:rFonts w:ascii="Times New Roman" w:hAnsi="Times New Roman" w:cs="Times New Roman"/>
                <w:sz w:val="20"/>
                <w:szCs w:val="20"/>
              </w:rPr>
            </w:pPr>
            <w:r w:rsidRPr="004B4944">
              <w:rPr>
                <w:rFonts w:ascii="Times New Roman" w:hAnsi="Times New Roman" w:cs="Times New Roman"/>
                <w:sz w:val="20"/>
                <w:szCs w:val="20"/>
              </w:rPr>
              <w:t xml:space="preserve"> (e) Provision technique spéciale de retournement</w:t>
            </w:r>
          </w:p>
        </w:tc>
        <w:tc>
          <w:tcPr>
            <w:tcW w:w="5403" w:type="dxa"/>
          </w:tcPr>
          <w:p w14:paraId="5FAAD99F" w14:textId="663B814B" w:rsidR="007A74A5" w:rsidRPr="004B4944" w:rsidRDefault="007A74A5" w:rsidP="007A74A5">
            <w:pPr>
              <w:rPr>
                <w:rFonts w:ascii="Times New Roman" w:hAnsi="Times New Roman" w:cs="Times New Roman"/>
                <w:bCs/>
                <w:sz w:val="20"/>
                <w:szCs w:val="20"/>
              </w:rPr>
            </w:pPr>
            <w:r w:rsidRPr="004B4944">
              <w:rPr>
                <w:rFonts w:ascii="Times New Roman" w:hAnsi="Times New Roman" w:cs="Times New Roman"/>
                <w:bCs/>
                <w:sz w:val="20"/>
                <w:szCs w:val="20"/>
              </w:rPr>
              <w:t>Indiquer (le montant de la provision technique spéciale  de retournement définie au 3° de l’article R. 441-7, (affaires directes [C0070], et acceptations [C0030]).</w:t>
            </w:r>
          </w:p>
        </w:tc>
      </w:tr>
      <w:tr w:rsidR="000743FF" w:rsidRPr="004B4944" w14:paraId="586D5A9E" w14:textId="77777777" w:rsidTr="007A74A5">
        <w:trPr>
          <w:trHeight w:val="409"/>
        </w:trPr>
        <w:tc>
          <w:tcPr>
            <w:tcW w:w="1539" w:type="dxa"/>
          </w:tcPr>
          <w:p w14:paraId="140A4B3E" w14:textId="63DFC12A" w:rsidR="00B922AE" w:rsidRPr="004B4944" w:rsidRDefault="0069204A" w:rsidP="0069204A">
            <w:pPr>
              <w:rPr>
                <w:rFonts w:ascii="Times New Roman" w:hAnsi="Times New Roman" w:cs="Times New Roman"/>
                <w:sz w:val="20"/>
                <w:szCs w:val="20"/>
              </w:rPr>
            </w:pPr>
            <w:r w:rsidRPr="004B4944">
              <w:rPr>
                <w:rFonts w:ascii="Times New Roman" w:hAnsi="Times New Roman" w:cs="Times New Roman"/>
                <w:sz w:val="20"/>
                <w:szCs w:val="20"/>
              </w:rPr>
              <w:t>C0010/R0150 et C0030/R0150</w:t>
            </w:r>
          </w:p>
        </w:tc>
        <w:tc>
          <w:tcPr>
            <w:tcW w:w="2074" w:type="dxa"/>
          </w:tcPr>
          <w:p w14:paraId="69F54F81"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 xml:space="preserve"> (f) Somme des provisions techniques et PVL/MVL associées</w:t>
            </w:r>
          </w:p>
        </w:tc>
        <w:tc>
          <w:tcPr>
            <w:tcW w:w="5403" w:type="dxa"/>
          </w:tcPr>
          <w:p w14:paraId="02F7FABB" w14:textId="4DF0DB00"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Indiquer (pour les affaires directes [C00</w:t>
            </w:r>
            <w:r w:rsidR="0086208A" w:rsidRPr="004B4944">
              <w:rPr>
                <w:rFonts w:ascii="Times New Roman" w:hAnsi="Times New Roman" w:cs="Times New Roman"/>
                <w:bCs/>
                <w:sz w:val="20"/>
                <w:szCs w:val="20"/>
              </w:rPr>
              <w:t>7</w:t>
            </w:r>
            <w:r w:rsidRPr="004B4944">
              <w:rPr>
                <w:rFonts w:ascii="Times New Roman" w:hAnsi="Times New Roman" w:cs="Times New Roman"/>
                <w:bCs/>
                <w:sz w:val="20"/>
                <w:szCs w:val="20"/>
              </w:rPr>
              <w:t xml:space="preserve">0] et acceptations [C0030]), la somme: </w:t>
            </w:r>
          </w:p>
          <w:p w14:paraId="7E5A9CDD"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de la provision technique spéciale calculée après cessions en réassurance, sans que le rapport entre la provision technique spéciale brute de réassurance et cette même provision nette de réassurance ne puisse être inférieur à 85 % ;</w:t>
            </w:r>
          </w:p>
          <w:p w14:paraId="7540CEAF"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des plus-values ou moins-values latentes nettes sur les actifs affectés à la provision technique spéciale ;</w:t>
            </w:r>
          </w:p>
          <w:p w14:paraId="5245FED8"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de la provision technique spéciale complémentaire ;</w:t>
            </w:r>
          </w:p>
          <w:p w14:paraId="624E7444"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de la provision technique spéciale de retournement.</w:t>
            </w:r>
          </w:p>
          <w:p w14:paraId="76CF3FB3" w14:textId="77777777" w:rsidR="00B922AE" w:rsidRPr="004B4944" w:rsidRDefault="00B922AE" w:rsidP="00D97517">
            <w:pPr>
              <w:rPr>
                <w:rFonts w:ascii="Times New Roman" w:hAnsi="Times New Roman" w:cs="Times New Roman"/>
                <w:bCs/>
                <w:sz w:val="20"/>
                <w:szCs w:val="20"/>
              </w:rPr>
            </w:pPr>
          </w:p>
          <w:p w14:paraId="07CB9E8E" w14:textId="72918838"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Ainsi, l’ORPS devra s’assurer que :</w:t>
            </w:r>
          </w:p>
          <w:p w14:paraId="298E700D" w14:textId="0FB41344" w:rsidR="00B922AE" w:rsidRPr="004B4944" w:rsidRDefault="00B922AE" w:rsidP="0086208A">
            <w:pPr>
              <w:rPr>
                <w:rFonts w:ascii="Times New Roman" w:hAnsi="Times New Roman" w:cs="Times New Roman"/>
                <w:bCs/>
                <w:sz w:val="20"/>
                <w:szCs w:val="20"/>
              </w:rPr>
            </w:pPr>
            <w:r w:rsidRPr="004B4944">
              <w:rPr>
                <w:rFonts w:ascii="Times New Roman" w:hAnsi="Times New Roman" w:cs="Times New Roman"/>
                <w:bCs/>
                <w:sz w:val="20"/>
                <w:szCs w:val="20"/>
              </w:rPr>
              <w:t>R01</w:t>
            </w:r>
            <w:r w:rsidR="0086208A" w:rsidRPr="004B4944">
              <w:rPr>
                <w:rFonts w:ascii="Times New Roman" w:hAnsi="Times New Roman" w:cs="Times New Roman"/>
                <w:bCs/>
                <w:sz w:val="20"/>
                <w:szCs w:val="20"/>
              </w:rPr>
              <w:t>5</w:t>
            </w:r>
            <w:r w:rsidRPr="004B4944">
              <w:rPr>
                <w:rFonts w:ascii="Times New Roman" w:hAnsi="Times New Roman" w:cs="Times New Roman"/>
                <w:bCs/>
                <w:sz w:val="20"/>
                <w:szCs w:val="20"/>
              </w:rPr>
              <w:t>0 = R01</w:t>
            </w:r>
            <w:r w:rsidR="0086208A" w:rsidRPr="004B4944">
              <w:rPr>
                <w:rFonts w:ascii="Times New Roman" w:hAnsi="Times New Roman" w:cs="Times New Roman"/>
                <w:bCs/>
                <w:sz w:val="20"/>
                <w:szCs w:val="20"/>
              </w:rPr>
              <w:t>1</w:t>
            </w:r>
            <w:r w:rsidRPr="004B4944">
              <w:rPr>
                <w:rFonts w:ascii="Times New Roman" w:hAnsi="Times New Roman" w:cs="Times New Roman"/>
                <w:bCs/>
                <w:sz w:val="20"/>
                <w:szCs w:val="20"/>
              </w:rPr>
              <w:t>0+R01</w:t>
            </w:r>
            <w:r w:rsidR="0086208A" w:rsidRPr="004B4944">
              <w:rPr>
                <w:rFonts w:ascii="Times New Roman" w:hAnsi="Times New Roman" w:cs="Times New Roman"/>
                <w:bCs/>
                <w:sz w:val="20"/>
                <w:szCs w:val="20"/>
              </w:rPr>
              <w:t>2</w:t>
            </w:r>
            <w:r w:rsidRPr="004B4944">
              <w:rPr>
                <w:rFonts w:ascii="Times New Roman" w:hAnsi="Times New Roman" w:cs="Times New Roman"/>
                <w:bCs/>
                <w:sz w:val="20"/>
                <w:szCs w:val="20"/>
              </w:rPr>
              <w:t>0+R01</w:t>
            </w:r>
            <w:r w:rsidR="0086208A" w:rsidRPr="004B4944">
              <w:rPr>
                <w:rFonts w:ascii="Times New Roman" w:hAnsi="Times New Roman" w:cs="Times New Roman"/>
                <w:bCs/>
                <w:sz w:val="20"/>
                <w:szCs w:val="20"/>
              </w:rPr>
              <w:t>3</w:t>
            </w:r>
            <w:r w:rsidRPr="004B4944">
              <w:rPr>
                <w:rFonts w:ascii="Times New Roman" w:hAnsi="Times New Roman" w:cs="Times New Roman"/>
                <w:bCs/>
                <w:sz w:val="20"/>
                <w:szCs w:val="20"/>
              </w:rPr>
              <w:t>0+R01</w:t>
            </w:r>
            <w:r w:rsidR="0086208A" w:rsidRPr="004B4944">
              <w:rPr>
                <w:rFonts w:ascii="Times New Roman" w:hAnsi="Times New Roman" w:cs="Times New Roman"/>
                <w:bCs/>
                <w:sz w:val="20"/>
                <w:szCs w:val="20"/>
              </w:rPr>
              <w:t>4</w:t>
            </w:r>
            <w:r w:rsidRPr="004B4944">
              <w:rPr>
                <w:rFonts w:ascii="Times New Roman" w:hAnsi="Times New Roman" w:cs="Times New Roman"/>
                <w:bCs/>
                <w:sz w:val="20"/>
                <w:szCs w:val="20"/>
              </w:rPr>
              <w:t>0</w:t>
            </w:r>
          </w:p>
        </w:tc>
      </w:tr>
      <w:tr w:rsidR="000743FF" w:rsidRPr="004B4944" w14:paraId="7E37D61A" w14:textId="77777777" w:rsidTr="007A74A5">
        <w:trPr>
          <w:trHeight w:val="822"/>
        </w:trPr>
        <w:tc>
          <w:tcPr>
            <w:tcW w:w="1539" w:type="dxa"/>
          </w:tcPr>
          <w:p w14:paraId="763A4C91" w14:textId="0EC94A29" w:rsidR="00B922AE" w:rsidRPr="004B4944" w:rsidRDefault="00B922AE" w:rsidP="00217BE7">
            <w:pPr>
              <w:rPr>
                <w:rFonts w:ascii="Times New Roman" w:hAnsi="Times New Roman" w:cs="Times New Roman"/>
                <w:sz w:val="20"/>
                <w:szCs w:val="20"/>
              </w:rPr>
            </w:pPr>
            <w:r w:rsidRPr="004B4944">
              <w:rPr>
                <w:rFonts w:ascii="Times New Roman" w:hAnsi="Times New Roman" w:cs="Times New Roman"/>
                <w:sz w:val="20"/>
                <w:szCs w:val="20"/>
              </w:rPr>
              <w:t>C0010/R01</w:t>
            </w:r>
            <w:r w:rsidR="0086208A" w:rsidRPr="004B4944">
              <w:rPr>
                <w:rFonts w:ascii="Times New Roman" w:hAnsi="Times New Roman" w:cs="Times New Roman"/>
                <w:sz w:val="20"/>
                <w:szCs w:val="20"/>
              </w:rPr>
              <w:t>6</w:t>
            </w:r>
            <w:r w:rsidRPr="004B4944">
              <w:rPr>
                <w:rFonts w:ascii="Times New Roman" w:hAnsi="Times New Roman" w:cs="Times New Roman"/>
                <w:sz w:val="20"/>
                <w:szCs w:val="20"/>
              </w:rPr>
              <w:t>0</w:t>
            </w:r>
            <w:r w:rsidR="00217BE7" w:rsidRPr="004B4944">
              <w:rPr>
                <w:rFonts w:ascii="Times New Roman" w:hAnsi="Times New Roman" w:cs="Times New Roman"/>
                <w:sz w:val="20"/>
                <w:szCs w:val="20"/>
              </w:rPr>
              <w:t xml:space="preserve"> et C0030/R0160</w:t>
            </w:r>
          </w:p>
        </w:tc>
        <w:tc>
          <w:tcPr>
            <w:tcW w:w="2074" w:type="dxa"/>
          </w:tcPr>
          <w:p w14:paraId="35984978"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 xml:space="preserve"> min ((a),(f))</w:t>
            </w:r>
          </w:p>
        </w:tc>
        <w:tc>
          <w:tcPr>
            <w:tcW w:w="5403" w:type="dxa"/>
          </w:tcPr>
          <w:p w14:paraId="2E473E90" w14:textId="40460CDD" w:rsidR="00B922AE" w:rsidRPr="004B4944" w:rsidRDefault="00B922AE" w:rsidP="0086208A">
            <w:pPr>
              <w:rPr>
                <w:rFonts w:ascii="Times New Roman" w:hAnsi="Times New Roman" w:cs="Times New Roman"/>
                <w:bCs/>
                <w:sz w:val="20"/>
                <w:szCs w:val="20"/>
              </w:rPr>
            </w:pPr>
            <w:r w:rsidRPr="004B4944">
              <w:rPr>
                <w:rFonts w:ascii="Times New Roman" w:hAnsi="Times New Roman" w:cs="Times New Roman"/>
                <w:bCs/>
                <w:sz w:val="20"/>
                <w:szCs w:val="20"/>
              </w:rPr>
              <w:t>Indiquer ici (pour les affaires directes [C00</w:t>
            </w:r>
            <w:r w:rsidR="0086208A" w:rsidRPr="004B4944">
              <w:rPr>
                <w:rFonts w:ascii="Times New Roman" w:hAnsi="Times New Roman" w:cs="Times New Roman"/>
                <w:bCs/>
                <w:sz w:val="20"/>
                <w:szCs w:val="20"/>
              </w:rPr>
              <w:t>7</w:t>
            </w:r>
            <w:r w:rsidRPr="004B4944">
              <w:rPr>
                <w:rFonts w:ascii="Times New Roman" w:hAnsi="Times New Roman" w:cs="Times New Roman"/>
                <w:bCs/>
                <w:sz w:val="20"/>
                <w:szCs w:val="20"/>
              </w:rPr>
              <w:t xml:space="preserve">0] et les acceptations [C0030]), le montant auquel sera appliqué le facteur de 4 %, au titre du 5° de l’article R. 385-2 du code des assurances. </w:t>
            </w:r>
          </w:p>
        </w:tc>
      </w:tr>
      <w:tr w:rsidR="000743FF" w:rsidRPr="004B4944" w14:paraId="7BF36275" w14:textId="77777777" w:rsidTr="007A74A5">
        <w:trPr>
          <w:trHeight w:val="409"/>
        </w:trPr>
        <w:tc>
          <w:tcPr>
            <w:tcW w:w="1539" w:type="dxa"/>
          </w:tcPr>
          <w:p w14:paraId="3F1DA1B3" w14:textId="432AD6AE" w:rsidR="00B922AE" w:rsidRPr="004B4944" w:rsidRDefault="00B922AE" w:rsidP="0086208A">
            <w:pPr>
              <w:rPr>
                <w:rFonts w:ascii="Times New Roman" w:hAnsi="Times New Roman"/>
                <w:sz w:val="20"/>
              </w:rPr>
            </w:pPr>
            <w:r w:rsidRPr="004B4944">
              <w:rPr>
                <w:rFonts w:ascii="Times New Roman" w:hAnsi="Times New Roman"/>
                <w:sz w:val="20"/>
              </w:rPr>
              <w:lastRenderedPageBreak/>
              <w:t>C0080/R01</w:t>
            </w:r>
            <w:r w:rsidR="0086208A" w:rsidRPr="004B4944">
              <w:rPr>
                <w:rFonts w:ascii="Times New Roman" w:hAnsi="Times New Roman"/>
                <w:sz w:val="20"/>
              </w:rPr>
              <w:t>6</w:t>
            </w:r>
            <w:r w:rsidRPr="004B4944">
              <w:rPr>
                <w:rFonts w:ascii="Times New Roman" w:hAnsi="Times New Roman"/>
                <w:sz w:val="20"/>
              </w:rPr>
              <w:t>0</w:t>
            </w:r>
          </w:p>
        </w:tc>
        <w:tc>
          <w:tcPr>
            <w:tcW w:w="2074" w:type="dxa"/>
          </w:tcPr>
          <w:p w14:paraId="6ED12C69"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Coefficient</w:t>
            </w:r>
          </w:p>
        </w:tc>
        <w:tc>
          <w:tcPr>
            <w:tcW w:w="5403" w:type="dxa"/>
          </w:tcPr>
          <w:p w14:paraId="69A1B6EC"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cs="Times New Roman"/>
                <w:sz w:val="20"/>
                <w:szCs w:val="20"/>
              </w:rPr>
              <w:t>Il s’agit du coefficient de 4% mentionné au 5° de  l’article R. 385-2 du code des assurances</w:t>
            </w:r>
          </w:p>
        </w:tc>
      </w:tr>
      <w:tr w:rsidR="000743FF" w:rsidRPr="004B4944" w14:paraId="4DE8D7F5" w14:textId="77777777" w:rsidTr="007A74A5">
        <w:trPr>
          <w:trHeight w:val="409"/>
        </w:trPr>
        <w:tc>
          <w:tcPr>
            <w:tcW w:w="1539" w:type="dxa"/>
          </w:tcPr>
          <w:p w14:paraId="431523D5" w14:textId="44AFB2B1" w:rsidR="00B922AE" w:rsidRPr="004B4944" w:rsidRDefault="00B922AE" w:rsidP="0086208A">
            <w:pPr>
              <w:rPr>
                <w:rFonts w:ascii="Times New Roman" w:hAnsi="Times New Roman"/>
                <w:sz w:val="20"/>
              </w:rPr>
            </w:pPr>
            <w:r w:rsidRPr="004B4944">
              <w:rPr>
                <w:rFonts w:ascii="Times New Roman" w:hAnsi="Times New Roman"/>
                <w:sz w:val="20"/>
              </w:rPr>
              <w:t>C0090/R01</w:t>
            </w:r>
            <w:r w:rsidR="0086208A" w:rsidRPr="004B4944">
              <w:rPr>
                <w:rFonts w:ascii="Times New Roman" w:hAnsi="Times New Roman"/>
                <w:sz w:val="20"/>
              </w:rPr>
              <w:t>7</w:t>
            </w:r>
            <w:r w:rsidRPr="004B4944">
              <w:rPr>
                <w:rFonts w:ascii="Times New Roman" w:hAnsi="Times New Roman"/>
                <w:sz w:val="20"/>
              </w:rPr>
              <w:t>0</w:t>
            </w:r>
          </w:p>
        </w:tc>
        <w:tc>
          <w:tcPr>
            <w:tcW w:w="2074" w:type="dxa"/>
          </w:tcPr>
          <w:p w14:paraId="1D0C69A3" w14:textId="77777777" w:rsidR="00B922AE" w:rsidRPr="004B4944" w:rsidRDefault="00B922AE" w:rsidP="00D97517">
            <w:pPr>
              <w:rPr>
                <w:rFonts w:ascii="Times New Roman" w:hAnsi="Times New Roman"/>
                <w:sz w:val="20"/>
              </w:rPr>
            </w:pPr>
            <w:r w:rsidRPr="004B4944">
              <w:rPr>
                <w:rFonts w:ascii="Times New Roman" w:hAnsi="Times New Roman" w:cs="Times New Roman"/>
                <w:sz w:val="20"/>
                <w:szCs w:val="20"/>
              </w:rPr>
              <w:t>Exigence de marge</w:t>
            </w:r>
          </w:p>
        </w:tc>
        <w:tc>
          <w:tcPr>
            <w:tcW w:w="5403" w:type="dxa"/>
          </w:tcPr>
          <w:p w14:paraId="003D6218" w14:textId="1700A37C" w:rsidR="00B922AE" w:rsidRPr="004B4944" w:rsidRDefault="00B922AE" w:rsidP="003453E5">
            <w:pPr>
              <w:rPr>
                <w:rFonts w:ascii="Times New Roman" w:hAnsi="Times New Roman" w:cs="Times New Roman"/>
                <w:bCs/>
                <w:sz w:val="20"/>
                <w:szCs w:val="20"/>
              </w:rPr>
            </w:pPr>
            <w:r w:rsidRPr="004B4944">
              <w:rPr>
                <w:rFonts w:ascii="Times New Roman" w:hAnsi="Times New Roman" w:cs="Times New Roman"/>
                <w:sz w:val="20"/>
                <w:szCs w:val="20"/>
              </w:rPr>
              <w:t>Somme des cellules C0090</w:t>
            </w:r>
            <w:r w:rsidR="0086208A" w:rsidRPr="004B4944">
              <w:rPr>
                <w:rFonts w:ascii="Times New Roman" w:hAnsi="Times New Roman" w:cs="Times New Roman"/>
                <w:sz w:val="20"/>
                <w:szCs w:val="20"/>
              </w:rPr>
              <w:t>/</w:t>
            </w:r>
            <w:r w:rsidRPr="004B4944">
              <w:rPr>
                <w:rFonts w:ascii="Times New Roman" w:hAnsi="Times New Roman" w:cs="Times New Roman"/>
                <w:sz w:val="20"/>
                <w:szCs w:val="20"/>
              </w:rPr>
              <w:t>R0010, C0090/R0020, C0090/R0060, C0090/R0090 et C0090/R01</w:t>
            </w:r>
            <w:r w:rsidR="0086208A" w:rsidRPr="004B4944">
              <w:rPr>
                <w:rFonts w:ascii="Times New Roman" w:hAnsi="Times New Roman" w:cs="Times New Roman"/>
                <w:sz w:val="20"/>
                <w:szCs w:val="20"/>
              </w:rPr>
              <w:t>6</w:t>
            </w:r>
            <w:r w:rsidRPr="004B4944">
              <w:rPr>
                <w:rFonts w:ascii="Times New Roman" w:hAnsi="Times New Roman" w:cs="Times New Roman"/>
                <w:sz w:val="20"/>
                <w:szCs w:val="20"/>
              </w:rPr>
              <w:t>0</w:t>
            </w:r>
          </w:p>
        </w:tc>
      </w:tr>
    </w:tbl>
    <w:p w14:paraId="78B1B668" w14:textId="77777777" w:rsidR="00B922AE" w:rsidRPr="004B4944" w:rsidRDefault="00B922AE" w:rsidP="00B922AE">
      <w:pPr>
        <w:rPr>
          <w:rFonts w:ascii="Times New Roman" w:hAnsi="Times New Roman" w:cs="Times New Roman"/>
          <w:bCs/>
          <w:sz w:val="20"/>
          <w:szCs w:val="20"/>
        </w:rPr>
      </w:pPr>
    </w:p>
    <w:p w14:paraId="73F95F19" w14:textId="696FE82E" w:rsidR="00B922AE" w:rsidRPr="004B4944" w:rsidRDefault="00B922AE" w:rsidP="00B922AE">
      <w:pPr>
        <w:rPr>
          <w:rFonts w:ascii="Times New Roman" w:hAnsi="Times New Roman" w:cs="Times New Roman"/>
          <w:bCs/>
          <w:sz w:val="20"/>
          <w:szCs w:val="20"/>
          <w:u w:val="single"/>
        </w:rPr>
      </w:pPr>
      <w:r w:rsidRPr="004B4944">
        <w:rPr>
          <w:rFonts w:ascii="Times New Roman" w:hAnsi="Times New Roman" w:cs="Times New Roman"/>
          <w:bCs/>
          <w:sz w:val="20"/>
          <w:szCs w:val="20"/>
          <w:u w:val="single"/>
        </w:rPr>
        <w:t>Tableau</w:t>
      </w:r>
    </w:p>
    <w:p w14:paraId="0D86FA2A" w14:textId="5FEDACB6" w:rsidR="0086208A" w:rsidRPr="004B4944" w:rsidRDefault="0086208A" w:rsidP="00A46642">
      <w:pPr>
        <w:ind w:left="-113"/>
        <w:rPr>
          <w:rFonts w:ascii="Times New Roman" w:hAnsi="Times New Roman" w:cs="Times New Roman"/>
          <w:bCs/>
          <w:sz w:val="20"/>
          <w:szCs w:val="20"/>
          <w:u w:val="single"/>
        </w:rPr>
      </w:pPr>
      <w:r w:rsidRPr="004B4944">
        <w:rPr>
          <w:noProof/>
          <w:lang w:bidi="ar-SA"/>
        </w:rPr>
        <w:drawing>
          <wp:inline distT="0" distB="0" distL="0" distR="0" wp14:anchorId="4D3D2A71" wp14:editId="25F2F8DD">
            <wp:extent cx="5869224" cy="322384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80026" cy="3229779"/>
                    </a:xfrm>
                    <a:prstGeom prst="rect">
                      <a:avLst/>
                    </a:prstGeom>
                  </pic:spPr>
                </pic:pic>
              </a:graphicData>
            </a:graphic>
          </wp:inline>
        </w:drawing>
      </w:r>
    </w:p>
    <w:p w14:paraId="54AFAB4A" w14:textId="40777898" w:rsidR="00B922AE" w:rsidRPr="004B4944" w:rsidRDefault="00B922AE" w:rsidP="00B922AE">
      <w:pPr>
        <w:rPr>
          <w:rFonts w:ascii="Times New Roman" w:hAnsi="Times New Roman" w:cs="Times New Roman"/>
          <w:b/>
          <w:bCs/>
          <w:sz w:val="20"/>
          <w:szCs w:val="20"/>
        </w:rPr>
      </w:pPr>
      <w:r w:rsidRPr="004B4944">
        <w:rPr>
          <w:rFonts w:ascii="Times New Roman" w:hAnsi="Times New Roman" w:cs="Times New Roman"/>
          <w:b/>
          <w:bCs/>
          <w:sz w:val="20"/>
          <w:szCs w:val="20"/>
        </w:rPr>
        <w:br w:type="column"/>
      </w:r>
      <w:r w:rsidRPr="004B4944">
        <w:rPr>
          <w:rFonts w:ascii="Times New Roman" w:hAnsi="Times New Roman" w:cs="Times New Roman"/>
          <w:b/>
          <w:bCs/>
          <w:sz w:val="20"/>
          <w:szCs w:val="20"/>
        </w:rPr>
        <w:lastRenderedPageBreak/>
        <w:t>RP.42.02.01– Exigence de marge : fraction calculée selon les règles non-vie</w:t>
      </w:r>
    </w:p>
    <w:p w14:paraId="2ABCCC22" w14:textId="3F3AC106" w:rsidR="00B922AE" w:rsidRPr="004B4944" w:rsidRDefault="00B922AE" w:rsidP="00B922AE">
      <w:pPr>
        <w:rPr>
          <w:rFonts w:ascii="Times New Roman" w:hAnsi="Times New Roman" w:cs="Times New Roman"/>
          <w:bCs/>
          <w:sz w:val="20"/>
          <w:szCs w:val="20"/>
          <w:u w:val="single"/>
        </w:rPr>
      </w:pPr>
      <w:r w:rsidRPr="004B4944">
        <w:rPr>
          <w:rFonts w:ascii="Times New Roman" w:hAnsi="Times New Roman" w:cs="Times New Roman"/>
          <w:bCs/>
          <w:sz w:val="20"/>
          <w:szCs w:val="20"/>
          <w:u w:val="single"/>
        </w:rPr>
        <w:t>Utilisation de l’état</w:t>
      </w:r>
    </w:p>
    <w:tbl>
      <w:tblPr>
        <w:tblStyle w:val="Grilledutableau"/>
        <w:tblW w:w="0" w:type="auto"/>
        <w:tblLook w:val="04A0" w:firstRow="1" w:lastRow="0" w:firstColumn="1" w:lastColumn="0" w:noHBand="0" w:noVBand="1"/>
      </w:tblPr>
      <w:tblGrid>
        <w:gridCol w:w="1539"/>
        <w:gridCol w:w="2210"/>
        <w:gridCol w:w="5267"/>
      </w:tblGrid>
      <w:tr w:rsidR="00B922AE" w:rsidRPr="004B4944" w14:paraId="58C7A818" w14:textId="77777777" w:rsidTr="00D97517">
        <w:trPr>
          <w:trHeight w:val="285"/>
          <w:tblHeader/>
        </w:trPr>
        <w:tc>
          <w:tcPr>
            <w:tcW w:w="1539" w:type="dxa"/>
            <w:noWrap/>
            <w:hideMark/>
          </w:tcPr>
          <w:p w14:paraId="724B2B4B" w14:textId="77777777" w:rsidR="00B922AE" w:rsidRPr="004B4944" w:rsidRDefault="00B922AE" w:rsidP="00D97517">
            <w:pPr>
              <w:jc w:val="center"/>
              <w:rPr>
                <w:rFonts w:ascii="Times New Roman" w:hAnsi="Times New Roman" w:cs="Times New Roman"/>
                <w:i/>
                <w:sz w:val="20"/>
                <w:szCs w:val="20"/>
              </w:rPr>
            </w:pPr>
          </w:p>
          <w:p w14:paraId="48C8CE49" w14:textId="77777777" w:rsidR="00B922AE" w:rsidRPr="004B4944" w:rsidRDefault="00B922AE" w:rsidP="00D97517">
            <w:pPr>
              <w:jc w:val="center"/>
              <w:rPr>
                <w:rFonts w:ascii="Times New Roman" w:hAnsi="Times New Roman" w:cs="Times New Roman"/>
                <w:i/>
                <w:sz w:val="20"/>
                <w:szCs w:val="20"/>
              </w:rPr>
            </w:pPr>
            <w:r w:rsidRPr="004B4944">
              <w:rPr>
                <w:rFonts w:ascii="Times New Roman" w:hAnsi="Times New Roman" w:cs="Times New Roman"/>
                <w:i/>
                <w:sz w:val="20"/>
                <w:szCs w:val="20"/>
              </w:rPr>
              <w:t>RP.42.02.01</w:t>
            </w:r>
          </w:p>
          <w:p w14:paraId="5A9EB20A" w14:textId="77777777" w:rsidR="00B922AE" w:rsidRPr="004B4944" w:rsidRDefault="00B922AE" w:rsidP="00D97517">
            <w:pPr>
              <w:jc w:val="center"/>
              <w:rPr>
                <w:rFonts w:ascii="Times New Roman" w:hAnsi="Times New Roman" w:cs="Times New Roman"/>
                <w:color w:val="FF0000"/>
                <w:sz w:val="20"/>
                <w:szCs w:val="20"/>
              </w:rPr>
            </w:pPr>
          </w:p>
        </w:tc>
        <w:tc>
          <w:tcPr>
            <w:tcW w:w="2255" w:type="dxa"/>
            <w:hideMark/>
          </w:tcPr>
          <w:p w14:paraId="15211C93" w14:textId="77777777" w:rsidR="00B922AE" w:rsidRPr="004B4944" w:rsidRDefault="00B922AE" w:rsidP="00D97517">
            <w:pPr>
              <w:jc w:val="center"/>
              <w:rPr>
                <w:rFonts w:ascii="Times New Roman" w:hAnsi="Times New Roman"/>
                <w:b/>
                <w:color w:val="000000" w:themeColor="text1"/>
                <w:sz w:val="20"/>
              </w:rPr>
            </w:pPr>
          </w:p>
          <w:p w14:paraId="3251FF4E" w14:textId="77777777" w:rsidR="00B922AE" w:rsidRPr="004B4944" w:rsidRDefault="00B922AE" w:rsidP="00D97517">
            <w:pPr>
              <w:jc w:val="center"/>
              <w:rPr>
                <w:rFonts w:ascii="Times New Roman" w:hAnsi="Times New Roman" w:cs="Times New Roman"/>
                <w:b/>
                <w:bCs/>
                <w:color w:val="000000" w:themeColor="text1"/>
                <w:sz w:val="20"/>
                <w:szCs w:val="20"/>
              </w:rPr>
            </w:pPr>
            <w:r w:rsidRPr="004B4944">
              <w:rPr>
                <w:rFonts w:ascii="Times New Roman" w:hAnsi="Times New Roman"/>
                <w:b/>
                <w:color w:val="000000" w:themeColor="text1"/>
                <w:sz w:val="20"/>
              </w:rPr>
              <w:t>ÉLÉMENT À DÉCLARER</w:t>
            </w:r>
          </w:p>
        </w:tc>
        <w:tc>
          <w:tcPr>
            <w:tcW w:w="5448" w:type="dxa"/>
            <w:hideMark/>
          </w:tcPr>
          <w:p w14:paraId="0EBC2D41" w14:textId="77777777" w:rsidR="00B922AE" w:rsidRPr="004B4944" w:rsidRDefault="00B922AE" w:rsidP="00D97517">
            <w:pPr>
              <w:jc w:val="center"/>
              <w:rPr>
                <w:rFonts w:ascii="Times New Roman" w:hAnsi="Times New Roman"/>
                <w:b/>
                <w:color w:val="000000" w:themeColor="text1"/>
                <w:sz w:val="20"/>
              </w:rPr>
            </w:pPr>
          </w:p>
          <w:p w14:paraId="6420C8E3" w14:textId="77777777" w:rsidR="00B922AE" w:rsidRPr="004B4944" w:rsidRDefault="00B922AE" w:rsidP="00D97517">
            <w:pPr>
              <w:jc w:val="center"/>
              <w:rPr>
                <w:rFonts w:ascii="Times New Roman" w:hAnsi="Times New Roman" w:cs="Times New Roman"/>
                <w:b/>
                <w:bCs/>
                <w:color w:val="000000" w:themeColor="text1"/>
                <w:sz w:val="20"/>
                <w:szCs w:val="20"/>
              </w:rPr>
            </w:pPr>
            <w:r w:rsidRPr="004B4944">
              <w:rPr>
                <w:rFonts w:ascii="Times New Roman" w:hAnsi="Times New Roman"/>
                <w:b/>
                <w:color w:val="000000" w:themeColor="text1"/>
                <w:sz w:val="20"/>
              </w:rPr>
              <w:t>INSTRUCTIONS</w:t>
            </w:r>
          </w:p>
        </w:tc>
      </w:tr>
      <w:tr w:rsidR="00B922AE" w:rsidRPr="004B4944" w14:paraId="505DC1CB" w14:textId="77777777" w:rsidTr="00D97517">
        <w:trPr>
          <w:trHeight w:val="530"/>
        </w:trPr>
        <w:tc>
          <w:tcPr>
            <w:tcW w:w="1539" w:type="dxa"/>
            <w:hideMark/>
          </w:tcPr>
          <w:p w14:paraId="7E8895AE"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olor w:val="000000" w:themeColor="text1"/>
                <w:sz w:val="20"/>
              </w:rPr>
              <w:t>C0030/R0010</w:t>
            </w:r>
          </w:p>
        </w:tc>
        <w:tc>
          <w:tcPr>
            <w:tcW w:w="2255" w:type="dxa"/>
            <w:hideMark/>
          </w:tcPr>
          <w:p w14:paraId="58E322CE"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olor w:val="000000" w:themeColor="text1"/>
                <w:sz w:val="20"/>
              </w:rPr>
              <w:t>Assiette brute calculée sur la base des primes émises</w:t>
            </w:r>
          </w:p>
        </w:tc>
        <w:tc>
          <w:tcPr>
            <w:tcW w:w="5448" w:type="dxa"/>
            <w:hideMark/>
          </w:tcPr>
          <w:p w14:paraId="1CBB1693" w14:textId="2A7947F1"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bCs/>
                <w:sz w:val="20"/>
                <w:szCs w:val="20"/>
              </w:rPr>
              <w:t>Primes ou cotisations brutes, hors taxes, émises et primes acceptées au cours du dernier exercice, nettes d'annulations. Correspond à la somme</w:t>
            </w:r>
            <w:r w:rsidR="00D6241A" w:rsidRPr="004B4944">
              <w:rPr>
                <w:rFonts w:ascii="Times New Roman" w:hAnsi="Times New Roman" w:cs="Times New Roman"/>
                <w:bCs/>
                <w:sz w:val="20"/>
                <w:szCs w:val="20"/>
              </w:rPr>
              <w:t xml:space="preserve"> des cellules C0010/R0010 et C002</w:t>
            </w:r>
            <w:r w:rsidRPr="004B4944">
              <w:rPr>
                <w:rFonts w:ascii="Times New Roman" w:hAnsi="Times New Roman" w:cs="Times New Roman"/>
                <w:bCs/>
                <w:sz w:val="20"/>
                <w:szCs w:val="20"/>
              </w:rPr>
              <w:t>0/R0010.</w:t>
            </w:r>
          </w:p>
        </w:tc>
      </w:tr>
      <w:tr w:rsidR="00B922AE" w:rsidRPr="004B4944" w14:paraId="2B9EE24D" w14:textId="77777777" w:rsidTr="00D97517">
        <w:trPr>
          <w:trHeight w:val="810"/>
        </w:trPr>
        <w:tc>
          <w:tcPr>
            <w:tcW w:w="1539" w:type="dxa"/>
            <w:hideMark/>
          </w:tcPr>
          <w:p w14:paraId="37E07205"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olor w:val="000000" w:themeColor="text1"/>
                <w:sz w:val="20"/>
              </w:rPr>
              <w:t>C0030/R0020</w:t>
            </w:r>
          </w:p>
        </w:tc>
        <w:tc>
          <w:tcPr>
            <w:tcW w:w="2255" w:type="dxa"/>
            <w:hideMark/>
          </w:tcPr>
          <w:p w14:paraId="38830B86"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olor w:val="000000" w:themeColor="text1"/>
                <w:sz w:val="20"/>
              </w:rPr>
              <w:t>Assiette brute calculée sur la base des primes acquises</w:t>
            </w:r>
          </w:p>
        </w:tc>
        <w:tc>
          <w:tcPr>
            <w:tcW w:w="5448" w:type="dxa"/>
            <w:hideMark/>
          </w:tcPr>
          <w:p w14:paraId="165DE820" w14:textId="1306D76D"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bCs/>
                <w:sz w:val="20"/>
                <w:szCs w:val="20"/>
              </w:rPr>
              <w:t xml:space="preserve">Primes ou cotisations brutes, hors taxes, acquises et primes acceptées au cours du dernier exercice, nettes d'annulations. Correspond à la somme </w:t>
            </w:r>
            <w:r w:rsidR="00D6241A" w:rsidRPr="004B4944">
              <w:rPr>
                <w:rFonts w:ascii="Times New Roman" w:hAnsi="Times New Roman" w:cs="Times New Roman"/>
                <w:bCs/>
                <w:sz w:val="20"/>
                <w:szCs w:val="20"/>
              </w:rPr>
              <w:t>des cellules C0010/R0020 et C002</w:t>
            </w:r>
            <w:r w:rsidRPr="004B4944">
              <w:rPr>
                <w:rFonts w:ascii="Times New Roman" w:hAnsi="Times New Roman" w:cs="Times New Roman"/>
                <w:bCs/>
                <w:sz w:val="20"/>
                <w:szCs w:val="20"/>
              </w:rPr>
              <w:t>0/R0020.</w:t>
            </w:r>
          </w:p>
        </w:tc>
      </w:tr>
      <w:tr w:rsidR="00B922AE" w:rsidRPr="004B4944" w14:paraId="6561B3DE" w14:textId="77777777" w:rsidTr="00D97517">
        <w:trPr>
          <w:trHeight w:val="850"/>
        </w:trPr>
        <w:tc>
          <w:tcPr>
            <w:tcW w:w="1539" w:type="dxa"/>
            <w:hideMark/>
          </w:tcPr>
          <w:p w14:paraId="095C732D"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olor w:val="000000" w:themeColor="text1"/>
                <w:sz w:val="20"/>
              </w:rPr>
              <w:t>C0030/R0030</w:t>
            </w:r>
          </w:p>
        </w:tc>
        <w:tc>
          <w:tcPr>
            <w:tcW w:w="2255" w:type="dxa"/>
            <w:hideMark/>
          </w:tcPr>
          <w:p w14:paraId="3ABB3899"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olor w:val="000000" w:themeColor="text1"/>
                <w:sz w:val="20"/>
              </w:rPr>
              <w:t>Assiette brute retenue</w:t>
            </w:r>
          </w:p>
        </w:tc>
        <w:tc>
          <w:tcPr>
            <w:tcW w:w="5448" w:type="dxa"/>
            <w:hideMark/>
          </w:tcPr>
          <w:p w14:paraId="3B7728B6" w14:textId="77777777" w:rsidR="00B922AE" w:rsidRPr="004B4944" w:rsidRDefault="00B922AE" w:rsidP="00D97517">
            <w:pPr>
              <w:rPr>
                <w:rFonts w:ascii="Times New Roman" w:hAnsi="Times New Roman" w:cs="Times New Roman"/>
                <w:color w:val="000000" w:themeColor="text1"/>
                <w:sz w:val="20"/>
                <w:szCs w:val="20"/>
              </w:rPr>
            </w:pPr>
            <w:r w:rsidRPr="004B4944">
              <w:rPr>
                <w:rFonts w:ascii="Times New Roman" w:hAnsi="Times New Roman" w:cs="Times New Roman"/>
                <w:bCs/>
                <w:sz w:val="20"/>
                <w:szCs w:val="20"/>
              </w:rPr>
              <w:t xml:space="preserve">Montant le plus élevé entre </w:t>
            </w:r>
            <w:r w:rsidRPr="004B4944">
              <w:rPr>
                <w:rFonts w:ascii="Times New Roman" w:hAnsi="Times New Roman"/>
                <w:color w:val="000000" w:themeColor="text1"/>
                <w:sz w:val="20"/>
              </w:rPr>
              <w:t xml:space="preserve">l’assiette brute calculée sur la base des primes émises et l’assiette brute calculée sur la base des primes acquises. </w:t>
            </w:r>
          </w:p>
        </w:tc>
      </w:tr>
      <w:tr w:rsidR="00B922AE" w:rsidRPr="004B4944" w14:paraId="3EA7C463" w14:textId="77777777" w:rsidTr="00D97517">
        <w:trPr>
          <w:trHeight w:val="409"/>
        </w:trPr>
        <w:tc>
          <w:tcPr>
            <w:tcW w:w="1539" w:type="dxa"/>
          </w:tcPr>
          <w:p w14:paraId="703E3F1C"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C0040/R0040</w:t>
            </w:r>
          </w:p>
        </w:tc>
        <w:tc>
          <w:tcPr>
            <w:tcW w:w="2255" w:type="dxa"/>
          </w:tcPr>
          <w:p w14:paraId="1F0811DB"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TOTAL (a1)</w:t>
            </w:r>
          </w:p>
        </w:tc>
        <w:tc>
          <w:tcPr>
            <w:tcW w:w="5448" w:type="dxa"/>
          </w:tcPr>
          <w:p w14:paraId="13A1BBA1"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Le TOTAL (a1) correspond à 18% de l’assiette brute retenue</w:t>
            </w:r>
          </w:p>
        </w:tc>
      </w:tr>
      <w:tr w:rsidR="00B922AE" w:rsidRPr="004B4944" w14:paraId="470BD75C" w14:textId="77777777" w:rsidTr="00D97517">
        <w:trPr>
          <w:trHeight w:val="409"/>
        </w:trPr>
        <w:tc>
          <w:tcPr>
            <w:tcW w:w="1539" w:type="dxa"/>
          </w:tcPr>
          <w:p w14:paraId="4525ECF2"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C0030/R0050</w:t>
            </w:r>
          </w:p>
        </w:tc>
        <w:tc>
          <w:tcPr>
            <w:tcW w:w="2255" w:type="dxa"/>
          </w:tcPr>
          <w:p w14:paraId="5AFFD7BB"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Sinistres payés sur la période de référence</w:t>
            </w:r>
          </w:p>
        </w:tc>
        <w:tc>
          <w:tcPr>
            <w:tcW w:w="5448" w:type="dxa"/>
          </w:tcPr>
          <w:p w14:paraId="2403F647" w14:textId="036027B2" w:rsidR="00B922AE" w:rsidRPr="004B4944" w:rsidRDefault="00B922AE" w:rsidP="00D97517">
            <w:pPr>
              <w:rPr>
                <w:rFonts w:ascii="Times New Roman" w:hAnsi="Times New Roman"/>
                <w:color w:val="000000" w:themeColor="text1"/>
                <w:sz w:val="20"/>
              </w:rPr>
            </w:pPr>
            <w:r w:rsidRPr="004B4944">
              <w:rPr>
                <w:rFonts w:ascii="Times New Roman" w:hAnsi="Times New Roman" w:cs="Times New Roman"/>
                <w:bCs/>
                <w:sz w:val="20"/>
                <w:szCs w:val="20"/>
              </w:rPr>
              <w:t>Sinistres payés (affaires directes et acceptations) pendant la période de référence, nets de recours. Corresp</w:t>
            </w:r>
            <w:r w:rsidR="00D6241A" w:rsidRPr="004B4944">
              <w:rPr>
                <w:rFonts w:ascii="Times New Roman" w:hAnsi="Times New Roman" w:cs="Times New Roman"/>
                <w:bCs/>
                <w:sz w:val="20"/>
                <w:szCs w:val="20"/>
              </w:rPr>
              <w:t>ond à la somme des cellules C0010/R0050 et C002</w:t>
            </w:r>
            <w:r w:rsidRPr="004B4944">
              <w:rPr>
                <w:rFonts w:ascii="Times New Roman" w:hAnsi="Times New Roman" w:cs="Times New Roman"/>
                <w:bCs/>
                <w:sz w:val="20"/>
                <w:szCs w:val="20"/>
              </w:rPr>
              <w:t>0/R0050.</w:t>
            </w:r>
          </w:p>
        </w:tc>
      </w:tr>
      <w:tr w:rsidR="00B922AE" w:rsidRPr="004B4944" w14:paraId="61D0D7EC" w14:textId="77777777" w:rsidTr="00D97517">
        <w:trPr>
          <w:trHeight w:val="409"/>
        </w:trPr>
        <w:tc>
          <w:tcPr>
            <w:tcW w:w="1539" w:type="dxa"/>
          </w:tcPr>
          <w:p w14:paraId="2C51CEE6"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C0030/R0060</w:t>
            </w:r>
          </w:p>
        </w:tc>
        <w:tc>
          <w:tcPr>
            <w:tcW w:w="2255" w:type="dxa"/>
          </w:tcPr>
          <w:p w14:paraId="597B054D"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Provisions pour sinistres à payer à la fin de la période de référence</w:t>
            </w:r>
          </w:p>
        </w:tc>
        <w:tc>
          <w:tcPr>
            <w:tcW w:w="5448" w:type="dxa"/>
          </w:tcPr>
          <w:p w14:paraId="5F873A34" w14:textId="0959EAB6" w:rsidR="00B922AE" w:rsidRPr="004B4944" w:rsidRDefault="00B922AE" w:rsidP="00D97517">
            <w:pPr>
              <w:rPr>
                <w:rFonts w:ascii="Times New Roman" w:hAnsi="Times New Roman"/>
                <w:color w:val="000000" w:themeColor="text1"/>
                <w:sz w:val="20"/>
              </w:rPr>
            </w:pPr>
            <w:r w:rsidRPr="004B4944">
              <w:rPr>
                <w:rFonts w:ascii="Times New Roman" w:hAnsi="Times New Roman" w:cs="Times New Roman"/>
                <w:bCs/>
                <w:sz w:val="20"/>
                <w:szCs w:val="20"/>
              </w:rPr>
              <w:t>Provision pour sinistres à payer (affaires directes et acceptations) constituée à la fin de la période de référence. Corresp</w:t>
            </w:r>
            <w:r w:rsidR="00D6241A" w:rsidRPr="004B4944">
              <w:rPr>
                <w:rFonts w:ascii="Times New Roman" w:hAnsi="Times New Roman" w:cs="Times New Roman"/>
                <w:bCs/>
                <w:sz w:val="20"/>
                <w:szCs w:val="20"/>
              </w:rPr>
              <w:t>ond à la somme des cellules C0010/R0060 et C002</w:t>
            </w:r>
            <w:r w:rsidRPr="004B4944">
              <w:rPr>
                <w:rFonts w:ascii="Times New Roman" w:hAnsi="Times New Roman" w:cs="Times New Roman"/>
                <w:bCs/>
                <w:sz w:val="20"/>
                <w:szCs w:val="20"/>
              </w:rPr>
              <w:t>0/R0060.</w:t>
            </w:r>
          </w:p>
        </w:tc>
      </w:tr>
      <w:tr w:rsidR="00B922AE" w:rsidRPr="004B4944" w14:paraId="2A736AD5" w14:textId="77777777" w:rsidTr="00D97517">
        <w:trPr>
          <w:trHeight w:val="409"/>
        </w:trPr>
        <w:tc>
          <w:tcPr>
            <w:tcW w:w="1539" w:type="dxa"/>
          </w:tcPr>
          <w:p w14:paraId="23F85C51"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C0030/R0070</w:t>
            </w:r>
          </w:p>
        </w:tc>
        <w:tc>
          <w:tcPr>
            <w:tcW w:w="2255" w:type="dxa"/>
          </w:tcPr>
          <w:p w14:paraId="09FA5244"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Provisions pour sinistres à payer au début de la période de référence</w:t>
            </w:r>
          </w:p>
        </w:tc>
        <w:tc>
          <w:tcPr>
            <w:tcW w:w="5448" w:type="dxa"/>
          </w:tcPr>
          <w:p w14:paraId="6332AF14" w14:textId="20FF3929"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Provision pour sinistres à payer (affaires directes et acceptations) constituée au début de la période de référence. Corresp</w:t>
            </w:r>
            <w:r w:rsidR="00D6241A" w:rsidRPr="004B4944">
              <w:rPr>
                <w:rFonts w:ascii="Times New Roman" w:hAnsi="Times New Roman" w:cs="Times New Roman"/>
                <w:bCs/>
                <w:sz w:val="20"/>
                <w:szCs w:val="20"/>
              </w:rPr>
              <w:t>ond à la somme des cellules C0010/R0070 et C002</w:t>
            </w:r>
            <w:r w:rsidRPr="004B4944">
              <w:rPr>
                <w:rFonts w:ascii="Times New Roman" w:hAnsi="Times New Roman" w:cs="Times New Roman"/>
                <w:bCs/>
                <w:sz w:val="20"/>
                <w:szCs w:val="20"/>
              </w:rPr>
              <w:t>0/R0070.</w:t>
            </w:r>
          </w:p>
        </w:tc>
      </w:tr>
      <w:tr w:rsidR="00B922AE" w:rsidRPr="004B4944" w14:paraId="61402077" w14:textId="77777777" w:rsidTr="00D97517">
        <w:trPr>
          <w:trHeight w:val="409"/>
        </w:trPr>
        <w:tc>
          <w:tcPr>
            <w:tcW w:w="1539" w:type="dxa"/>
          </w:tcPr>
          <w:p w14:paraId="28D63BAE"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C0030/R0080</w:t>
            </w:r>
          </w:p>
        </w:tc>
        <w:tc>
          <w:tcPr>
            <w:tcW w:w="2255" w:type="dxa"/>
          </w:tcPr>
          <w:p w14:paraId="3DBC54EF"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Charge de sinistres pour la période de référence</w:t>
            </w:r>
          </w:p>
        </w:tc>
        <w:tc>
          <w:tcPr>
            <w:tcW w:w="5448" w:type="dxa"/>
          </w:tcPr>
          <w:p w14:paraId="7D131CAD"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somme des sinistres à payer et de la variation des provisions sur la période de référence</w:t>
            </w:r>
          </w:p>
        </w:tc>
      </w:tr>
      <w:tr w:rsidR="00B922AE" w:rsidRPr="004B4944" w14:paraId="46AEA6FD" w14:textId="77777777" w:rsidTr="00D97517">
        <w:trPr>
          <w:trHeight w:val="409"/>
        </w:trPr>
        <w:tc>
          <w:tcPr>
            <w:tcW w:w="1539" w:type="dxa"/>
          </w:tcPr>
          <w:p w14:paraId="742A6CBD"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C0010/R0090</w:t>
            </w:r>
          </w:p>
        </w:tc>
        <w:tc>
          <w:tcPr>
            <w:tcW w:w="2255" w:type="dxa"/>
          </w:tcPr>
          <w:p w14:paraId="1A9A8400"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Durée de la période de référence</w:t>
            </w:r>
          </w:p>
        </w:tc>
        <w:tc>
          <w:tcPr>
            <w:tcW w:w="5448" w:type="dxa"/>
          </w:tcPr>
          <w:p w14:paraId="34C6B8DC"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aux 3 derniers exercices si l’historique est suffisant</w:t>
            </w:r>
          </w:p>
        </w:tc>
      </w:tr>
      <w:tr w:rsidR="00B922AE" w:rsidRPr="004B4944" w14:paraId="07DB3B3F" w14:textId="77777777" w:rsidTr="00D97517">
        <w:trPr>
          <w:trHeight w:val="409"/>
        </w:trPr>
        <w:tc>
          <w:tcPr>
            <w:tcW w:w="1539" w:type="dxa"/>
          </w:tcPr>
          <w:p w14:paraId="3549144C"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C0030/R0100</w:t>
            </w:r>
          </w:p>
        </w:tc>
        <w:tc>
          <w:tcPr>
            <w:tcW w:w="2255" w:type="dxa"/>
          </w:tcPr>
          <w:p w14:paraId="4F9C8006"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Moyenne annuelle de la charge de sinistres à payer</w:t>
            </w:r>
          </w:p>
        </w:tc>
        <w:tc>
          <w:tcPr>
            <w:tcW w:w="5448" w:type="dxa"/>
          </w:tcPr>
          <w:p w14:paraId="41E84CE8"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charge de sinistres sur l’ensemble de la période de référence divisée par la durée de la période de référence</w:t>
            </w:r>
          </w:p>
        </w:tc>
      </w:tr>
      <w:tr w:rsidR="00B922AE" w:rsidRPr="004B4944" w14:paraId="5D7DE501" w14:textId="77777777" w:rsidTr="00D97517">
        <w:trPr>
          <w:trHeight w:val="409"/>
        </w:trPr>
        <w:tc>
          <w:tcPr>
            <w:tcW w:w="1539" w:type="dxa"/>
          </w:tcPr>
          <w:p w14:paraId="007CA6FF"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C0040/R0110</w:t>
            </w:r>
          </w:p>
        </w:tc>
        <w:tc>
          <w:tcPr>
            <w:tcW w:w="2255" w:type="dxa"/>
          </w:tcPr>
          <w:p w14:paraId="491F4693"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TOTAL (a2)</w:t>
            </w:r>
          </w:p>
        </w:tc>
        <w:tc>
          <w:tcPr>
            <w:tcW w:w="5448" w:type="dxa"/>
          </w:tcPr>
          <w:p w14:paraId="4FE3493F"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olor w:val="000000" w:themeColor="text1"/>
                <w:sz w:val="20"/>
              </w:rPr>
              <w:t>Le TOTAL (a2) correspond à 26% de la moyenne annuelle de la charge de sinistres à payer</w:t>
            </w:r>
          </w:p>
        </w:tc>
      </w:tr>
      <w:tr w:rsidR="00B922AE" w:rsidRPr="004B4944" w14:paraId="314DA858" w14:textId="77777777" w:rsidTr="00D97517">
        <w:trPr>
          <w:trHeight w:val="409"/>
        </w:trPr>
        <w:tc>
          <w:tcPr>
            <w:tcW w:w="1539" w:type="dxa"/>
          </w:tcPr>
          <w:p w14:paraId="41C73F84"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C0050/R0120</w:t>
            </w:r>
          </w:p>
        </w:tc>
        <w:tc>
          <w:tcPr>
            <w:tcW w:w="2255" w:type="dxa"/>
          </w:tcPr>
          <w:p w14:paraId="13DC70DD"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Charge de sinistres brute sur 3 ans</w:t>
            </w:r>
          </w:p>
        </w:tc>
        <w:tc>
          <w:tcPr>
            <w:tcW w:w="5448" w:type="dxa"/>
          </w:tcPr>
          <w:p w14:paraId="0AE293D2"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Charge de sinistres des trois derniers exercices (brute de cessions)</w:t>
            </w:r>
          </w:p>
        </w:tc>
      </w:tr>
      <w:tr w:rsidR="00B922AE" w:rsidRPr="004B4944" w14:paraId="262846FC" w14:textId="77777777" w:rsidTr="00D97517">
        <w:trPr>
          <w:trHeight w:val="409"/>
        </w:trPr>
        <w:tc>
          <w:tcPr>
            <w:tcW w:w="1539" w:type="dxa"/>
          </w:tcPr>
          <w:p w14:paraId="0B4015A2"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C0060/R0120</w:t>
            </w:r>
          </w:p>
        </w:tc>
        <w:tc>
          <w:tcPr>
            <w:tcW w:w="2255" w:type="dxa"/>
          </w:tcPr>
          <w:p w14:paraId="348A9D47"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Charge de sinistres nette sur 3 ans</w:t>
            </w:r>
          </w:p>
        </w:tc>
        <w:tc>
          <w:tcPr>
            <w:tcW w:w="5448" w:type="dxa"/>
          </w:tcPr>
          <w:p w14:paraId="44C073D3"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Charge de sinistres des trois derniers exercices (nette de cessions)</w:t>
            </w:r>
          </w:p>
        </w:tc>
      </w:tr>
      <w:tr w:rsidR="00B922AE" w:rsidRPr="004B4944" w14:paraId="0E52D76A" w14:textId="77777777" w:rsidTr="00D97517">
        <w:trPr>
          <w:trHeight w:val="409"/>
        </w:trPr>
        <w:tc>
          <w:tcPr>
            <w:tcW w:w="1539" w:type="dxa"/>
          </w:tcPr>
          <w:p w14:paraId="72380983"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C0070/ R0120</w:t>
            </w:r>
          </w:p>
        </w:tc>
        <w:tc>
          <w:tcPr>
            <w:tcW w:w="2255" w:type="dxa"/>
          </w:tcPr>
          <w:p w14:paraId="6AD1C9DE"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Rapport de rétention</w:t>
            </w:r>
          </w:p>
        </w:tc>
        <w:tc>
          <w:tcPr>
            <w:tcW w:w="5448" w:type="dxa"/>
          </w:tcPr>
          <w:p w14:paraId="0D3A3D6B"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xml:space="preserve">Correspond au rapport entre la </w:t>
            </w:r>
            <w:r w:rsidRPr="004B4944">
              <w:rPr>
                <w:rFonts w:ascii="Times New Roman" w:hAnsi="Times New Roman"/>
                <w:color w:val="000000" w:themeColor="text1"/>
                <w:sz w:val="20"/>
              </w:rPr>
              <w:t>charge de sinistres nette sur 3 ans et la charge de sinistres brute sur 3 ans</w:t>
            </w:r>
          </w:p>
        </w:tc>
      </w:tr>
      <w:tr w:rsidR="00B922AE" w:rsidRPr="004B4944" w14:paraId="0B0BE0BA" w14:textId="77777777" w:rsidTr="00D97517">
        <w:trPr>
          <w:trHeight w:val="409"/>
        </w:trPr>
        <w:tc>
          <w:tcPr>
            <w:tcW w:w="1539" w:type="dxa"/>
          </w:tcPr>
          <w:p w14:paraId="1B1EB110" w14:textId="77777777" w:rsidR="00B922AE" w:rsidRPr="004B4944" w:rsidRDefault="00B922AE" w:rsidP="00D6241A">
            <w:pPr>
              <w:rPr>
                <w:rFonts w:ascii="Times New Roman" w:hAnsi="Times New Roman"/>
                <w:color w:val="000000" w:themeColor="text1"/>
                <w:sz w:val="20"/>
              </w:rPr>
            </w:pPr>
            <w:r w:rsidRPr="004B4944">
              <w:rPr>
                <w:rFonts w:ascii="Times New Roman" w:hAnsi="Times New Roman"/>
                <w:color w:val="000000" w:themeColor="text1"/>
                <w:sz w:val="20"/>
              </w:rPr>
              <w:t>C0080/R0120</w:t>
            </w:r>
          </w:p>
        </w:tc>
        <w:tc>
          <w:tcPr>
            <w:tcW w:w="2255" w:type="dxa"/>
          </w:tcPr>
          <w:p w14:paraId="037B6518"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 xml:space="preserve">Taux minimal </w:t>
            </w:r>
          </w:p>
        </w:tc>
        <w:tc>
          <w:tcPr>
            <w:tcW w:w="5448" w:type="dxa"/>
          </w:tcPr>
          <w:p w14:paraId="2FE1F8A0"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valeur minimale du coefficient c, à savoir 50%</w:t>
            </w:r>
          </w:p>
        </w:tc>
      </w:tr>
      <w:tr w:rsidR="00B922AE" w:rsidRPr="004B4944" w14:paraId="31222301" w14:textId="77777777" w:rsidTr="00D97517">
        <w:trPr>
          <w:trHeight w:val="409"/>
        </w:trPr>
        <w:tc>
          <w:tcPr>
            <w:tcW w:w="1539" w:type="dxa"/>
          </w:tcPr>
          <w:p w14:paraId="61B907CD"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C0090/R0120</w:t>
            </w:r>
          </w:p>
        </w:tc>
        <w:tc>
          <w:tcPr>
            <w:tcW w:w="2255" w:type="dxa"/>
          </w:tcPr>
          <w:p w14:paraId="126D2136"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Coefficient c</w:t>
            </w:r>
          </w:p>
        </w:tc>
        <w:tc>
          <w:tcPr>
            <w:tcW w:w="5448" w:type="dxa"/>
          </w:tcPr>
          <w:p w14:paraId="7F9FD101"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au maximum entre le rapport de rétention et le taux minimal</w:t>
            </w:r>
          </w:p>
        </w:tc>
      </w:tr>
      <w:tr w:rsidR="00B922AE" w:rsidRPr="004B4944" w14:paraId="1E5F3D4C" w14:textId="77777777" w:rsidTr="00D97517">
        <w:trPr>
          <w:trHeight w:val="409"/>
        </w:trPr>
        <w:tc>
          <w:tcPr>
            <w:tcW w:w="1539" w:type="dxa"/>
          </w:tcPr>
          <w:p w14:paraId="05A598C9"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C0100/R0130</w:t>
            </w:r>
          </w:p>
        </w:tc>
        <w:tc>
          <w:tcPr>
            <w:tcW w:w="2255" w:type="dxa"/>
          </w:tcPr>
          <w:p w14:paraId="3CE30C12"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Provisions pour sinistres à payer nettes de cessions au début de l’exercice</w:t>
            </w:r>
          </w:p>
        </w:tc>
        <w:tc>
          <w:tcPr>
            <w:tcW w:w="5448" w:type="dxa"/>
          </w:tcPr>
          <w:p w14:paraId="6D52D917"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xml:space="preserve">Correspond aux </w:t>
            </w:r>
            <w:r w:rsidRPr="004B4944">
              <w:rPr>
                <w:rFonts w:ascii="Times New Roman" w:hAnsi="Times New Roman"/>
                <w:color w:val="000000" w:themeColor="text1"/>
                <w:sz w:val="20"/>
              </w:rPr>
              <w:t>provisions pour sinistres à payer nettes de cessions au début de l’exercice</w:t>
            </w:r>
          </w:p>
        </w:tc>
      </w:tr>
      <w:tr w:rsidR="00B922AE" w:rsidRPr="004B4944" w14:paraId="5DCDA24C" w14:textId="77777777" w:rsidTr="00D97517">
        <w:trPr>
          <w:trHeight w:val="409"/>
        </w:trPr>
        <w:tc>
          <w:tcPr>
            <w:tcW w:w="1539" w:type="dxa"/>
          </w:tcPr>
          <w:p w14:paraId="46BF3C7D"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C0110/R0130</w:t>
            </w:r>
          </w:p>
        </w:tc>
        <w:tc>
          <w:tcPr>
            <w:tcW w:w="2255" w:type="dxa"/>
          </w:tcPr>
          <w:p w14:paraId="318063DF"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Provisions pour sinistres à payer nettes de cessions à la fin de l’exercice</w:t>
            </w:r>
          </w:p>
        </w:tc>
        <w:tc>
          <w:tcPr>
            <w:tcW w:w="5448" w:type="dxa"/>
          </w:tcPr>
          <w:p w14:paraId="25844166"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xml:space="preserve">Correspond aux </w:t>
            </w:r>
            <w:r w:rsidRPr="004B4944">
              <w:rPr>
                <w:rFonts w:ascii="Times New Roman" w:hAnsi="Times New Roman"/>
                <w:color w:val="000000" w:themeColor="text1"/>
                <w:sz w:val="20"/>
              </w:rPr>
              <w:t>provisions pour sinistres à payer nettes de cessions à la fin de l’exercice</w:t>
            </w:r>
          </w:p>
        </w:tc>
      </w:tr>
      <w:tr w:rsidR="00B922AE" w:rsidRPr="004B4944" w14:paraId="2A76CCE7" w14:textId="77777777" w:rsidTr="00D97517">
        <w:trPr>
          <w:trHeight w:val="409"/>
        </w:trPr>
        <w:tc>
          <w:tcPr>
            <w:tcW w:w="1539" w:type="dxa"/>
          </w:tcPr>
          <w:p w14:paraId="34D818F3"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lastRenderedPageBreak/>
              <w:t>C0120/R0130</w:t>
            </w:r>
          </w:p>
        </w:tc>
        <w:tc>
          <w:tcPr>
            <w:tcW w:w="2255" w:type="dxa"/>
          </w:tcPr>
          <w:p w14:paraId="6141E5DC"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Taux d’évolution des provisions pour sinistres à payer</w:t>
            </w:r>
          </w:p>
        </w:tc>
        <w:tc>
          <w:tcPr>
            <w:tcW w:w="5448" w:type="dxa"/>
          </w:tcPr>
          <w:p w14:paraId="381C22FB"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xml:space="preserve">Correspond au rapport entre les </w:t>
            </w:r>
            <w:r w:rsidRPr="004B4944">
              <w:rPr>
                <w:rFonts w:ascii="Times New Roman" w:hAnsi="Times New Roman"/>
                <w:color w:val="000000" w:themeColor="text1"/>
                <w:sz w:val="20"/>
              </w:rPr>
              <w:t>provisions pour sinistres à payer nettes de cessions à la fin de l’exercice et les provisions pour sinistres à payer nettes de cessions au début de l’exercice</w:t>
            </w:r>
          </w:p>
        </w:tc>
      </w:tr>
      <w:tr w:rsidR="00B922AE" w:rsidRPr="004B4944" w14:paraId="60A0194D" w14:textId="77777777" w:rsidTr="00D97517">
        <w:trPr>
          <w:trHeight w:val="409"/>
        </w:trPr>
        <w:tc>
          <w:tcPr>
            <w:tcW w:w="1539" w:type="dxa"/>
          </w:tcPr>
          <w:p w14:paraId="2A9F8BF7"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C0130/R0130</w:t>
            </w:r>
          </w:p>
        </w:tc>
        <w:tc>
          <w:tcPr>
            <w:tcW w:w="2255" w:type="dxa"/>
          </w:tcPr>
          <w:p w14:paraId="45C95899"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Taux maximal</w:t>
            </w:r>
          </w:p>
        </w:tc>
        <w:tc>
          <w:tcPr>
            <w:tcW w:w="5448" w:type="dxa"/>
          </w:tcPr>
          <w:p w14:paraId="5858C590"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valeur maximale du coefficient alpha, à savoir 100%</w:t>
            </w:r>
          </w:p>
        </w:tc>
      </w:tr>
      <w:tr w:rsidR="00B922AE" w:rsidRPr="004B4944" w14:paraId="0C47AA10" w14:textId="77777777" w:rsidTr="00D97517">
        <w:trPr>
          <w:trHeight w:val="409"/>
        </w:trPr>
        <w:tc>
          <w:tcPr>
            <w:tcW w:w="1539" w:type="dxa"/>
          </w:tcPr>
          <w:p w14:paraId="78F77FB4"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C0140/R0130</w:t>
            </w:r>
          </w:p>
        </w:tc>
        <w:tc>
          <w:tcPr>
            <w:tcW w:w="2255" w:type="dxa"/>
          </w:tcPr>
          <w:p w14:paraId="49EB0956"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Coefficient alpha</w:t>
            </w:r>
          </w:p>
        </w:tc>
        <w:tc>
          <w:tcPr>
            <w:tcW w:w="5448" w:type="dxa"/>
          </w:tcPr>
          <w:p w14:paraId="58D20647"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 xml:space="preserve">Correspond au minimum entre le </w:t>
            </w:r>
            <w:r w:rsidRPr="004B4944">
              <w:rPr>
                <w:rFonts w:ascii="Times New Roman" w:hAnsi="Times New Roman"/>
                <w:color w:val="000000" w:themeColor="text1"/>
                <w:sz w:val="20"/>
              </w:rPr>
              <w:t>taux d’évolution des provisions pour sinistres à payer et le taux maximal</w:t>
            </w:r>
          </w:p>
        </w:tc>
      </w:tr>
      <w:tr w:rsidR="00B922AE" w:rsidRPr="004B4944" w14:paraId="66F3F134" w14:textId="77777777" w:rsidTr="00D97517">
        <w:trPr>
          <w:trHeight w:val="409"/>
        </w:trPr>
        <w:tc>
          <w:tcPr>
            <w:tcW w:w="1539" w:type="dxa"/>
          </w:tcPr>
          <w:p w14:paraId="3453DA3E"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C0150/R0140</w:t>
            </w:r>
          </w:p>
        </w:tc>
        <w:tc>
          <w:tcPr>
            <w:tcW w:w="2255" w:type="dxa"/>
          </w:tcPr>
          <w:p w14:paraId="0FE8395E"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Résultat 1</w:t>
            </w:r>
          </w:p>
        </w:tc>
        <w:tc>
          <w:tcPr>
            <w:tcW w:w="5448" w:type="dxa"/>
          </w:tcPr>
          <w:p w14:paraId="5AED9181"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au TOTAL (a1) multiplié par le coefficient c</w:t>
            </w:r>
          </w:p>
        </w:tc>
      </w:tr>
      <w:tr w:rsidR="00B922AE" w:rsidRPr="004B4944" w14:paraId="69A18B8D" w14:textId="77777777" w:rsidTr="00D97517">
        <w:trPr>
          <w:trHeight w:val="409"/>
        </w:trPr>
        <w:tc>
          <w:tcPr>
            <w:tcW w:w="1539" w:type="dxa"/>
          </w:tcPr>
          <w:p w14:paraId="377954F2"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C0160/R0140</w:t>
            </w:r>
          </w:p>
        </w:tc>
        <w:tc>
          <w:tcPr>
            <w:tcW w:w="2255" w:type="dxa"/>
          </w:tcPr>
          <w:p w14:paraId="44BCA7D3"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Résultat 2</w:t>
            </w:r>
          </w:p>
        </w:tc>
        <w:tc>
          <w:tcPr>
            <w:tcW w:w="5448" w:type="dxa"/>
          </w:tcPr>
          <w:p w14:paraId="147F1050"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au TOTAL (a2) multiplié par le coefficient c</w:t>
            </w:r>
          </w:p>
        </w:tc>
      </w:tr>
      <w:tr w:rsidR="00B922AE" w:rsidRPr="004B4944" w14:paraId="6C8170AD" w14:textId="77777777" w:rsidTr="00D97517">
        <w:trPr>
          <w:trHeight w:val="409"/>
        </w:trPr>
        <w:tc>
          <w:tcPr>
            <w:tcW w:w="1539" w:type="dxa"/>
          </w:tcPr>
          <w:p w14:paraId="75738CCA"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C0170/R0140</w:t>
            </w:r>
          </w:p>
        </w:tc>
        <w:tc>
          <w:tcPr>
            <w:tcW w:w="2255" w:type="dxa"/>
          </w:tcPr>
          <w:p w14:paraId="6CED2927"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s="Times New Roman"/>
                <w:bCs/>
                <w:sz w:val="20"/>
                <w:szCs w:val="20"/>
              </w:rPr>
              <w:t>Exigence de marge de l’exercice précédent</w:t>
            </w:r>
          </w:p>
        </w:tc>
        <w:tc>
          <w:tcPr>
            <w:tcW w:w="5448" w:type="dxa"/>
          </w:tcPr>
          <w:p w14:paraId="7F33A58A"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l’exigence de marge calculée lors de l’exercice précédent</w:t>
            </w:r>
          </w:p>
          <w:p w14:paraId="7B62A58D" w14:textId="77777777" w:rsidR="00491485" w:rsidRPr="004B4944" w:rsidRDefault="00491485" w:rsidP="00D97517">
            <w:pPr>
              <w:rPr>
                <w:rFonts w:ascii="Times New Roman" w:hAnsi="Times New Roman" w:cs="Times New Roman"/>
                <w:bCs/>
                <w:sz w:val="20"/>
                <w:szCs w:val="20"/>
              </w:rPr>
            </w:pPr>
          </w:p>
          <w:p w14:paraId="61509C1A" w14:textId="33F53233" w:rsidR="00491485" w:rsidRPr="004B4944" w:rsidRDefault="00491485" w:rsidP="00491485">
            <w:pPr>
              <w:jc w:val="both"/>
              <w:rPr>
                <w:rFonts w:ascii="Times New Roman" w:hAnsi="Times New Roman" w:cs="Times New Roman"/>
                <w:bCs/>
                <w:sz w:val="20"/>
                <w:szCs w:val="20"/>
              </w:rPr>
            </w:pPr>
            <w:r w:rsidRPr="004B4944">
              <w:rPr>
                <w:rFonts w:ascii="Times New Roman" w:hAnsi="Times New Roman" w:cs="Times New Roman"/>
                <w:bCs/>
                <w:sz w:val="20"/>
                <w:szCs w:val="20"/>
              </w:rPr>
              <w:t>Cas particulier : s’il s’agit du premier exercice ORPS : renseigner la valeur estimative du montant qui aurait été calculé si l’ORPS avait existé l’exercice précédent</w:t>
            </w:r>
          </w:p>
        </w:tc>
      </w:tr>
      <w:tr w:rsidR="00B922AE" w:rsidRPr="004B4944" w14:paraId="6790AAA4" w14:textId="77777777" w:rsidTr="00D97517">
        <w:trPr>
          <w:trHeight w:val="409"/>
        </w:trPr>
        <w:tc>
          <w:tcPr>
            <w:tcW w:w="1539" w:type="dxa"/>
          </w:tcPr>
          <w:p w14:paraId="3CCC97E1" w14:textId="7A40923D"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C0180/R</w:t>
            </w:r>
            <w:r w:rsidR="00D6241A" w:rsidRPr="004B4944">
              <w:rPr>
                <w:rFonts w:ascii="Times New Roman" w:hAnsi="Times New Roman"/>
                <w:color w:val="000000" w:themeColor="text1"/>
                <w:sz w:val="20"/>
              </w:rPr>
              <w:t>0</w:t>
            </w:r>
            <w:r w:rsidRPr="004B4944">
              <w:rPr>
                <w:rFonts w:ascii="Times New Roman" w:hAnsi="Times New Roman"/>
                <w:color w:val="000000" w:themeColor="text1"/>
                <w:sz w:val="20"/>
              </w:rPr>
              <w:t>140</w:t>
            </w:r>
          </w:p>
        </w:tc>
        <w:tc>
          <w:tcPr>
            <w:tcW w:w="2255" w:type="dxa"/>
          </w:tcPr>
          <w:p w14:paraId="0FEB7679"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Résultat 3</w:t>
            </w:r>
          </w:p>
        </w:tc>
        <w:tc>
          <w:tcPr>
            <w:tcW w:w="5448" w:type="dxa"/>
          </w:tcPr>
          <w:p w14:paraId="572CAA5E"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l’exigence de marge de l’exercice précédent multipliée par le coefficient alpha.</w:t>
            </w:r>
          </w:p>
        </w:tc>
      </w:tr>
      <w:tr w:rsidR="00B922AE" w:rsidRPr="004B4944" w14:paraId="519FF73C" w14:textId="77777777" w:rsidTr="00D97517">
        <w:trPr>
          <w:trHeight w:val="409"/>
        </w:trPr>
        <w:tc>
          <w:tcPr>
            <w:tcW w:w="1539" w:type="dxa"/>
          </w:tcPr>
          <w:p w14:paraId="33EF5542"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olor w:val="000000" w:themeColor="text1"/>
                <w:sz w:val="20"/>
              </w:rPr>
              <w:t>C0190/R0140</w:t>
            </w:r>
          </w:p>
        </w:tc>
        <w:tc>
          <w:tcPr>
            <w:tcW w:w="2255" w:type="dxa"/>
          </w:tcPr>
          <w:p w14:paraId="7FA68C3B" w14:textId="77777777" w:rsidR="00B922AE" w:rsidRPr="004B4944" w:rsidRDefault="00B922AE" w:rsidP="00D97517">
            <w:pPr>
              <w:rPr>
                <w:rFonts w:ascii="Times New Roman" w:hAnsi="Times New Roman"/>
                <w:color w:val="000000" w:themeColor="text1"/>
                <w:sz w:val="20"/>
              </w:rPr>
            </w:pPr>
            <w:r w:rsidRPr="004B4944">
              <w:rPr>
                <w:rFonts w:ascii="Times New Roman" w:hAnsi="Times New Roman" w:cs="Times New Roman"/>
                <w:bCs/>
                <w:sz w:val="20"/>
                <w:szCs w:val="20"/>
              </w:rPr>
              <w:t>Exigence minimale de marge à constituer calculé selon les règles non-vie</w:t>
            </w:r>
          </w:p>
        </w:tc>
        <w:tc>
          <w:tcPr>
            <w:tcW w:w="5448" w:type="dxa"/>
          </w:tcPr>
          <w:p w14:paraId="335EA9AC"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au maximum entre le Résultat 1, le Résultat 2 et le Résultat 3</w:t>
            </w:r>
          </w:p>
        </w:tc>
      </w:tr>
    </w:tbl>
    <w:p w14:paraId="2B347E2F" w14:textId="77777777" w:rsidR="00B922AE" w:rsidRPr="004B4944" w:rsidRDefault="00B922AE" w:rsidP="00B922AE">
      <w:pPr>
        <w:rPr>
          <w:rFonts w:ascii="Times New Roman" w:hAnsi="Times New Roman" w:cs="Times New Roman"/>
          <w:b/>
          <w:bCs/>
          <w:sz w:val="20"/>
          <w:szCs w:val="20"/>
        </w:rPr>
      </w:pPr>
    </w:p>
    <w:p w14:paraId="49F401BF" w14:textId="70819452" w:rsidR="00A46642" w:rsidRPr="004B4944" w:rsidRDefault="00A46642" w:rsidP="00744D3D">
      <w:pPr>
        <w:spacing w:after="240"/>
        <w:ind w:left="-113"/>
        <w:rPr>
          <w:rFonts w:ascii="Times New Roman" w:hAnsi="Times New Roman" w:cs="Times New Roman"/>
          <w:bCs/>
          <w:noProof/>
          <w:sz w:val="20"/>
          <w:szCs w:val="20"/>
          <w:lang w:bidi="ar-SA"/>
        </w:rPr>
      </w:pPr>
      <w:r w:rsidRPr="004B4944">
        <w:rPr>
          <w:rFonts w:ascii="Times New Roman" w:hAnsi="Times New Roman" w:cs="Times New Roman"/>
          <w:bCs/>
          <w:sz w:val="20"/>
          <w:szCs w:val="20"/>
        </w:rPr>
        <w:t xml:space="preserve">   </w:t>
      </w:r>
      <w:r w:rsidR="00B922AE" w:rsidRPr="004B4944">
        <w:rPr>
          <w:rFonts w:ascii="Times New Roman" w:hAnsi="Times New Roman" w:cs="Times New Roman"/>
          <w:bCs/>
          <w:sz w:val="20"/>
          <w:szCs w:val="20"/>
        </w:rPr>
        <w:t>Tableau</w:t>
      </w:r>
      <w:r w:rsidR="000743FF" w:rsidRPr="004B4944">
        <w:rPr>
          <w:rFonts w:ascii="Times New Roman" w:hAnsi="Times New Roman" w:cs="Times New Roman"/>
          <w:bCs/>
          <w:sz w:val="20"/>
          <w:szCs w:val="20"/>
        </w:rPr>
        <w:t>x de l’état</w:t>
      </w:r>
    </w:p>
    <w:p w14:paraId="362407C6" w14:textId="6E3511C1" w:rsidR="007B0037" w:rsidRPr="004B4944" w:rsidRDefault="007B0037" w:rsidP="00744D3D">
      <w:pPr>
        <w:spacing w:after="240"/>
        <w:ind w:left="-113"/>
        <w:rPr>
          <w:rFonts w:ascii="Times New Roman" w:hAnsi="Times New Roman" w:cs="Times New Roman"/>
          <w:bCs/>
          <w:sz w:val="20"/>
          <w:szCs w:val="20"/>
        </w:rPr>
      </w:pPr>
      <w:r w:rsidRPr="004B4944">
        <w:rPr>
          <w:noProof/>
          <w:lang w:bidi="ar-SA"/>
        </w:rPr>
        <w:drawing>
          <wp:inline distT="0" distB="0" distL="0" distR="0" wp14:anchorId="04F701DE" wp14:editId="5E98D6ED">
            <wp:extent cx="6004738" cy="272561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08891" cy="2727501"/>
                    </a:xfrm>
                    <a:prstGeom prst="rect">
                      <a:avLst/>
                    </a:prstGeom>
                  </pic:spPr>
                </pic:pic>
              </a:graphicData>
            </a:graphic>
          </wp:inline>
        </w:drawing>
      </w:r>
    </w:p>
    <w:p w14:paraId="037A68DE" w14:textId="64034A62" w:rsidR="00A46642" w:rsidRPr="004B4944" w:rsidRDefault="007B0037" w:rsidP="00744D3D">
      <w:pPr>
        <w:spacing w:after="240"/>
        <w:ind w:left="-113"/>
        <w:rPr>
          <w:rFonts w:ascii="Times New Roman" w:hAnsi="Times New Roman" w:cs="Times New Roman"/>
          <w:bCs/>
          <w:sz w:val="20"/>
          <w:szCs w:val="20"/>
        </w:rPr>
      </w:pPr>
      <w:r w:rsidRPr="004B4944">
        <w:rPr>
          <w:noProof/>
          <w:lang w:bidi="ar-SA"/>
        </w:rPr>
        <w:lastRenderedPageBreak/>
        <w:drawing>
          <wp:inline distT="0" distB="0" distL="0" distR="0" wp14:anchorId="6D497075" wp14:editId="12365F7F">
            <wp:extent cx="6029202" cy="3751385"/>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43423" cy="3760233"/>
                    </a:xfrm>
                    <a:prstGeom prst="rect">
                      <a:avLst/>
                    </a:prstGeom>
                  </pic:spPr>
                </pic:pic>
              </a:graphicData>
            </a:graphic>
          </wp:inline>
        </w:drawing>
      </w:r>
    </w:p>
    <w:p w14:paraId="00DCAB24" w14:textId="4EC16CC7" w:rsidR="00B922AE" w:rsidRPr="004B4944" w:rsidRDefault="00B922AE" w:rsidP="00744D3D">
      <w:pPr>
        <w:ind w:left="-283"/>
        <w:rPr>
          <w:rFonts w:ascii="Times New Roman" w:hAnsi="Times New Roman" w:cs="Times New Roman"/>
          <w:b/>
          <w:bCs/>
          <w:sz w:val="20"/>
          <w:szCs w:val="20"/>
        </w:rPr>
      </w:pPr>
      <w:r w:rsidRPr="004B4944">
        <w:rPr>
          <w:rFonts w:ascii="Times New Roman" w:hAnsi="Times New Roman" w:cs="Times New Roman"/>
          <w:b/>
          <w:bCs/>
          <w:sz w:val="20"/>
          <w:szCs w:val="20"/>
        </w:rPr>
        <w:br w:type="column"/>
      </w:r>
      <w:r w:rsidRPr="004B4944">
        <w:rPr>
          <w:rFonts w:ascii="Times New Roman" w:hAnsi="Times New Roman" w:cs="Times New Roman"/>
          <w:b/>
          <w:bCs/>
          <w:sz w:val="20"/>
          <w:szCs w:val="20"/>
        </w:rPr>
        <w:lastRenderedPageBreak/>
        <w:t>RP.42.03.01– Exigence minimale de marge : éléments constitutifs</w:t>
      </w:r>
    </w:p>
    <w:p w14:paraId="473DFF39" w14:textId="14255DBE" w:rsidR="00B922AE" w:rsidRPr="004B4944" w:rsidRDefault="00B922AE" w:rsidP="00B922AE">
      <w:pPr>
        <w:rPr>
          <w:rFonts w:ascii="Times New Roman" w:hAnsi="Times New Roman" w:cs="Times New Roman"/>
          <w:bCs/>
          <w:sz w:val="20"/>
          <w:szCs w:val="20"/>
          <w:u w:val="single"/>
        </w:rPr>
      </w:pPr>
      <w:r w:rsidRPr="004B4944">
        <w:rPr>
          <w:rFonts w:ascii="Times New Roman" w:hAnsi="Times New Roman" w:cs="Times New Roman"/>
          <w:bCs/>
          <w:sz w:val="20"/>
          <w:szCs w:val="20"/>
          <w:u w:val="single"/>
        </w:rPr>
        <w:t>Utilisation de l’état</w:t>
      </w:r>
    </w:p>
    <w:tbl>
      <w:tblPr>
        <w:tblStyle w:val="Grilledutableau"/>
        <w:tblW w:w="0" w:type="auto"/>
        <w:tblLook w:val="04A0" w:firstRow="1" w:lastRow="0" w:firstColumn="1" w:lastColumn="0" w:noHBand="0" w:noVBand="1"/>
      </w:tblPr>
      <w:tblGrid>
        <w:gridCol w:w="1539"/>
        <w:gridCol w:w="2217"/>
        <w:gridCol w:w="5260"/>
      </w:tblGrid>
      <w:tr w:rsidR="00B922AE" w:rsidRPr="004B4944" w14:paraId="45B9008A" w14:textId="77777777" w:rsidTr="00D97517">
        <w:trPr>
          <w:trHeight w:val="285"/>
          <w:tblHeader/>
        </w:trPr>
        <w:tc>
          <w:tcPr>
            <w:tcW w:w="1539" w:type="dxa"/>
            <w:noWrap/>
            <w:hideMark/>
          </w:tcPr>
          <w:p w14:paraId="2C9E3E99" w14:textId="77777777" w:rsidR="00B922AE" w:rsidRPr="004B4944" w:rsidRDefault="00B922AE" w:rsidP="00D97517">
            <w:pPr>
              <w:jc w:val="center"/>
              <w:rPr>
                <w:rFonts w:ascii="Times New Roman" w:hAnsi="Times New Roman" w:cs="Times New Roman"/>
                <w:i/>
                <w:sz w:val="20"/>
                <w:szCs w:val="20"/>
              </w:rPr>
            </w:pPr>
          </w:p>
          <w:p w14:paraId="4DD4481A" w14:textId="77777777" w:rsidR="00B922AE" w:rsidRPr="004B4944" w:rsidRDefault="00B922AE" w:rsidP="00D97517">
            <w:pPr>
              <w:jc w:val="center"/>
              <w:rPr>
                <w:rFonts w:ascii="Times New Roman" w:hAnsi="Times New Roman" w:cs="Times New Roman"/>
                <w:i/>
                <w:sz w:val="20"/>
                <w:szCs w:val="20"/>
              </w:rPr>
            </w:pPr>
            <w:r w:rsidRPr="004B4944">
              <w:rPr>
                <w:rFonts w:ascii="Times New Roman" w:hAnsi="Times New Roman" w:cs="Times New Roman"/>
                <w:i/>
                <w:sz w:val="20"/>
                <w:szCs w:val="20"/>
              </w:rPr>
              <w:t>RP.42.03.01</w:t>
            </w:r>
          </w:p>
          <w:p w14:paraId="63DEEE97" w14:textId="77777777" w:rsidR="00B922AE" w:rsidRPr="004B4944" w:rsidRDefault="00B922AE" w:rsidP="00D97517">
            <w:pPr>
              <w:jc w:val="center"/>
              <w:rPr>
                <w:rFonts w:ascii="Times New Roman" w:hAnsi="Times New Roman" w:cs="Times New Roman"/>
                <w:color w:val="FF0000"/>
                <w:sz w:val="20"/>
                <w:szCs w:val="20"/>
              </w:rPr>
            </w:pPr>
          </w:p>
        </w:tc>
        <w:tc>
          <w:tcPr>
            <w:tcW w:w="2255" w:type="dxa"/>
            <w:hideMark/>
          </w:tcPr>
          <w:p w14:paraId="7A73F09E" w14:textId="77777777" w:rsidR="00B922AE" w:rsidRPr="004B4944" w:rsidRDefault="00B922AE" w:rsidP="00D97517">
            <w:pPr>
              <w:jc w:val="center"/>
              <w:rPr>
                <w:rFonts w:ascii="Times New Roman" w:hAnsi="Times New Roman"/>
                <w:b/>
                <w:sz w:val="20"/>
              </w:rPr>
            </w:pPr>
          </w:p>
          <w:p w14:paraId="4CE2CE77" w14:textId="77777777" w:rsidR="00B922AE" w:rsidRPr="004B4944" w:rsidRDefault="00B922AE" w:rsidP="00D97517">
            <w:pPr>
              <w:jc w:val="center"/>
              <w:rPr>
                <w:rFonts w:ascii="Times New Roman" w:hAnsi="Times New Roman" w:cs="Times New Roman"/>
                <w:b/>
                <w:bCs/>
                <w:sz w:val="20"/>
                <w:szCs w:val="20"/>
              </w:rPr>
            </w:pPr>
            <w:r w:rsidRPr="004B4944">
              <w:rPr>
                <w:rFonts w:ascii="Times New Roman" w:hAnsi="Times New Roman"/>
                <w:b/>
                <w:sz w:val="20"/>
              </w:rPr>
              <w:t>ÉLÉMENT À DÉCLARER</w:t>
            </w:r>
          </w:p>
        </w:tc>
        <w:tc>
          <w:tcPr>
            <w:tcW w:w="5448" w:type="dxa"/>
            <w:hideMark/>
          </w:tcPr>
          <w:p w14:paraId="341788D1" w14:textId="77777777" w:rsidR="00B922AE" w:rsidRPr="004B4944" w:rsidRDefault="00B922AE" w:rsidP="00D97517">
            <w:pPr>
              <w:jc w:val="center"/>
              <w:rPr>
                <w:rFonts w:ascii="Times New Roman" w:hAnsi="Times New Roman"/>
                <w:b/>
                <w:sz w:val="20"/>
              </w:rPr>
            </w:pPr>
          </w:p>
          <w:p w14:paraId="05E88EC0" w14:textId="77777777" w:rsidR="00B922AE" w:rsidRPr="004B4944" w:rsidRDefault="00B922AE" w:rsidP="00D97517">
            <w:pPr>
              <w:jc w:val="center"/>
              <w:rPr>
                <w:rFonts w:ascii="Times New Roman" w:hAnsi="Times New Roman" w:cs="Times New Roman"/>
                <w:b/>
                <w:bCs/>
                <w:sz w:val="20"/>
                <w:szCs w:val="20"/>
              </w:rPr>
            </w:pPr>
            <w:r w:rsidRPr="004B4944">
              <w:rPr>
                <w:rFonts w:ascii="Times New Roman" w:hAnsi="Times New Roman"/>
                <w:b/>
                <w:sz w:val="20"/>
              </w:rPr>
              <w:t>INSTRUCTIONS</w:t>
            </w:r>
          </w:p>
        </w:tc>
      </w:tr>
      <w:tr w:rsidR="008E0950" w:rsidRPr="004B4944" w14:paraId="0FC91C8C" w14:textId="77777777" w:rsidTr="00D97517">
        <w:trPr>
          <w:trHeight w:val="530"/>
        </w:trPr>
        <w:tc>
          <w:tcPr>
            <w:tcW w:w="1539" w:type="dxa"/>
          </w:tcPr>
          <w:p w14:paraId="200D62B7" w14:textId="49AA0250" w:rsidR="008E0950" w:rsidRPr="004B4944" w:rsidRDefault="008E0950" w:rsidP="00807060">
            <w:pPr>
              <w:rPr>
                <w:rFonts w:ascii="Times New Roman" w:hAnsi="Times New Roman"/>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0/R00</w:t>
            </w:r>
            <w:r w:rsidR="00807060" w:rsidRPr="004B4944">
              <w:rPr>
                <w:rFonts w:ascii="Times New Roman" w:hAnsi="Times New Roman"/>
                <w:sz w:val="20"/>
              </w:rPr>
              <w:t>20</w:t>
            </w:r>
          </w:p>
        </w:tc>
        <w:tc>
          <w:tcPr>
            <w:tcW w:w="2255" w:type="dxa"/>
          </w:tcPr>
          <w:p w14:paraId="3C90D05C" w14:textId="10F7CDB4" w:rsidR="008E0950" w:rsidRPr="004B4944" w:rsidRDefault="008E0950" w:rsidP="00D97517">
            <w:pPr>
              <w:rPr>
                <w:rFonts w:ascii="Times New Roman" w:hAnsi="Times New Roman" w:cs="Times New Roman"/>
                <w:bCs/>
                <w:sz w:val="20"/>
                <w:szCs w:val="20"/>
              </w:rPr>
            </w:pPr>
            <w:r w:rsidRPr="004B4944">
              <w:rPr>
                <w:rFonts w:ascii="Times New Roman" w:hAnsi="Times New Roman" w:cs="Times New Roman"/>
                <w:bCs/>
                <w:sz w:val="20"/>
                <w:szCs w:val="20"/>
              </w:rPr>
              <w:t>Exigence minimale de marge vie</w:t>
            </w:r>
          </w:p>
        </w:tc>
        <w:tc>
          <w:tcPr>
            <w:tcW w:w="5448" w:type="dxa"/>
          </w:tcPr>
          <w:p w14:paraId="1A963703" w14:textId="0A63157F" w:rsidR="008E0950" w:rsidRPr="004B4944" w:rsidRDefault="008E0950" w:rsidP="00807060">
            <w:pPr>
              <w:rPr>
                <w:rFonts w:ascii="Times New Roman" w:hAnsi="Times New Roman" w:cs="Times New Roman"/>
                <w:bCs/>
                <w:sz w:val="20"/>
                <w:szCs w:val="20"/>
              </w:rPr>
            </w:pPr>
            <w:r w:rsidRPr="004B4944">
              <w:rPr>
                <w:rFonts w:ascii="Times New Roman" w:hAnsi="Times New Roman" w:cs="Times New Roman"/>
                <w:bCs/>
                <w:sz w:val="20"/>
                <w:szCs w:val="20"/>
              </w:rPr>
              <w:t>Correspond à C0090/R0</w:t>
            </w:r>
            <w:r w:rsidR="00807060" w:rsidRPr="004B4944">
              <w:rPr>
                <w:rFonts w:ascii="Times New Roman" w:hAnsi="Times New Roman" w:cs="Times New Roman"/>
                <w:bCs/>
                <w:sz w:val="20"/>
                <w:szCs w:val="20"/>
              </w:rPr>
              <w:t>17</w:t>
            </w:r>
            <w:r w:rsidRPr="004B4944">
              <w:rPr>
                <w:rFonts w:ascii="Times New Roman" w:hAnsi="Times New Roman" w:cs="Times New Roman"/>
                <w:bCs/>
                <w:sz w:val="20"/>
                <w:szCs w:val="20"/>
              </w:rPr>
              <w:t>0 de l’état RP.42.01.01</w:t>
            </w:r>
          </w:p>
        </w:tc>
      </w:tr>
      <w:tr w:rsidR="008E0950" w:rsidRPr="004B4944" w14:paraId="63BFEA53" w14:textId="77777777" w:rsidTr="00D97517">
        <w:trPr>
          <w:trHeight w:val="530"/>
        </w:trPr>
        <w:tc>
          <w:tcPr>
            <w:tcW w:w="1539" w:type="dxa"/>
          </w:tcPr>
          <w:p w14:paraId="0E3DC50D" w14:textId="7FBD33AC" w:rsidR="008E0950" w:rsidRPr="004B4944" w:rsidRDefault="008E0950" w:rsidP="00807060">
            <w:pPr>
              <w:rPr>
                <w:rFonts w:ascii="Times New Roman" w:hAnsi="Times New Roman"/>
                <w:sz w:val="20"/>
              </w:rPr>
            </w:pPr>
            <w:r w:rsidRPr="004B4944">
              <w:rPr>
                <w:rFonts w:ascii="Times New Roman" w:hAnsi="Times New Roman"/>
                <w:sz w:val="20"/>
              </w:rPr>
              <w:t>C00</w:t>
            </w:r>
            <w:r w:rsidR="00807060" w:rsidRPr="004B4944">
              <w:rPr>
                <w:rFonts w:ascii="Times New Roman" w:hAnsi="Times New Roman"/>
                <w:sz w:val="20"/>
              </w:rPr>
              <w:t>1</w:t>
            </w:r>
            <w:r w:rsidRPr="004B4944">
              <w:rPr>
                <w:rFonts w:ascii="Times New Roman" w:hAnsi="Times New Roman"/>
                <w:sz w:val="20"/>
              </w:rPr>
              <w:t>0/R00</w:t>
            </w:r>
            <w:r w:rsidR="00807060" w:rsidRPr="004B4944">
              <w:rPr>
                <w:rFonts w:ascii="Times New Roman" w:hAnsi="Times New Roman"/>
                <w:sz w:val="20"/>
              </w:rPr>
              <w:t>30</w:t>
            </w:r>
          </w:p>
        </w:tc>
        <w:tc>
          <w:tcPr>
            <w:tcW w:w="2255" w:type="dxa"/>
          </w:tcPr>
          <w:p w14:paraId="72BD3A58" w14:textId="2823123F" w:rsidR="008E0950" w:rsidRPr="004B4944" w:rsidRDefault="008E0950" w:rsidP="00D97517">
            <w:pPr>
              <w:rPr>
                <w:rFonts w:ascii="Times New Roman" w:hAnsi="Times New Roman" w:cs="Times New Roman"/>
                <w:bCs/>
                <w:sz w:val="20"/>
                <w:szCs w:val="20"/>
              </w:rPr>
            </w:pPr>
            <w:r w:rsidRPr="004B4944">
              <w:rPr>
                <w:rFonts w:ascii="Times New Roman" w:hAnsi="Times New Roman" w:cs="Times New Roman"/>
                <w:bCs/>
                <w:sz w:val="20"/>
                <w:szCs w:val="20"/>
              </w:rPr>
              <w:t>Exigence minimale de marge non-vie</w:t>
            </w:r>
          </w:p>
        </w:tc>
        <w:tc>
          <w:tcPr>
            <w:tcW w:w="5448" w:type="dxa"/>
          </w:tcPr>
          <w:p w14:paraId="60742BC4" w14:textId="26F5CAF9" w:rsidR="008E0950" w:rsidRPr="004B4944" w:rsidRDefault="008E0950" w:rsidP="00807060">
            <w:pPr>
              <w:rPr>
                <w:rFonts w:ascii="Times New Roman" w:hAnsi="Times New Roman" w:cs="Times New Roman"/>
                <w:bCs/>
                <w:sz w:val="20"/>
                <w:szCs w:val="20"/>
              </w:rPr>
            </w:pPr>
            <w:r w:rsidRPr="004B4944">
              <w:rPr>
                <w:rFonts w:ascii="Times New Roman" w:hAnsi="Times New Roman" w:cs="Times New Roman"/>
                <w:bCs/>
                <w:sz w:val="20"/>
                <w:szCs w:val="20"/>
              </w:rPr>
              <w:t>Correspond à C0</w:t>
            </w:r>
            <w:r w:rsidR="00807060" w:rsidRPr="004B4944">
              <w:rPr>
                <w:rFonts w:ascii="Times New Roman" w:hAnsi="Times New Roman" w:cs="Times New Roman"/>
                <w:bCs/>
                <w:sz w:val="20"/>
                <w:szCs w:val="20"/>
              </w:rPr>
              <w:t>1</w:t>
            </w:r>
            <w:r w:rsidRPr="004B4944">
              <w:rPr>
                <w:rFonts w:ascii="Times New Roman" w:hAnsi="Times New Roman" w:cs="Times New Roman"/>
                <w:bCs/>
                <w:sz w:val="20"/>
                <w:szCs w:val="20"/>
              </w:rPr>
              <w:t>90/R0140 de l’état RP.42.02.01</w:t>
            </w:r>
          </w:p>
        </w:tc>
      </w:tr>
      <w:tr w:rsidR="008E0950" w:rsidRPr="004B4944" w14:paraId="0042D2AC" w14:textId="77777777" w:rsidTr="00D97517">
        <w:trPr>
          <w:trHeight w:val="530"/>
        </w:trPr>
        <w:tc>
          <w:tcPr>
            <w:tcW w:w="1539" w:type="dxa"/>
          </w:tcPr>
          <w:p w14:paraId="0C063107" w14:textId="662B622A" w:rsidR="008E0950" w:rsidRPr="004B4944" w:rsidRDefault="008E0950" w:rsidP="00D97517">
            <w:pPr>
              <w:rPr>
                <w:rFonts w:ascii="Times New Roman" w:hAnsi="Times New Roman"/>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0/R0010</w:t>
            </w:r>
          </w:p>
        </w:tc>
        <w:tc>
          <w:tcPr>
            <w:tcW w:w="2255" w:type="dxa"/>
          </w:tcPr>
          <w:p w14:paraId="64939EED" w14:textId="77777777" w:rsidR="008E0950" w:rsidRPr="004B4944" w:rsidRDefault="008E0950" w:rsidP="00D97517">
            <w:pPr>
              <w:rPr>
                <w:rFonts w:ascii="Times New Roman" w:hAnsi="Times New Roman" w:cs="Times New Roman"/>
                <w:bCs/>
                <w:sz w:val="20"/>
                <w:szCs w:val="20"/>
              </w:rPr>
            </w:pPr>
            <w:r w:rsidRPr="004B4944">
              <w:rPr>
                <w:rFonts w:ascii="Times New Roman" w:hAnsi="Times New Roman" w:cs="Times New Roman"/>
                <w:bCs/>
                <w:sz w:val="20"/>
                <w:szCs w:val="20"/>
              </w:rPr>
              <w:t>Exigence minimale de marge (vie + non-vie)</w:t>
            </w:r>
          </w:p>
        </w:tc>
        <w:tc>
          <w:tcPr>
            <w:tcW w:w="5448" w:type="dxa"/>
          </w:tcPr>
          <w:p w14:paraId="0E44CB95" w14:textId="0629D960" w:rsidR="008E0950" w:rsidRPr="004B4944" w:rsidRDefault="008E0950" w:rsidP="008E0950">
            <w:pPr>
              <w:rPr>
                <w:rFonts w:ascii="Times New Roman" w:hAnsi="Times New Roman" w:cs="Times New Roman"/>
                <w:bCs/>
                <w:sz w:val="20"/>
                <w:szCs w:val="20"/>
              </w:rPr>
            </w:pPr>
            <w:r w:rsidRPr="004B4944">
              <w:rPr>
                <w:rFonts w:ascii="Times New Roman" w:hAnsi="Times New Roman" w:cs="Times New Roman"/>
                <w:bCs/>
                <w:sz w:val="20"/>
                <w:szCs w:val="20"/>
              </w:rPr>
              <w:t>Correspond à la somme des exigences minimales de marge vie et non-vie</w:t>
            </w:r>
          </w:p>
        </w:tc>
      </w:tr>
      <w:tr w:rsidR="00B922AE" w:rsidRPr="004B4944" w14:paraId="62A52EB9" w14:textId="77777777" w:rsidTr="00D97517">
        <w:trPr>
          <w:trHeight w:val="530"/>
        </w:trPr>
        <w:tc>
          <w:tcPr>
            <w:tcW w:w="1539" w:type="dxa"/>
            <w:hideMark/>
          </w:tcPr>
          <w:p w14:paraId="65568F17" w14:textId="3B0A4C60" w:rsidR="00B922AE" w:rsidRPr="004B4944" w:rsidRDefault="00B922AE" w:rsidP="00807060">
            <w:pPr>
              <w:rPr>
                <w:rFonts w:ascii="Times New Roman" w:hAnsi="Times New Roman" w:cs="Times New Roman"/>
                <w:color w:val="FF0000"/>
                <w:sz w:val="20"/>
                <w:szCs w:val="20"/>
              </w:rPr>
            </w:pPr>
            <w:r w:rsidRPr="004B4944">
              <w:rPr>
                <w:rFonts w:ascii="Times New Roman" w:hAnsi="Times New Roman"/>
                <w:sz w:val="20"/>
              </w:rPr>
              <w:t>C0</w:t>
            </w:r>
            <w:r w:rsidR="00D6241A" w:rsidRPr="004B4944">
              <w:rPr>
                <w:rFonts w:ascii="Times New Roman" w:hAnsi="Times New Roman"/>
                <w:sz w:val="20"/>
              </w:rPr>
              <w:t>0</w:t>
            </w:r>
            <w:r w:rsidR="00807060" w:rsidRPr="004B4944">
              <w:rPr>
                <w:rFonts w:ascii="Times New Roman" w:hAnsi="Times New Roman"/>
                <w:sz w:val="20"/>
              </w:rPr>
              <w:t>10/R0050</w:t>
            </w:r>
          </w:p>
        </w:tc>
        <w:tc>
          <w:tcPr>
            <w:tcW w:w="2255" w:type="dxa"/>
            <w:hideMark/>
          </w:tcPr>
          <w:p w14:paraId="44BC40D8"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bCs/>
                <w:sz w:val="20"/>
                <w:szCs w:val="20"/>
              </w:rPr>
              <w:t>Capital social versé ou fonds d'établissement constitué</w:t>
            </w:r>
          </w:p>
        </w:tc>
        <w:tc>
          <w:tcPr>
            <w:tcW w:w="5448" w:type="dxa"/>
            <w:hideMark/>
          </w:tcPr>
          <w:p w14:paraId="05106FFF"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bCs/>
                <w:sz w:val="20"/>
                <w:szCs w:val="20"/>
              </w:rPr>
              <w:t>Capital social versé ou fonds d'établissement constitué ou, pour les succursales d'entreprises étrangères, solde du compte courant avec le siège social</w:t>
            </w:r>
          </w:p>
        </w:tc>
      </w:tr>
      <w:tr w:rsidR="00B922AE" w:rsidRPr="004B4944" w14:paraId="16533766" w14:textId="77777777" w:rsidTr="00D97517">
        <w:trPr>
          <w:trHeight w:val="70"/>
        </w:trPr>
        <w:tc>
          <w:tcPr>
            <w:tcW w:w="1539" w:type="dxa"/>
            <w:hideMark/>
          </w:tcPr>
          <w:p w14:paraId="75FE6C09" w14:textId="105B0F82" w:rsidR="00B922AE" w:rsidRPr="004B4944" w:rsidRDefault="00B922AE" w:rsidP="00807060">
            <w:pPr>
              <w:rPr>
                <w:rFonts w:ascii="Times New Roman" w:hAnsi="Times New Roman" w:cs="Times New Roman"/>
                <w:sz w:val="20"/>
                <w:szCs w:val="20"/>
              </w:rPr>
            </w:pPr>
            <w:r w:rsidRPr="004B4944">
              <w:rPr>
                <w:rFonts w:ascii="Times New Roman" w:hAnsi="Times New Roman"/>
                <w:sz w:val="20"/>
              </w:rPr>
              <w:t>C0</w:t>
            </w:r>
            <w:r w:rsidR="00D6241A" w:rsidRPr="004B4944">
              <w:rPr>
                <w:rFonts w:ascii="Times New Roman" w:hAnsi="Times New Roman"/>
                <w:sz w:val="20"/>
              </w:rPr>
              <w:t>0</w:t>
            </w:r>
            <w:r w:rsidR="00807060" w:rsidRPr="004B4944">
              <w:rPr>
                <w:rFonts w:ascii="Times New Roman" w:hAnsi="Times New Roman"/>
                <w:sz w:val="20"/>
              </w:rPr>
              <w:t>1</w:t>
            </w:r>
            <w:r w:rsidRPr="004B4944">
              <w:rPr>
                <w:rFonts w:ascii="Times New Roman" w:hAnsi="Times New Roman"/>
                <w:sz w:val="20"/>
              </w:rPr>
              <w:t>0/R00</w:t>
            </w:r>
            <w:r w:rsidR="00807060" w:rsidRPr="004B4944">
              <w:rPr>
                <w:rFonts w:ascii="Times New Roman" w:hAnsi="Times New Roman"/>
                <w:sz w:val="20"/>
              </w:rPr>
              <w:t>6</w:t>
            </w:r>
            <w:r w:rsidRPr="004B4944">
              <w:rPr>
                <w:rFonts w:ascii="Times New Roman" w:hAnsi="Times New Roman"/>
                <w:sz w:val="20"/>
              </w:rPr>
              <w:t>0</w:t>
            </w:r>
          </w:p>
        </w:tc>
        <w:tc>
          <w:tcPr>
            <w:tcW w:w="2255" w:type="dxa"/>
            <w:hideMark/>
          </w:tcPr>
          <w:p w14:paraId="3C8386A3" w14:textId="77777777" w:rsidR="00B922AE" w:rsidRPr="004B4944" w:rsidRDefault="00B922AE" w:rsidP="00D97517">
            <w:pPr>
              <w:rPr>
                <w:rFonts w:ascii="Times New Roman" w:hAnsi="Times New Roman" w:cs="Times New Roman"/>
                <w:sz w:val="20"/>
                <w:szCs w:val="20"/>
              </w:rPr>
            </w:pPr>
            <w:r w:rsidRPr="004B4944">
              <w:rPr>
                <w:rFonts w:ascii="Times New Roman" w:hAnsi="Times New Roman"/>
                <w:sz w:val="20"/>
              </w:rPr>
              <w:t>Réserves non engagées</w:t>
            </w:r>
          </w:p>
        </w:tc>
        <w:tc>
          <w:tcPr>
            <w:tcW w:w="5448" w:type="dxa"/>
            <w:hideMark/>
          </w:tcPr>
          <w:p w14:paraId="1CD0EE50"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bCs/>
                <w:sz w:val="20"/>
                <w:szCs w:val="20"/>
              </w:rPr>
              <w:t>Réserves ne correspondant pas à des engagements, y compris réserve de capitalisation</w:t>
            </w:r>
          </w:p>
        </w:tc>
      </w:tr>
      <w:tr w:rsidR="00B922AE" w:rsidRPr="004B4944" w14:paraId="28559563" w14:textId="77777777" w:rsidTr="00D97517">
        <w:trPr>
          <w:trHeight w:val="70"/>
        </w:trPr>
        <w:tc>
          <w:tcPr>
            <w:tcW w:w="1539" w:type="dxa"/>
            <w:hideMark/>
          </w:tcPr>
          <w:p w14:paraId="118110B6" w14:textId="1FCB790D" w:rsidR="00B922AE" w:rsidRPr="004B4944" w:rsidRDefault="00807060" w:rsidP="00D97517">
            <w:pPr>
              <w:rPr>
                <w:rFonts w:ascii="Times New Roman" w:hAnsi="Times New Roman" w:cs="Times New Roman"/>
                <w:sz w:val="20"/>
                <w:szCs w:val="20"/>
              </w:rPr>
            </w:pPr>
            <w:r w:rsidRPr="004B4944">
              <w:rPr>
                <w:rFonts w:ascii="Times New Roman" w:hAnsi="Times New Roman"/>
                <w:sz w:val="20"/>
              </w:rPr>
              <w:t>C0010/R007</w:t>
            </w:r>
            <w:r w:rsidR="00B922AE" w:rsidRPr="004B4944">
              <w:rPr>
                <w:rFonts w:ascii="Times New Roman" w:hAnsi="Times New Roman"/>
                <w:sz w:val="20"/>
              </w:rPr>
              <w:t>0</w:t>
            </w:r>
          </w:p>
        </w:tc>
        <w:tc>
          <w:tcPr>
            <w:tcW w:w="2255" w:type="dxa"/>
            <w:hideMark/>
          </w:tcPr>
          <w:p w14:paraId="1F6AC2A0"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bCs/>
                <w:sz w:val="20"/>
                <w:szCs w:val="20"/>
              </w:rPr>
              <w:t>Report à nouveau</w:t>
            </w:r>
          </w:p>
        </w:tc>
        <w:tc>
          <w:tcPr>
            <w:tcW w:w="5448" w:type="dxa"/>
            <w:hideMark/>
          </w:tcPr>
          <w:p w14:paraId="5DB949EB" w14:textId="77777777" w:rsidR="00B922AE" w:rsidRPr="004B4944" w:rsidRDefault="00B922AE" w:rsidP="00D97517">
            <w:pPr>
              <w:rPr>
                <w:rFonts w:ascii="Times New Roman" w:hAnsi="Times New Roman" w:cs="Times New Roman"/>
                <w:color w:val="FF0000"/>
                <w:sz w:val="20"/>
                <w:szCs w:val="20"/>
              </w:rPr>
            </w:pPr>
            <w:r w:rsidRPr="004B4944">
              <w:rPr>
                <w:rFonts w:ascii="Times New Roman" w:hAnsi="Times New Roman" w:cs="Times New Roman"/>
                <w:bCs/>
                <w:sz w:val="20"/>
                <w:szCs w:val="20"/>
              </w:rPr>
              <w:t>Report à nouveau après affectation</w:t>
            </w:r>
          </w:p>
        </w:tc>
      </w:tr>
      <w:tr w:rsidR="00B922AE" w:rsidRPr="004B4944" w14:paraId="26802978" w14:textId="77777777" w:rsidTr="00D97517">
        <w:trPr>
          <w:trHeight w:val="409"/>
        </w:trPr>
        <w:tc>
          <w:tcPr>
            <w:tcW w:w="1539" w:type="dxa"/>
          </w:tcPr>
          <w:p w14:paraId="7650C8B5" w14:textId="3B334485" w:rsidR="00B922AE" w:rsidRPr="004B4944" w:rsidRDefault="00B922AE" w:rsidP="00807060">
            <w:pPr>
              <w:rPr>
                <w:rFonts w:ascii="Times New Roman" w:hAnsi="Times New Roman"/>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0/R00</w:t>
            </w:r>
            <w:r w:rsidR="00807060" w:rsidRPr="004B4944">
              <w:rPr>
                <w:rFonts w:ascii="Times New Roman" w:hAnsi="Times New Roman"/>
                <w:sz w:val="20"/>
              </w:rPr>
              <w:t>8</w:t>
            </w:r>
            <w:r w:rsidRPr="004B4944">
              <w:rPr>
                <w:rFonts w:ascii="Times New Roman" w:hAnsi="Times New Roman"/>
                <w:sz w:val="20"/>
              </w:rPr>
              <w:t>0</w:t>
            </w:r>
          </w:p>
        </w:tc>
        <w:tc>
          <w:tcPr>
            <w:tcW w:w="2255" w:type="dxa"/>
          </w:tcPr>
          <w:p w14:paraId="1430CE7A" w14:textId="77777777" w:rsidR="00B922AE" w:rsidRPr="004B4944" w:rsidRDefault="00B922AE" w:rsidP="00D97517">
            <w:pPr>
              <w:rPr>
                <w:rFonts w:ascii="Times New Roman" w:hAnsi="Times New Roman"/>
                <w:sz w:val="20"/>
              </w:rPr>
            </w:pPr>
            <w:r w:rsidRPr="004B4944">
              <w:rPr>
                <w:rFonts w:ascii="Times New Roman" w:hAnsi="Times New Roman" w:cs="Times New Roman"/>
                <w:bCs/>
                <w:sz w:val="20"/>
                <w:szCs w:val="20"/>
              </w:rPr>
              <w:t>Emprunts pour fonds social complémentaire</w:t>
            </w:r>
          </w:p>
        </w:tc>
        <w:tc>
          <w:tcPr>
            <w:tcW w:w="5448" w:type="dxa"/>
          </w:tcPr>
          <w:p w14:paraId="2F6DE893" w14:textId="77777777" w:rsidR="00B922AE" w:rsidRPr="004B4944" w:rsidRDefault="00B922AE" w:rsidP="00D97517">
            <w:pPr>
              <w:rPr>
                <w:rFonts w:ascii="Times New Roman" w:hAnsi="Times New Roman"/>
                <w:color w:val="FF0000"/>
                <w:sz w:val="20"/>
              </w:rPr>
            </w:pPr>
            <w:r w:rsidRPr="004B4944">
              <w:rPr>
                <w:rFonts w:ascii="Times New Roman" w:hAnsi="Times New Roman" w:cs="Times New Roman"/>
                <w:bCs/>
                <w:sz w:val="20"/>
                <w:szCs w:val="20"/>
              </w:rPr>
              <w:t>Emprunts pour fonds social complémentaire dans la limite de la fraction de l'exigence minimale de marge calculée selon les règles non-vie</w:t>
            </w:r>
          </w:p>
        </w:tc>
      </w:tr>
      <w:tr w:rsidR="00B922AE" w:rsidRPr="004B4944" w14:paraId="4A30727F" w14:textId="77777777" w:rsidTr="00D97517">
        <w:trPr>
          <w:trHeight w:val="409"/>
        </w:trPr>
        <w:tc>
          <w:tcPr>
            <w:tcW w:w="1539" w:type="dxa"/>
          </w:tcPr>
          <w:p w14:paraId="1DC3A0CF" w14:textId="134CA8BE" w:rsidR="00B922AE" w:rsidRPr="004B4944" w:rsidRDefault="00B922AE" w:rsidP="00D97517">
            <w:pPr>
              <w:rPr>
                <w:rFonts w:ascii="Times New Roman" w:hAnsi="Times New Roman"/>
                <w:color w:val="FF0000"/>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0/R00</w:t>
            </w:r>
            <w:r w:rsidR="00807060" w:rsidRPr="004B4944">
              <w:rPr>
                <w:rFonts w:ascii="Times New Roman" w:hAnsi="Times New Roman"/>
                <w:sz w:val="20"/>
              </w:rPr>
              <w:t>9</w:t>
            </w:r>
            <w:r w:rsidRPr="004B4944">
              <w:rPr>
                <w:rFonts w:ascii="Times New Roman" w:hAnsi="Times New Roman"/>
                <w:sz w:val="20"/>
              </w:rPr>
              <w:t>0</w:t>
            </w:r>
          </w:p>
        </w:tc>
        <w:tc>
          <w:tcPr>
            <w:tcW w:w="2255" w:type="dxa"/>
          </w:tcPr>
          <w:p w14:paraId="74FCF239" w14:textId="77777777" w:rsidR="00B922AE" w:rsidRPr="004B4944" w:rsidRDefault="00B922AE" w:rsidP="00D97517">
            <w:pPr>
              <w:rPr>
                <w:rFonts w:ascii="Times New Roman" w:hAnsi="Times New Roman"/>
                <w:color w:val="FF0000"/>
                <w:sz w:val="20"/>
              </w:rPr>
            </w:pPr>
            <w:r w:rsidRPr="004B4944">
              <w:rPr>
                <w:rFonts w:ascii="Times New Roman" w:hAnsi="Times New Roman" w:cs="Times New Roman"/>
                <w:bCs/>
                <w:sz w:val="20"/>
                <w:szCs w:val="20"/>
              </w:rPr>
              <w:t>Actions propres </w:t>
            </w:r>
          </w:p>
        </w:tc>
        <w:tc>
          <w:tcPr>
            <w:tcW w:w="5448" w:type="dxa"/>
          </w:tcPr>
          <w:p w14:paraId="26E56A6C" w14:textId="3F391AD7" w:rsidR="00B922AE" w:rsidRPr="004B4944" w:rsidRDefault="00D6241A" w:rsidP="00D97517">
            <w:pPr>
              <w:rPr>
                <w:rFonts w:ascii="Times New Roman" w:hAnsi="Times New Roman"/>
                <w:color w:val="FF0000"/>
                <w:sz w:val="20"/>
              </w:rPr>
            </w:pPr>
            <w:r w:rsidRPr="004B4944">
              <w:rPr>
                <w:rFonts w:ascii="Times New Roman" w:hAnsi="Times New Roman" w:cs="Times New Roman"/>
                <w:bCs/>
                <w:sz w:val="20"/>
                <w:szCs w:val="20"/>
              </w:rPr>
              <w:t>Une valeur négative</w:t>
            </w:r>
            <w:r w:rsidR="00B922AE" w:rsidRPr="004B4944">
              <w:rPr>
                <w:rFonts w:ascii="Times New Roman" w:hAnsi="Times New Roman" w:cs="Times New Roman"/>
                <w:bCs/>
                <w:sz w:val="20"/>
                <w:szCs w:val="20"/>
              </w:rPr>
              <w:t xml:space="preserve"> ou nulle est attendue</w:t>
            </w:r>
            <w:r w:rsidRPr="004B4944">
              <w:rPr>
                <w:rFonts w:ascii="Times New Roman" w:hAnsi="Times New Roman" w:cs="Times New Roman"/>
                <w:bCs/>
                <w:sz w:val="20"/>
                <w:szCs w:val="20"/>
              </w:rPr>
              <w:t>.</w:t>
            </w:r>
          </w:p>
        </w:tc>
      </w:tr>
      <w:tr w:rsidR="00B922AE" w:rsidRPr="004B4944" w14:paraId="6FB68D2D" w14:textId="77777777" w:rsidTr="00D97517">
        <w:trPr>
          <w:trHeight w:val="409"/>
        </w:trPr>
        <w:tc>
          <w:tcPr>
            <w:tcW w:w="1539" w:type="dxa"/>
          </w:tcPr>
          <w:p w14:paraId="3FA553FE" w14:textId="7F26C181" w:rsidR="00B922AE" w:rsidRPr="004B4944" w:rsidRDefault="00B922AE" w:rsidP="00807060">
            <w:pPr>
              <w:rPr>
                <w:rFonts w:ascii="Times New Roman" w:hAnsi="Times New Roman"/>
                <w:color w:val="FF0000"/>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w:t>
            </w:r>
            <w:r w:rsidR="00807060" w:rsidRPr="004B4944">
              <w:rPr>
                <w:rFonts w:ascii="Times New Roman" w:hAnsi="Times New Roman"/>
                <w:sz w:val="20"/>
              </w:rPr>
              <w:t>100</w:t>
            </w:r>
          </w:p>
        </w:tc>
        <w:tc>
          <w:tcPr>
            <w:tcW w:w="2255" w:type="dxa"/>
          </w:tcPr>
          <w:p w14:paraId="449419A8" w14:textId="3E015B37" w:rsidR="00B922AE" w:rsidRPr="004B4944" w:rsidRDefault="00D6241A" w:rsidP="00D97517">
            <w:pPr>
              <w:rPr>
                <w:rFonts w:ascii="Times New Roman" w:hAnsi="Times New Roman"/>
                <w:color w:val="FF0000"/>
                <w:sz w:val="20"/>
              </w:rPr>
            </w:pPr>
            <w:r w:rsidRPr="004B4944">
              <w:rPr>
                <w:rFonts w:ascii="Times New Roman" w:hAnsi="Times New Roman" w:cs="Times New Roman"/>
                <w:bCs/>
                <w:sz w:val="20"/>
                <w:szCs w:val="20"/>
              </w:rPr>
              <w:t>F</w:t>
            </w:r>
            <w:r w:rsidR="00B922AE" w:rsidRPr="004B4944">
              <w:rPr>
                <w:rFonts w:ascii="Times New Roman" w:hAnsi="Times New Roman" w:cs="Times New Roman"/>
                <w:bCs/>
                <w:sz w:val="20"/>
                <w:szCs w:val="20"/>
              </w:rPr>
              <w:t>rais d'acquisition reportés non admis</w:t>
            </w:r>
          </w:p>
        </w:tc>
        <w:tc>
          <w:tcPr>
            <w:tcW w:w="5448" w:type="dxa"/>
          </w:tcPr>
          <w:p w14:paraId="00A90878" w14:textId="0CC770B1" w:rsidR="00B922AE" w:rsidRPr="004B4944" w:rsidRDefault="00B922AE" w:rsidP="00D97517">
            <w:pPr>
              <w:rPr>
                <w:rFonts w:ascii="Times New Roman" w:hAnsi="Times New Roman"/>
                <w:color w:val="FF0000"/>
                <w:sz w:val="20"/>
              </w:rPr>
            </w:pPr>
            <w:r w:rsidRPr="004B4944">
              <w:rPr>
                <w:rFonts w:ascii="Times New Roman" w:hAnsi="Times New Roman" w:cs="Times New Roman"/>
                <w:bCs/>
                <w:sz w:val="20"/>
                <w:szCs w:val="20"/>
              </w:rPr>
              <w:t>Part des frais d'acquisition reportés non admise en représentation</w:t>
            </w:r>
            <w:r w:rsidR="00D6241A" w:rsidRPr="004B4944">
              <w:rPr>
                <w:rFonts w:ascii="Times New Roman" w:hAnsi="Times New Roman" w:cs="Times New Roman"/>
                <w:bCs/>
                <w:sz w:val="20"/>
                <w:szCs w:val="20"/>
              </w:rPr>
              <w:t>. Une valeur négative</w:t>
            </w:r>
            <w:r w:rsidRPr="004B4944">
              <w:rPr>
                <w:rFonts w:ascii="Times New Roman" w:hAnsi="Times New Roman" w:cs="Times New Roman"/>
                <w:bCs/>
                <w:sz w:val="20"/>
                <w:szCs w:val="20"/>
              </w:rPr>
              <w:t xml:space="preserve"> ou nulle est attendue</w:t>
            </w:r>
            <w:r w:rsidR="00D6241A" w:rsidRPr="004B4944">
              <w:rPr>
                <w:rFonts w:ascii="Times New Roman" w:hAnsi="Times New Roman" w:cs="Times New Roman"/>
                <w:bCs/>
                <w:sz w:val="20"/>
                <w:szCs w:val="20"/>
              </w:rPr>
              <w:t>.</w:t>
            </w:r>
          </w:p>
        </w:tc>
      </w:tr>
      <w:tr w:rsidR="00B922AE" w:rsidRPr="004B4944" w14:paraId="51DA88D9" w14:textId="77777777" w:rsidTr="00D97517">
        <w:trPr>
          <w:trHeight w:val="567"/>
        </w:trPr>
        <w:tc>
          <w:tcPr>
            <w:tcW w:w="1539" w:type="dxa"/>
          </w:tcPr>
          <w:p w14:paraId="4952F048" w14:textId="6CD8D622" w:rsidR="00B922AE" w:rsidRPr="004B4944" w:rsidRDefault="00B922AE" w:rsidP="00807060">
            <w:pPr>
              <w:rPr>
                <w:rFonts w:ascii="Times New Roman" w:hAnsi="Times New Roman"/>
                <w:color w:val="FF0000"/>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w:t>
            </w:r>
            <w:r w:rsidR="00807060" w:rsidRPr="004B4944">
              <w:rPr>
                <w:rFonts w:ascii="Times New Roman" w:hAnsi="Times New Roman"/>
                <w:sz w:val="20"/>
              </w:rPr>
              <w:t>110</w:t>
            </w:r>
          </w:p>
        </w:tc>
        <w:tc>
          <w:tcPr>
            <w:tcW w:w="2255" w:type="dxa"/>
          </w:tcPr>
          <w:p w14:paraId="0DD8E5FB" w14:textId="77777777" w:rsidR="00B922AE" w:rsidRPr="004B4944" w:rsidRDefault="00B922AE" w:rsidP="00D97517">
            <w:pPr>
              <w:rPr>
                <w:rFonts w:ascii="Times New Roman" w:hAnsi="Times New Roman"/>
                <w:color w:val="FF0000"/>
                <w:sz w:val="20"/>
              </w:rPr>
            </w:pPr>
            <w:r w:rsidRPr="004B4944">
              <w:rPr>
                <w:rFonts w:ascii="Times New Roman" w:hAnsi="Times New Roman" w:cs="Times New Roman"/>
                <w:bCs/>
                <w:sz w:val="20"/>
                <w:szCs w:val="20"/>
              </w:rPr>
              <w:t>Éléments incorporels figurant au bilan </w:t>
            </w:r>
          </w:p>
        </w:tc>
        <w:tc>
          <w:tcPr>
            <w:tcW w:w="5448" w:type="dxa"/>
          </w:tcPr>
          <w:p w14:paraId="54FB9045" w14:textId="5A3AEDD2" w:rsidR="00B922AE" w:rsidRPr="004B4944" w:rsidRDefault="00D6241A" w:rsidP="00D97517">
            <w:pPr>
              <w:rPr>
                <w:rFonts w:ascii="Times New Roman" w:hAnsi="Times New Roman" w:cs="Times New Roman"/>
                <w:bCs/>
                <w:color w:val="FF0000"/>
                <w:sz w:val="20"/>
                <w:szCs w:val="20"/>
              </w:rPr>
            </w:pPr>
            <w:r w:rsidRPr="004B4944">
              <w:rPr>
                <w:rFonts w:ascii="Times New Roman" w:hAnsi="Times New Roman" w:cs="Times New Roman"/>
                <w:bCs/>
                <w:sz w:val="20"/>
                <w:szCs w:val="20"/>
              </w:rPr>
              <w:t>Une valeur négative</w:t>
            </w:r>
            <w:r w:rsidR="00B922AE" w:rsidRPr="004B4944">
              <w:rPr>
                <w:rFonts w:ascii="Times New Roman" w:hAnsi="Times New Roman" w:cs="Times New Roman"/>
                <w:bCs/>
                <w:sz w:val="20"/>
                <w:szCs w:val="20"/>
              </w:rPr>
              <w:t xml:space="preserve"> ou nulle est attendue</w:t>
            </w:r>
            <w:r w:rsidRPr="004B4944">
              <w:rPr>
                <w:rFonts w:ascii="Times New Roman" w:hAnsi="Times New Roman" w:cs="Times New Roman"/>
                <w:bCs/>
                <w:sz w:val="20"/>
                <w:szCs w:val="20"/>
              </w:rPr>
              <w:t>.</w:t>
            </w:r>
          </w:p>
        </w:tc>
      </w:tr>
      <w:tr w:rsidR="00B922AE" w:rsidRPr="004B4944" w14:paraId="6D2E1137" w14:textId="77777777" w:rsidTr="00D97517">
        <w:trPr>
          <w:trHeight w:val="409"/>
        </w:trPr>
        <w:tc>
          <w:tcPr>
            <w:tcW w:w="1539" w:type="dxa"/>
          </w:tcPr>
          <w:p w14:paraId="47C0C83F" w14:textId="31FB1A62" w:rsidR="00B922AE" w:rsidRPr="004B4944" w:rsidRDefault="00B922AE" w:rsidP="00807060">
            <w:pPr>
              <w:rPr>
                <w:rFonts w:ascii="Times New Roman" w:hAnsi="Times New Roman"/>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0/R01</w:t>
            </w:r>
            <w:r w:rsidR="00807060" w:rsidRPr="004B4944">
              <w:rPr>
                <w:rFonts w:ascii="Times New Roman" w:hAnsi="Times New Roman"/>
                <w:sz w:val="20"/>
              </w:rPr>
              <w:t>2</w:t>
            </w:r>
            <w:r w:rsidRPr="004B4944">
              <w:rPr>
                <w:rFonts w:ascii="Times New Roman" w:hAnsi="Times New Roman"/>
                <w:sz w:val="20"/>
              </w:rPr>
              <w:t>0</w:t>
            </w:r>
          </w:p>
        </w:tc>
        <w:tc>
          <w:tcPr>
            <w:tcW w:w="2255" w:type="dxa"/>
          </w:tcPr>
          <w:p w14:paraId="49CEE371" w14:textId="77777777" w:rsidR="00B922AE" w:rsidRPr="004B4944" w:rsidRDefault="00B922AE" w:rsidP="00D97517">
            <w:pPr>
              <w:rPr>
                <w:rFonts w:ascii="Times New Roman" w:hAnsi="Times New Roman"/>
                <w:sz w:val="20"/>
              </w:rPr>
            </w:pPr>
            <w:r w:rsidRPr="004B4944">
              <w:rPr>
                <w:rFonts w:ascii="Times New Roman" w:hAnsi="Times New Roman"/>
                <w:sz w:val="20"/>
              </w:rPr>
              <w:t>Total A</w:t>
            </w:r>
          </w:p>
        </w:tc>
        <w:tc>
          <w:tcPr>
            <w:tcW w:w="5448" w:type="dxa"/>
          </w:tcPr>
          <w:p w14:paraId="20F835A0" w14:textId="5B68A32E"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somme du capital social versé ou fonds d’établissement constitué, des réserves non engagées, du report à nouveau, des emprunts pour fonds social complémentaire, des actions propres</w:t>
            </w:r>
            <w:r w:rsidR="00D6241A" w:rsidRPr="004B4944">
              <w:rPr>
                <w:rFonts w:ascii="Times New Roman" w:hAnsi="Times New Roman" w:cs="Times New Roman"/>
                <w:bCs/>
                <w:sz w:val="20"/>
                <w:szCs w:val="20"/>
              </w:rPr>
              <w:t xml:space="preserve"> (valeur négative)</w:t>
            </w:r>
            <w:r w:rsidRPr="004B4944">
              <w:rPr>
                <w:rFonts w:ascii="Times New Roman" w:hAnsi="Times New Roman" w:cs="Times New Roman"/>
                <w:bCs/>
                <w:sz w:val="20"/>
                <w:szCs w:val="20"/>
              </w:rPr>
              <w:t xml:space="preserve">, des frais d’acquisition reportés non admis </w:t>
            </w:r>
            <w:r w:rsidR="00D6241A" w:rsidRPr="004B4944">
              <w:rPr>
                <w:rFonts w:ascii="Times New Roman" w:hAnsi="Times New Roman" w:cs="Times New Roman"/>
                <w:bCs/>
                <w:sz w:val="20"/>
                <w:szCs w:val="20"/>
              </w:rPr>
              <w:t xml:space="preserve">(valeur négative) </w:t>
            </w:r>
            <w:r w:rsidRPr="004B4944">
              <w:rPr>
                <w:rFonts w:ascii="Times New Roman" w:hAnsi="Times New Roman" w:cs="Times New Roman"/>
                <w:bCs/>
                <w:sz w:val="20"/>
                <w:szCs w:val="20"/>
              </w:rPr>
              <w:t>et des éléments incorporels au bilan</w:t>
            </w:r>
            <w:r w:rsidR="00D6241A" w:rsidRPr="004B4944">
              <w:rPr>
                <w:rFonts w:ascii="Times New Roman" w:hAnsi="Times New Roman" w:cs="Times New Roman"/>
                <w:bCs/>
                <w:sz w:val="20"/>
                <w:szCs w:val="20"/>
              </w:rPr>
              <w:t xml:space="preserve"> (valeur négative).</w:t>
            </w:r>
          </w:p>
        </w:tc>
      </w:tr>
      <w:tr w:rsidR="00B922AE" w:rsidRPr="004B4944" w14:paraId="4458BCE7" w14:textId="77777777" w:rsidTr="00D97517">
        <w:trPr>
          <w:trHeight w:val="409"/>
        </w:trPr>
        <w:tc>
          <w:tcPr>
            <w:tcW w:w="1539" w:type="dxa"/>
          </w:tcPr>
          <w:p w14:paraId="1B575FDF" w14:textId="4529A604" w:rsidR="00B922AE" w:rsidRPr="004B4944" w:rsidRDefault="00B922AE" w:rsidP="00807060">
            <w:pPr>
              <w:rPr>
                <w:rFonts w:ascii="Times New Roman" w:hAnsi="Times New Roman"/>
                <w:color w:val="FF0000"/>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0/R01</w:t>
            </w:r>
            <w:r w:rsidR="00807060" w:rsidRPr="004B4944">
              <w:rPr>
                <w:rFonts w:ascii="Times New Roman" w:hAnsi="Times New Roman"/>
                <w:sz w:val="20"/>
              </w:rPr>
              <w:t>3</w:t>
            </w:r>
            <w:r w:rsidRPr="004B4944">
              <w:rPr>
                <w:rFonts w:ascii="Times New Roman" w:hAnsi="Times New Roman"/>
                <w:sz w:val="20"/>
              </w:rPr>
              <w:t>0</w:t>
            </w:r>
          </w:p>
        </w:tc>
        <w:tc>
          <w:tcPr>
            <w:tcW w:w="2255" w:type="dxa"/>
          </w:tcPr>
          <w:p w14:paraId="0205AF47" w14:textId="77777777" w:rsidR="00B922AE" w:rsidRPr="004B4944" w:rsidRDefault="00B922AE" w:rsidP="00D97517">
            <w:pPr>
              <w:rPr>
                <w:rFonts w:ascii="Times New Roman" w:hAnsi="Times New Roman"/>
                <w:color w:val="FF0000"/>
                <w:sz w:val="20"/>
              </w:rPr>
            </w:pPr>
            <w:r w:rsidRPr="004B4944">
              <w:rPr>
                <w:rFonts w:ascii="Times New Roman" w:hAnsi="Times New Roman" w:cs="Times New Roman"/>
                <w:bCs/>
                <w:sz w:val="20"/>
                <w:szCs w:val="20"/>
              </w:rPr>
              <w:t>Titres ou emprunts subordonnés</w:t>
            </w:r>
          </w:p>
        </w:tc>
        <w:tc>
          <w:tcPr>
            <w:tcW w:w="5448" w:type="dxa"/>
          </w:tcPr>
          <w:p w14:paraId="2F21F24A" w14:textId="77777777" w:rsidR="00B922AE" w:rsidRPr="004B4944" w:rsidRDefault="00B922AE" w:rsidP="00D97517">
            <w:pPr>
              <w:rPr>
                <w:rFonts w:ascii="Times New Roman" w:hAnsi="Times New Roman" w:cs="Times New Roman"/>
                <w:bCs/>
                <w:color w:val="FF0000"/>
                <w:sz w:val="20"/>
                <w:szCs w:val="20"/>
              </w:rPr>
            </w:pPr>
            <w:r w:rsidRPr="004B4944">
              <w:rPr>
                <w:rFonts w:ascii="Times New Roman" w:hAnsi="Times New Roman" w:cs="Times New Roman"/>
                <w:bCs/>
                <w:sz w:val="20"/>
                <w:szCs w:val="20"/>
              </w:rPr>
              <w:t>Titres ou emprunts subordonnés jusqu'à concurrence de 50 % de l'exigence de marge ou de la marge de solvabilité constituée, le montant le plus faible étant retenu</w:t>
            </w:r>
          </w:p>
        </w:tc>
      </w:tr>
      <w:tr w:rsidR="00B922AE" w:rsidRPr="004B4944" w14:paraId="5EF4A832" w14:textId="77777777" w:rsidTr="00D97517">
        <w:trPr>
          <w:trHeight w:val="409"/>
        </w:trPr>
        <w:tc>
          <w:tcPr>
            <w:tcW w:w="1539" w:type="dxa"/>
          </w:tcPr>
          <w:p w14:paraId="1B53C75B" w14:textId="12161513" w:rsidR="00B922AE" w:rsidRPr="004B4944" w:rsidRDefault="00807060" w:rsidP="00D97517">
            <w:pPr>
              <w:rPr>
                <w:rFonts w:ascii="Times New Roman" w:hAnsi="Times New Roman"/>
                <w:color w:val="FF0000"/>
                <w:sz w:val="20"/>
              </w:rPr>
            </w:pPr>
            <w:r w:rsidRPr="004B4944">
              <w:rPr>
                <w:rFonts w:ascii="Times New Roman" w:hAnsi="Times New Roman"/>
                <w:sz w:val="20"/>
              </w:rPr>
              <w:t>C0010/R014</w:t>
            </w:r>
            <w:r w:rsidR="00B922AE" w:rsidRPr="004B4944">
              <w:rPr>
                <w:rFonts w:ascii="Times New Roman" w:hAnsi="Times New Roman"/>
                <w:sz w:val="20"/>
              </w:rPr>
              <w:t>0</w:t>
            </w:r>
          </w:p>
        </w:tc>
        <w:tc>
          <w:tcPr>
            <w:tcW w:w="2255" w:type="dxa"/>
          </w:tcPr>
          <w:p w14:paraId="7813B4F0" w14:textId="77777777" w:rsidR="00B922AE" w:rsidRPr="004B4944" w:rsidRDefault="00B922AE" w:rsidP="00D97517">
            <w:pPr>
              <w:rPr>
                <w:rFonts w:ascii="Times New Roman" w:hAnsi="Times New Roman"/>
                <w:color w:val="FF0000"/>
                <w:sz w:val="20"/>
              </w:rPr>
            </w:pPr>
            <w:r w:rsidRPr="004B4944">
              <w:rPr>
                <w:rFonts w:ascii="Times New Roman" w:hAnsi="Times New Roman" w:cs="Times New Roman"/>
                <w:bCs/>
                <w:sz w:val="20"/>
                <w:szCs w:val="20"/>
              </w:rPr>
              <w:t>Titres ou emprunts subordonnés à durée indéterminée</w:t>
            </w:r>
          </w:p>
        </w:tc>
        <w:tc>
          <w:tcPr>
            <w:tcW w:w="5448" w:type="dxa"/>
          </w:tcPr>
          <w:p w14:paraId="271154F3"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Titres ou emprunts subordonnés à durée indéterminée jusqu'à concurrence de 50 % de l'exigence de marge ou de la marge de solvabilité constituée, le montant le plus faible étant retenu</w:t>
            </w:r>
          </w:p>
        </w:tc>
      </w:tr>
      <w:tr w:rsidR="00B922AE" w:rsidRPr="004B4944" w14:paraId="7DCC3DF1" w14:textId="77777777" w:rsidTr="00D97517">
        <w:trPr>
          <w:trHeight w:val="409"/>
        </w:trPr>
        <w:tc>
          <w:tcPr>
            <w:tcW w:w="1539" w:type="dxa"/>
          </w:tcPr>
          <w:p w14:paraId="6AE56FA9" w14:textId="53E505A1" w:rsidR="00B922AE" w:rsidRPr="004B4944" w:rsidRDefault="00807060" w:rsidP="00807060">
            <w:pPr>
              <w:rPr>
                <w:rFonts w:ascii="Times New Roman" w:hAnsi="Times New Roman"/>
                <w:color w:val="FF0000"/>
                <w:sz w:val="20"/>
              </w:rPr>
            </w:pPr>
            <w:r w:rsidRPr="004B4944">
              <w:rPr>
                <w:rFonts w:ascii="Times New Roman" w:hAnsi="Times New Roman"/>
                <w:sz w:val="20"/>
              </w:rPr>
              <w:t>C001</w:t>
            </w:r>
            <w:r w:rsidR="00B922AE" w:rsidRPr="004B4944">
              <w:rPr>
                <w:rFonts w:ascii="Times New Roman" w:hAnsi="Times New Roman"/>
                <w:sz w:val="20"/>
              </w:rPr>
              <w:t>0/R01</w:t>
            </w:r>
            <w:r w:rsidRPr="004B4944">
              <w:rPr>
                <w:rFonts w:ascii="Times New Roman" w:hAnsi="Times New Roman"/>
                <w:sz w:val="20"/>
              </w:rPr>
              <w:t>5</w:t>
            </w:r>
            <w:r w:rsidR="00B922AE" w:rsidRPr="004B4944">
              <w:rPr>
                <w:rFonts w:ascii="Times New Roman" w:hAnsi="Times New Roman"/>
                <w:sz w:val="20"/>
              </w:rPr>
              <w:t>0</w:t>
            </w:r>
          </w:p>
        </w:tc>
        <w:tc>
          <w:tcPr>
            <w:tcW w:w="2255" w:type="dxa"/>
          </w:tcPr>
          <w:p w14:paraId="7EF99D01" w14:textId="77777777" w:rsidR="00B922AE" w:rsidRPr="004B4944" w:rsidRDefault="00B922AE" w:rsidP="00D97517">
            <w:pPr>
              <w:rPr>
                <w:rFonts w:ascii="Times New Roman" w:hAnsi="Times New Roman"/>
                <w:color w:val="FF0000"/>
                <w:sz w:val="20"/>
              </w:rPr>
            </w:pPr>
            <w:r w:rsidRPr="004B4944">
              <w:rPr>
                <w:rFonts w:ascii="Times New Roman" w:hAnsi="Times New Roman" w:cs="Times New Roman"/>
                <w:bCs/>
                <w:sz w:val="20"/>
                <w:szCs w:val="20"/>
              </w:rPr>
              <w:t>Titres ou emprunts subordonnés à durée déterminée</w:t>
            </w:r>
          </w:p>
        </w:tc>
        <w:tc>
          <w:tcPr>
            <w:tcW w:w="5448" w:type="dxa"/>
          </w:tcPr>
          <w:p w14:paraId="49091DE2"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Titres ou emprunts subordonnés à durée déterminée jusqu'à concurrence de 50 % de l'exigence de marge ou de la marge de solvabilité constituée, le montant le plus faible étant retenu</w:t>
            </w:r>
          </w:p>
        </w:tc>
      </w:tr>
      <w:tr w:rsidR="00B922AE" w:rsidRPr="004B4944" w14:paraId="0441777A" w14:textId="77777777" w:rsidTr="00D97517">
        <w:trPr>
          <w:trHeight w:val="409"/>
        </w:trPr>
        <w:tc>
          <w:tcPr>
            <w:tcW w:w="1539" w:type="dxa"/>
          </w:tcPr>
          <w:p w14:paraId="1F713466" w14:textId="154C33B2" w:rsidR="00B922AE" w:rsidRPr="004B4944" w:rsidRDefault="00D6241A" w:rsidP="00807060">
            <w:pPr>
              <w:rPr>
                <w:rFonts w:ascii="Times New Roman" w:hAnsi="Times New Roman"/>
                <w:color w:val="FF0000"/>
                <w:sz w:val="20"/>
              </w:rPr>
            </w:pPr>
            <w:r w:rsidRPr="004B4944">
              <w:rPr>
                <w:rFonts w:ascii="Times New Roman" w:hAnsi="Times New Roman"/>
                <w:sz w:val="20"/>
              </w:rPr>
              <w:t>C00</w:t>
            </w:r>
            <w:r w:rsidR="00807060" w:rsidRPr="004B4944">
              <w:rPr>
                <w:rFonts w:ascii="Times New Roman" w:hAnsi="Times New Roman"/>
                <w:sz w:val="20"/>
              </w:rPr>
              <w:t>10/R016</w:t>
            </w:r>
            <w:r w:rsidR="00B922AE" w:rsidRPr="004B4944">
              <w:rPr>
                <w:rFonts w:ascii="Times New Roman" w:hAnsi="Times New Roman"/>
                <w:sz w:val="20"/>
              </w:rPr>
              <w:t>0</w:t>
            </w:r>
          </w:p>
        </w:tc>
        <w:tc>
          <w:tcPr>
            <w:tcW w:w="2255" w:type="dxa"/>
          </w:tcPr>
          <w:p w14:paraId="54F3EB9E" w14:textId="77777777" w:rsidR="00B922AE" w:rsidRPr="004B4944" w:rsidRDefault="00B922AE" w:rsidP="00D97517">
            <w:pPr>
              <w:rPr>
                <w:rFonts w:ascii="Times New Roman" w:hAnsi="Times New Roman"/>
                <w:color w:val="FF0000"/>
                <w:sz w:val="20"/>
              </w:rPr>
            </w:pPr>
            <w:r w:rsidRPr="004B4944">
              <w:rPr>
                <w:rFonts w:ascii="Times New Roman" w:hAnsi="Times New Roman"/>
                <w:sz w:val="20"/>
              </w:rPr>
              <w:t>Cotisation R423-16 non utilisée</w:t>
            </w:r>
          </w:p>
        </w:tc>
        <w:tc>
          <w:tcPr>
            <w:tcW w:w="5448" w:type="dxa"/>
          </w:tcPr>
          <w:p w14:paraId="2CA2FFF0" w14:textId="77777777" w:rsidR="00B922AE" w:rsidRPr="004B4944" w:rsidRDefault="00B922AE" w:rsidP="00D97517">
            <w:pPr>
              <w:rPr>
                <w:rFonts w:ascii="Times New Roman" w:hAnsi="Times New Roman" w:cs="Times New Roman"/>
                <w:bCs/>
                <w:color w:val="FF0000"/>
                <w:sz w:val="20"/>
                <w:szCs w:val="20"/>
              </w:rPr>
            </w:pPr>
            <w:r w:rsidRPr="004B4944">
              <w:rPr>
                <w:rFonts w:ascii="Times New Roman" w:hAnsi="Times New Roman" w:cs="Times New Roman"/>
                <w:bCs/>
                <w:sz w:val="20"/>
                <w:szCs w:val="20"/>
              </w:rPr>
              <w:t>Réserve pour fonds de garantie, à hauteur de la part de cotisation versée et non utilisée par le fonds</w:t>
            </w:r>
          </w:p>
        </w:tc>
      </w:tr>
      <w:tr w:rsidR="00B922AE" w:rsidRPr="004B4944" w14:paraId="4CB98C63" w14:textId="77777777" w:rsidTr="00D97517">
        <w:trPr>
          <w:trHeight w:val="409"/>
        </w:trPr>
        <w:tc>
          <w:tcPr>
            <w:tcW w:w="1539" w:type="dxa"/>
          </w:tcPr>
          <w:p w14:paraId="5E913C44" w14:textId="7C68360F" w:rsidR="00B922AE" w:rsidRPr="004B4944" w:rsidRDefault="00807060" w:rsidP="00D97517">
            <w:pPr>
              <w:rPr>
                <w:rFonts w:ascii="Times New Roman" w:hAnsi="Times New Roman"/>
                <w:sz w:val="20"/>
              </w:rPr>
            </w:pPr>
            <w:r w:rsidRPr="004B4944">
              <w:rPr>
                <w:rFonts w:ascii="Times New Roman" w:hAnsi="Times New Roman"/>
                <w:sz w:val="20"/>
              </w:rPr>
              <w:t>C0010/R017</w:t>
            </w:r>
            <w:r w:rsidR="00B922AE" w:rsidRPr="004B4944">
              <w:rPr>
                <w:rFonts w:ascii="Times New Roman" w:hAnsi="Times New Roman"/>
                <w:sz w:val="20"/>
              </w:rPr>
              <w:t>0</w:t>
            </w:r>
          </w:p>
        </w:tc>
        <w:tc>
          <w:tcPr>
            <w:tcW w:w="2255" w:type="dxa"/>
          </w:tcPr>
          <w:p w14:paraId="04C1D858" w14:textId="77777777" w:rsidR="00B922AE" w:rsidRPr="004B4944" w:rsidRDefault="00B922AE" w:rsidP="00D97517">
            <w:pPr>
              <w:rPr>
                <w:rFonts w:ascii="Times New Roman" w:hAnsi="Times New Roman"/>
                <w:color w:val="FF0000"/>
                <w:sz w:val="20"/>
              </w:rPr>
            </w:pPr>
            <w:r w:rsidRPr="004B4944">
              <w:rPr>
                <w:rFonts w:ascii="Times New Roman" w:hAnsi="Times New Roman"/>
                <w:sz w:val="20"/>
              </w:rPr>
              <w:t>Total B</w:t>
            </w:r>
          </w:p>
        </w:tc>
        <w:tc>
          <w:tcPr>
            <w:tcW w:w="5448" w:type="dxa"/>
          </w:tcPr>
          <w:p w14:paraId="1B956111"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somme des titres ou emprunts subordonnés, quel que soit leur durée, et de la réserve pour fonds de garantie, à hauteur de la part de cotisation versée et non utilisée par le fonds</w:t>
            </w:r>
          </w:p>
        </w:tc>
      </w:tr>
      <w:tr w:rsidR="00B922AE" w:rsidRPr="004B4944" w14:paraId="653AEF86" w14:textId="77777777" w:rsidTr="00D97517">
        <w:trPr>
          <w:trHeight w:val="409"/>
        </w:trPr>
        <w:tc>
          <w:tcPr>
            <w:tcW w:w="1539" w:type="dxa"/>
          </w:tcPr>
          <w:p w14:paraId="054B892F" w14:textId="502E4153" w:rsidR="00B922AE" w:rsidRPr="004B4944" w:rsidRDefault="00B922AE" w:rsidP="00807060">
            <w:pPr>
              <w:rPr>
                <w:rFonts w:ascii="Times New Roman" w:hAnsi="Times New Roman"/>
                <w:color w:val="FF0000"/>
                <w:sz w:val="20"/>
              </w:rPr>
            </w:pPr>
            <w:r w:rsidRPr="004B4944">
              <w:rPr>
                <w:rFonts w:ascii="Times New Roman" w:hAnsi="Times New Roman"/>
                <w:sz w:val="20"/>
              </w:rPr>
              <w:t>C00</w:t>
            </w:r>
            <w:r w:rsidR="00807060" w:rsidRPr="004B4944">
              <w:rPr>
                <w:rFonts w:ascii="Times New Roman" w:hAnsi="Times New Roman"/>
                <w:sz w:val="20"/>
              </w:rPr>
              <w:t>1</w:t>
            </w:r>
            <w:r w:rsidRPr="004B4944">
              <w:rPr>
                <w:rFonts w:ascii="Times New Roman" w:hAnsi="Times New Roman"/>
                <w:sz w:val="20"/>
              </w:rPr>
              <w:t>0/R01</w:t>
            </w:r>
            <w:r w:rsidR="00807060" w:rsidRPr="004B4944">
              <w:rPr>
                <w:rFonts w:ascii="Times New Roman" w:hAnsi="Times New Roman"/>
                <w:sz w:val="20"/>
              </w:rPr>
              <w:t>8</w:t>
            </w:r>
            <w:r w:rsidRPr="004B4944">
              <w:rPr>
                <w:rFonts w:ascii="Times New Roman" w:hAnsi="Times New Roman"/>
                <w:sz w:val="20"/>
              </w:rPr>
              <w:t>0</w:t>
            </w:r>
          </w:p>
        </w:tc>
        <w:tc>
          <w:tcPr>
            <w:tcW w:w="2255" w:type="dxa"/>
          </w:tcPr>
          <w:p w14:paraId="3DDA9409" w14:textId="77777777" w:rsidR="00B922AE" w:rsidRPr="004B4944" w:rsidRDefault="00B922AE" w:rsidP="00D97517">
            <w:pPr>
              <w:rPr>
                <w:rFonts w:ascii="Times New Roman" w:hAnsi="Times New Roman"/>
                <w:color w:val="FF0000"/>
                <w:sz w:val="20"/>
              </w:rPr>
            </w:pPr>
            <w:r w:rsidRPr="004B4944">
              <w:rPr>
                <w:rFonts w:ascii="Times New Roman" w:hAnsi="Times New Roman"/>
                <w:sz w:val="20"/>
              </w:rPr>
              <w:t>Fraction du capital non versé</w:t>
            </w:r>
          </w:p>
        </w:tc>
        <w:tc>
          <w:tcPr>
            <w:tcW w:w="5448" w:type="dxa"/>
          </w:tcPr>
          <w:p w14:paraId="056DED72"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Moitié de la fraction non versée du capital social ou de la part restant à rembourser de l'emprunt pour fonds d'établissement</w:t>
            </w:r>
          </w:p>
        </w:tc>
      </w:tr>
      <w:tr w:rsidR="00B922AE" w:rsidRPr="004B4944" w14:paraId="3B2292FF" w14:textId="77777777" w:rsidTr="00D97517">
        <w:trPr>
          <w:trHeight w:val="427"/>
        </w:trPr>
        <w:tc>
          <w:tcPr>
            <w:tcW w:w="1539" w:type="dxa"/>
          </w:tcPr>
          <w:p w14:paraId="2103E1F7" w14:textId="07109375" w:rsidR="00B922AE" w:rsidRPr="004B4944" w:rsidRDefault="00B922AE" w:rsidP="00807060">
            <w:pPr>
              <w:rPr>
                <w:rFonts w:ascii="Times New Roman" w:hAnsi="Times New Roman"/>
                <w:sz w:val="20"/>
              </w:rPr>
            </w:pPr>
            <w:r w:rsidRPr="004B4944">
              <w:rPr>
                <w:rFonts w:ascii="Times New Roman" w:hAnsi="Times New Roman"/>
                <w:sz w:val="20"/>
              </w:rPr>
              <w:t>C0</w:t>
            </w:r>
            <w:r w:rsidR="00807060" w:rsidRPr="004B4944">
              <w:rPr>
                <w:rFonts w:ascii="Times New Roman" w:hAnsi="Times New Roman"/>
                <w:sz w:val="20"/>
              </w:rPr>
              <w:t>01</w:t>
            </w:r>
            <w:r w:rsidRPr="004B4944">
              <w:rPr>
                <w:rFonts w:ascii="Times New Roman" w:hAnsi="Times New Roman"/>
                <w:sz w:val="20"/>
              </w:rPr>
              <w:t>0/R01</w:t>
            </w:r>
            <w:r w:rsidR="00807060" w:rsidRPr="004B4944">
              <w:rPr>
                <w:rFonts w:ascii="Times New Roman" w:hAnsi="Times New Roman"/>
                <w:sz w:val="20"/>
              </w:rPr>
              <w:t>9</w:t>
            </w:r>
            <w:r w:rsidRPr="004B4944">
              <w:rPr>
                <w:rFonts w:ascii="Times New Roman" w:hAnsi="Times New Roman"/>
                <w:sz w:val="20"/>
              </w:rPr>
              <w:t>0</w:t>
            </w:r>
          </w:p>
        </w:tc>
        <w:tc>
          <w:tcPr>
            <w:tcW w:w="2255" w:type="dxa"/>
          </w:tcPr>
          <w:p w14:paraId="2D0084FE" w14:textId="77777777" w:rsidR="00B922AE" w:rsidRPr="004B4944" w:rsidRDefault="00B922AE" w:rsidP="00D97517">
            <w:pPr>
              <w:rPr>
                <w:rFonts w:ascii="Times New Roman" w:hAnsi="Times New Roman"/>
                <w:sz w:val="20"/>
              </w:rPr>
            </w:pPr>
            <w:r w:rsidRPr="004B4944">
              <w:rPr>
                <w:rFonts w:ascii="Times New Roman" w:hAnsi="Times New Roman"/>
                <w:sz w:val="20"/>
              </w:rPr>
              <w:t>Plus-values latentes admises actif non exceptionnelles</w:t>
            </w:r>
          </w:p>
        </w:tc>
        <w:tc>
          <w:tcPr>
            <w:tcW w:w="5448" w:type="dxa"/>
          </w:tcPr>
          <w:p w14:paraId="07FAC9F6"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Plus-values non exceptionnelles résultant de sous-estimation d'éléments d'actif dans la mesure où les valeurs de marché sont publiées dans l'annexe</w:t>
            </w:r>
          </w:p>
        </w:tc>
      </w:tr>
      <w:tr w:rsidR="00B922AE" w:rsidRPr="004B4944" w14:paraId="3CFA942C" w14:textId="77777777" w:rsidTr="00D97517">
        <w:trPr>
          <w:trHeight w:val="409"/>
        </w:trPr>
        <w:tc>
          <w:tcPr>
            <w:tcW w:w="1539" w:type="dxa"/>
          </w:tcPr>
          <w:p w14:paraId="386E160E" w14:textId="4C8C8CB8" w:rsidR="00B922AE" w:rsidRPr="004B4944" w:rsidRDefault="00B922AE" w:rsidP="00D97517">
            <w:pPr>
              <w:rPr>
                <w:rFonts w:ascii="Times New Roman" w:hAnsi="Times New Roman"/>
                <w:sz w:val="20"/>
              </w:rPr>
            </w:pPr>
            <w:r w:rsidRPr="004B4944">
              <w:rPr>
                <w:rFonts w:ascii="Times New Roman" w:hAnsi="Times New Roman"/>
                <w:sz w:val="20"/>
              </w:rPr>
              <w:t>C0</w:t>
            </w:r>
            <w:r w:rsidR="00D6241A" w:rsidRPr="004B4944">
              <w:rPr>
                <w:rFonts w:ascii="Times New Roman" w:hAnsi="Times New Roman"/>
                <w:sz w:val="20"/>
              </w:rPr>
              <w:t>03</w:t>
            </w:r>
            <w:r w:rsidR="00224BBD" w:rsidRPr="004B4944">
              <w:rPr>
                <w:rFonts w:ascii="Times New Roman" w:hAnsi="Times New Roman"/>
                <w:sz w:val="20"/>
              </w:rPr>
              <w:t>0/R020</w:t>
            </w:r>
            <w:r w:rsidRPr="004B4944">
              <w:rPr>
                <w:rFonts w:ascii="Times New Roman" w:hAnsi="Times New Roman"/>
                <w:sz w:val="20"/>
              </w:rPr>
              <w:t>0</w:t>
            </w:r>
          </w:p>
        </w:tc>
        <w:tc>
          <w:tcPr>
            <w:tcW w:w="2255" w:type="dxa"/>
          </w:tcPr>
          <w:p w14:paraId="7250F39F" w14:textId="77777777" w:rsidR="00B922AE" w:rsidRPr="004B4944" w:rsidRDefault="00B922AE" w:rsidP="00D97517">
            <w:pPr>
              <w:rPr>
                <w:rFonts w:ascii="Times New Roman" w:hAnsi="Times New Roman"/>
                <w:sz w:val="20"/>
              </w:rPr>
            </w:pPr>
            <w:r w:rsidRPr="004B4944">
              <w:rPr>
                <w:rFonts w:ascii="Times New Roman" w:hAnsi="Times New Roman"/>
                <w:sz w:val="20"/>
              </w:rPr>
              <w:t>Plus-values latentes admises passif non exceptionnelles</w:t>
            </w:r>
          </w:p>
        </w:tc>
        <w:tc>
          <w:tcPr>
            <w:tcW w:w="5448" w:type="dxa"/>
          </w:tcPr>
          <w:p w14:paraId="269F011E"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Plus-values latentes admissibles, après autorisation de l’Autorité de contrôle prudentiel et de résolution</w:t>
            </w:r>
          </w:p>
        </w:tc>
      </w:tr>
      <w:tr w:rsidR="00B922AE" w:rsidRPr="004B4944" w14:paraId="7CCBB38E" w14:textId="77777777" w:rsidTr="00D97517">
        <w:trPr>
          <w:trHeight w:val="409"/>
        </w:trPr>
        <w:tc>
          <w:tcPr>
            <w:tcW w:w="1539" w:type="dxa"/>
          </w:tcPr>
          <w:p w14:paraId="74131F44" w14:textId="1317A767" w:rsidR="00B922AE" w:rsidRPr="004B4944" w:rsidRDefault="00B922AE" w:rsidP="00224BBD">
            <w:pPr>
              <w:rPr>
                <w:rFonts w:ascii="Times New Roman" w:hAnsi="Times New Roman"/>
                <w:sz w:val="20"/>
              </w:rPr>
            </w:pPr>
            <w:r w:rsidRPr="004B4944">
              <w:rPr>
                <w:rFonts w:ascii="Times New Roman" w:hAnsi="Times New Roman"/>
                <w:sz w:val="20"/>
              </w:rPr>
              <w:lastRenderedPageBreak/>
              <w:t>C0</w:t>
            </w:r>
            <w:r w:rsidR="00D6241A" w:rsidRPr="004B4944">
              <w:rPr>
                <w:rFonts w:ascii="Times New Roman" w:hAnsi="Times New Roman"/>
                <w:sz w:val="20"/>
              </w:rPr>
              <w:t>0</w:t>
            </w:r>
            <w:r w:rsidR="00224BBD" w:rsidRPr="004B4944">
              <w:rPr>
                <w:rFonts w:ascii="Times New Roman" w:hAnsi="Times New Roman"/>
                <w:sz w:val="20"/>
              </w:rPr>
              <w:t>1</w:t>
            </w:r>
            <w:r w:rsidRPr="004B4944">
              <w:rPr>
                <w:rFonts w:ascii="Times New Roman" w:hAnsi="Times New Roman"/>
                <w:sz w:val="20"/>
              </w:rPr>
              <w:t>0/R0</w:t>
            </w:r>
            <w:r w:rsidR="00224BBD" w:rsidRPr="004B4944">
              <w:rPr>
                <w:rFonts w:ascii="Times New Roman" w:hAnsi="Times New Roman"/>
                <w:sz w:val="20"/>
              </w:rPr>
              <w:t>210</w:t>
            </w:r>
          </w:p>
        </w:tc>
        <w:tc>
          <w:tcPr>
            <w:tcW w:w="2255" w:type="dxa"/>
          </w:tcPr>
          <w:p w14:paraId="1CA37841" w14:textId="77777777" w:rsidR="00B922AE" w:rsidRPr="004B4944" w:rsidRDefault="00B922AE" w:rsidP="00D97517">
            <w:pPr>
              <w:rPr>
                <w:rFonts w:ascii="Times New Roman" w:hAnsi="Times New Roman"/>
                <w:sz w:val="20"/>
              </w:rPr>
            </w:pPr>
            <w:r w:rsidRPr="004B4944">
              <w:rPr>
                <w:rFonts w:ascii="Times New Roman" w:hAnsi="Times New Roman"/>
                <w:sz w:val="20"/>
              </w:rPr>
              <w:t>Plus-values latentes nettes admises sur IFT</w:t>
            </w:r>
          </w:p>
        </w:tc>
        <w:tc>
          <w:tcPr>
            <w:tcW w:w="5448" w:type="dxa"/>
          </w:tcPr>
          <w:p w14:paraId="46491587" w14:textId="77777777" w:rsidR="00B922AE" w:rsidRPr="004B4944" w:rsidRDefault="00B922AE" w:rsidP="00D97517">
            <w:pPr>
              <w:rPr>
                <w:rFonts w:ascii="Times New Roman" w:hAnsi="Times New Roman" w:cs="Times New Roman"/>
                <w:bCs/>
                <w:color w:val="FF0000"/>
                <w:sz w:val="20"/>
                <w:szCs w:val="20"/>
              </w:rPr>
            </w:pPr>
            <w:r w:rsidRPr="004B4944">
              <w:rPr>
                <w:rFonts w:ascii="Times New Roman" w:hAnsi="Times New Roman" w:cs="Times New Roman"/>
                <w:bCs/>
                <w:sz w:val="20"/>
                <w:szCs w:val="20"/>
              </w:rPr>
              <w:t>Plus-values latentes nettes sur instruments financiers à terme</w:t>
            </w:r>
          </w:p>
        </w:tc>
      </w:tr>
      <w:tr w:rsidR="00B922AE" w:rsidRPr="004B4944" w14:paraId="76DE0FCE" w14:textId="77777777" w:rsidTr="00D97517">
        <w:trPr>
          <w:trHeight w:val="481"/>
        </w:trPr>
        <w:tc>
          <w:tcPr>
            <w:tcW w:w="1539" w:type="dxa"/>
          </w:tcPr>
          <w:p w14:paraId="2DB454C9" w14:textId="503048AF" w:rsidR="00B922AE" w:rsidRPr="004B4944" w:rsidRDefault="00B922AE" w:rsidP="00224BBD">
            <w:pPr>
              <w:rPr>
                <w:rFonts w:ascii="Times New Roman" w:hAnsi="Times New Roman"/>
                <w:sz w:val="20"/>
              </w:rPr>
            </w:pPr>
            <w:r w:rsidRPr="004B4944">
              <w:rPr>
                <w:rFonts w:ascii="Times New Roman" w:hAnsi="Times New Roman"/>
                <w:sz w:val="20"/>
              </w:rPr>
              <w:t>C00</w:t>
            </w:r>
            <w:r w:rsidR="00224BBD" w:rsidRPr="004B4944">
              <w:rPr>
                <w:rFonts w:ascii="Times New Roman" w:hAnsi="Times New Roman"/>
                <w:sz w:val="20"/>
              </w:rPr>
              <w:t>1</w:t>
            </w:r>
            <w:r w:rsidRPr="004B4944">
              <w:rPr>
                <w:rFonts w:ascii="Times New Roman" w:hAnsi="Times New Roman"/>
                <w:sz w:val="20"/>
              </w:rPr>
              <w:t>0/R02</w:t>
            </w:r>
            <w:r w:rsidR="00224BBD" w:rsidRPr="004B4944">
              <w:rPr>
                <w:rFonts w:ascii="Times New Roman" w:hAnsi="Times New Roman"/>
                <w:sz w:val="20"/>
              </w:rPr>
              <w:t>2</w:t>
            </w:r>
            <w:r w:rsidRPr="004B4944">
              <w:rPr>
                <w:rFonts w:ascii="Times New Roman" w:hAnsi="Times New Roman"/>
                <w:sz w:val="20"/>
              </w:rPr>
              <w:t>0</w:t>
            </w:r>
          </w:p>
        </w:tc>
        <w:tc>
          <w:tcPr>
            <w:tcW w:w="2255" w:type="dxa"/>
          </w:tcPr>
          <w:p w14:paraId="7A2562C8" w14:textId="77777777" w:rsidR="00B922AE" w:rsidRPr="004B4944" w:rsidRDefault="00B922AE" w:rsidP="00D97517">
            <w:pPr>
              <w:rPr>
                <w:rFonts w:ascii="Times New Roman" w:hAnsi="Times New Roman"/>
                <w:color w:val="FF0000"/>
                <w:sz w:val="20"/>
              </w:rPr>
            </w:pPr>
            <w:r w:rsidRPr="004B4944">
              <w:rPr>
                <w:rFonts w:ascii="Times New Roman" w:hAnsi="Times New Roman"/>
                <w:sz w:val="20"/>
              </w:rPr>
              <w:t>Total  C</w:t>
            </w:r>
          </w:p>
        </w:tc>
        <w:tc>
          <w:tcPr>
            <w:tcW w:w="5448" w:type="dxa"/>
          </w:tcPr>
          <w:p w14:paraId="074B829A"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somme de la moitié de la fraction non versée du capital social ou de la part restant à rembourser de l'emprunt pour fonds d'établissement et des plus-values latentes admises pour la couverture de l’exigence de marge</w:t>
            </w:r>
          </w:p>
        </w:tc>
      </w:tr>
      <w:tr w:rsidR="00B922AE" w:rsidRPr="004B4944" w14:paraId="56D446A6" w14:textId="77777777" w:rsidTr="00D97517">
        <w:trPr>
          <w:trHeight w:val="409"/>
        </w:trPr>
        <w:tc>
          <w:tcPr>
            <w:tcW w:w="1539" w:type="dxa"/>
          </w:tcPr>
          <w:p w14:paraId="40114513" w14:textId="2668C67B" w:rsidR="00B922AE" w:rsidRPr="004B4944" w:rsidRDefault="00B922AE" w:rsidP="00500B88">
            <w:pPr>
              <w:rPr>
                <w:rFonts w:ascii="Times New Roman" w:hAnsi="Times New Roman"/>
                <w:sz w:val="20"/>
              </w:rPr>
            </w:pPr>
            <w:r w:rsidRPr="004B4944">
              <w:rPr>
                <w:rFonts w:ascii="Times New Roman" w:hAnsi="Times New Roman"/>
                <w:sz w:val="20"/>
              </w:rPr>
              <w:t>C00</w:t>
            </w:r>
            <w:r w:rsidR="00500B88" w:rsidRPr="004B4944">
              <w:rPr>
                <w:rFonts w:ascii="Times New Roman" w:hAnsi="Times New Roman"/>
                <w:sz w:val="20"/>
              </w:rPr>
              <w:t>1</w:t>
            </w:r>
            <w:r w:rsidRPr="004B4944">
              <w:rPr>
                <w:rFonts w:ascii="Times New Roman" w:hAnsi="Times New Roman"/>
                <w:sz w:val="20"/>
              </w:rPr>
              <w:t>0/R00</w:t>
            </w:r>
            <w:r w:rsidR="00500B88" w:rsidRPr="004B4944">
              <w:rPr>
                <w:rFonts w:ascii="Times New Roman" w:hAnsi="Times New Roman"/>
                <w:sz w:val="20"/>
              </w:rPr>
              <w:t>4</w:t>
            </w:r>
            <w:r w:rsidRPr="004B4944">
              <w:rPr>
                <w:rFonts w:ascii="Times New Roman" w:hAnsi="Times New Roman"/>
                <w:sz w:val="20"/>
              </w:rPr>
              <w:t>0</w:t>
            </w:r>
          </w:p>
        </w:tc>
        <w:tc>
          <w:tcPr>
            <w:tcW w:w="2255" w:type="dxa"/>
          </w:tcPr>
          <w:p w14:paraId="7193D1D3" w14:textId="77777777" w:rsidR="00B922AE" w:rsidRPr="004B4944" w:rsidRDefault="00B922AE" w:rsidP="00D97517">
            <w:pPr>
              <w:rPr>
                <w:rFonts w:ascii="Times New Roman" w:hAnsi="Times New Roman"/>
                <w:sz w:val="20"/>
              </w:rPr>
            </w:pPr>
            <w:r w:rsidRPr="004B4944">
              <w:rPr>
                <w:rFonts w:ascii="Times New Roman" w:hAnsi="Times New Roman"/>
                <w:sz w:val="20"/>
              </w:rPr>
              <w:t>Éléments constitutifs à la couverture de la marge</w:t>
            </w:r>
          </w:p>
        </w:tc>
        <w:tc>
          <w:tcPr>
            <w:tcW w:w="5448" w:type="dxa"/>
          </w:tcPr>
          <w:p w14:paraId="4EE58962" w14:textId="77777777" w:rsidR="00B922AE" w:rsidRPr="004B4944" w:rsidRDefault="00B922AE" w:rsidP="00D97517">
            <w:pPr>
              <w:rPr>
                <w:rFonts w:ascii="Times New Roman" w:hAnsi="Times New Roman" w:cs="Times New Roman"/>
                <w:bCs/>
                <w:sz w:val="20"/>
                <w:szCs w:val="20"/>
              </w:rPr>
            </w:pPr>
            <w:r w:rsidRPr="004B4944">
              <w:rPr>
                <w:rFonts w:ascii="Times New Roman" w:hAnsi="Times New Roman" w:cs="Times New Roman"/>
                <w:bCs/>
                <w:sz w:val="20"/>
                <w:szCs w:val="20"/>
              </w:rPr>
              <w:t>Correspond à la somme des Total A, Total B et Total C</w:t>
            </w:r>
          </w:p>
        </w:tc>
      </w:tr>
      <w:tr w:rsidR="008E0950" w:rsidRPr="004B4944" w14:paraId="5688BBA4" w14:textId="77777777" w:rsidTr="00D97517">
        <w:trPr>
          <w:trHeight w:val="409"/>
        </w:trPr>
        <w:tc>
          <w:tcPr>
            <w:tcW w:w="1539" w:type="dxa"/>
          </w:tcPr>
          <w:p w14:paraId="4563C713" w14:textId="29FCECD4" w:rsidR="008E0950" w:rsidRPr="004B4944" w:rsidRDefault="008E0950" w:rsidP="00500B88">
            <w:pPr>
              <w:rPr>
                <w:rFonts w:ascii="Times New Roman" w:hAnsi="Times New Roman"/>
                <w:sz w:val="20"/>
              </w:rPr>
            </w:pPr>
            <w:r w:rsidRPr="004B4944">
              <w:rPr>
                <w:rFonts w:ascii="Times New Roman" w:hAnsi="Times New Roman"/>
                <w:sz w:val="20"/>
              </w:rPr>
              <w:t>C00</w:t>
            </w:r>
            <w:r w:rsidR="00500B88" w:rsidRPr="004B4944">
              <w:rPr>
                <w:rFonts w:ascii="Times New Roman" w:hAnsi="Times New Roman"/>
                <w:sz w:val="20"/>
              </w:rPr>
              <w:t>2</w:t>
            </w:r>
            <w:r w:rsidRPr="004B4944">
              <w:rPr>
                <w:rFonts w:ascii="Times New Roman" w:hAnsi="Times New Roman"/>
                <w:sz w:val="20"/>
              </w:rPr>
              <w:t>0/R02</w:t>
            </w:r>
            <w:r w:rsidR="00500B88" w:rsidRPr="004B4944">
              <w:rPr>
                <w:rFonts w:ascii="Times New Roman" w:hAnsi="Times New Roman"/>
                <w:sz w:val="20"/>
              </w:rPr>
              <w:t>3</w:t>
            </w:r>
            <w:r w:rsidRPr="004B4944">
              <w:rPr>
                <w:rFonts w:ascii="Times New Roman" w:hAnsi="Times New Roman"/>
                <w:sz w:val="20"/>
              </w:rPr>
              <w:t>0</w:t>
            </w:r>
          </w:p>
        </w:tc>
        <w:tc>
          <w:tcPr>
            <w:tcW w:w="2255" w:type="dxa"/>
          </w:tcPr>
          <w:p w14:paraId="1FD8F101" w14:textId="1C4B58F7" w:rsidR="008E0950" w:rsidRPr="004B4944" w:rsidRDefault="008E0950" w:rsidP="00D97517">
            <w:pPr>
              <w:rPr>
                <w:rFonts w:ascii="Times New Roman" w:hAnsi="Times New Roman"/>
                <w:sz w:val="20"/>
              </w:rPr>
            </w:pPr>
            <w:r w:rsidRPr="004B4944">
              <w:rPr>
                <w:rFonts w:ascii="Times New Roman" w:hAnsi="Times New Roman"/>
                <w:sz w:val="20"/>
              </w:rPr>
              <w:t>Tiers exig. minimale</w:t>
            </w:r>
          </w:p>
        </w:tc>
        <w:tc>
          <w:tcPr>
            <w:tcW w:w="5448" w:type="dxa"/>
          </w:tcPr>
          <w:p w14:paraId="60A289AE" w14:textId="2EC91120" w:rsidR="008E0950" w:rsidRPr="004B4944" w:rsidRDefault="008E0950" w:rsidP="00500B88">
            <w:pPr>
              <w:rPr>
                <w:rFonts w:ascii="Times New Roman" w:hAnsi="Times New Roman" w:cs="Times New Roman"/>
                <w:bCs/>
                <w:sz w:val="20"/>
                <w:szCs w:val="20"/>
              </w:rPr>
            </w:pPr>
            <w:r w:rsidRPr="004B4944">
              <w:rPr>
                <w:rFonts w:ascii="Times New Roman" w:hAnsi="Times New Roman" w:cs="Times New Roman"/>
                <w:bCs/>
                <w:sz w:val="20"/>
                <w:szCs w:val="20"/>
              </w:rPr>
              <w:t>Correspond au 1/3 de C00</w:t>
            </w:r>
            <w:r w:rsidR="00500B88" w:rsidRPr="004B4944">
              <w:rPr>
                <w:rFonts w:ascii="Times New Roman" w:hAnsi="Times New Roman" w:cs="Times New Roman"/>
                <w:bCs/>
                <w:sz w:val="20"/>
                <w:szCs w:val="20"/>
              </w:rPr>
              <w:t>1</w:t>
            </w:r>
            <w:r w:rsidRPr="004B4944">
              <w:rPr>
                <w:rFonts w:ascii="Times New Roman" w:hAnsi="Times New Roman" w:cs="Times New Roman"/>
                <w:bCs/>
                <w:sz w:val="20"/>
                <w:szCs w:val="20"/>
              </w:rPr>
              <w:t>0/R0010</w:t>
            </w:r>
          </w:p>
        </w:tc>
      </w:tr>
      <w:tr w:rsidR="008E0950" w:rsidRPr="004B4944" w14:paraId="007D1A93" w14:textId="77777777" w:rsidTr="00D97517">
        <w:trPr>
          <w:trHeight w:val="409"/>
        </w:trPr>
        <w:tc>
          <w:tcPr>
            <w:tcW w:w="1539" w:type="dxa"/>
          </w:tcPr>
          <w:p w14:paraId="05255ED8" w14:textId="3A06072B" w:rsidR="008E0950" w:rsidRPr="004B4944" w:rsidRDefault="008E0950" w:rsidP="00500B88">
            <w:pPr>
              <w:rPr>
                <w:rFonts w:ascii="Times New Roman" w:hAnsi="Times New Roman"/>
                <w:sz w:val="20"/>
              </w:rPr>
            </w:pPr>
            <w:r w:rsidRPr="004B4944">
              <w:rPr>
                <w:rFonts w:ascii="Times New Roman" w:hAnsi="Times New Roman"/>
                <w:sz w:val="20"/>
              </w:rPr>
              <w:t>C00</w:t>
            </w:r>
            <w:r w:rsidR="00500B88" w:rsidRPr="004B4944">
              <w:rPr>
                <w:rFonts w:ascii="Times New Roman" w:hAnsi="Times New Roman"/>
                <w:sz w:val="20"/>
              </w:rPr>
              <w:t>3</w:t>
            </w:r>
            <w:r w:rsidRPr="004B4944">
              <w:rPr>
                <w:rFonts w:ascii="Times New Roman" w:hAnsi="Times New Roman"/>
                <w:sz w:val="20"/>
              </w:rPr>
              <w:t>0/R02</w:t>
            </w:r>
            <w:r w:rsidR="00500B88" w:rsidRPr="004B4944">
              <w:rPr>
                <w:rFonts w:ascii="Times New Roman" w:hAnsi="Times New Roman"/>
                <w:sz w:val="20"/>
              </w:rPr>
              <w:t>3</w:t>
            </w:r>
            <w:r w:rsidRPr="004B4944">
              <w:rPr>
                <w:rFonts w:ascii="Times New Roman" w:hAnsi="Times New Roman"/>
                <w:sz w:val="20"/>
              </w:rPr>
              <w:t>0</w:t>
            </w:r>
          </w:p>
        </w:tc>
        <w:tc>
          <w:tcPr>
            <w:tcW w:w="2255" w:type="dxa"/>
          </w:tcPr>
          <w:p w14:paraId="05B438D9" w14:textId="2926B430" w:rsidR="008E0950" w:rsidRPr="004B4944" w:rsidRDefault="008E0950" w:rsidP="00D97517">
            <w:pPr>
              <w:rPr>
                <w:rFonts w:ascii="Times New Roman" w:hAnsi="Times New Roman"/>
                <w:sz w:val="20"/>
              </w:rPr>
            </w:pPr>
            <w:r w:rsidRPr="004B4944">
              <w:rPr>
                <w:rFonts w:ascii="Times New Roman" w:hAnsi="Times New Roman"/>
                <w:sz w:val="20"/>
              </w:rPr>
              <w:t>Minimum absolu</w:t>
            </w:r>
          </w:p>
        </w:tc>
        <w:tc>
          <w:tcPr>
            <w:tcW w:w="5448" w:type="dxa"/>
          </w:tcPr>
          <w:p w14:paraId="6DF58F08" w14:textId="3EB5576A" w:rsidR="008E0950" w:rsidRPr="004B4944" w:rsidRDefault="008E0950" w:rsidP="00D97517">
            <w:pPr>
              <w:rPr>
                <w:rFonts w:ascii="Times New Roman" w:hAnsi="Times New Roman" w:cs="Times New Roman"/>
                <w:bCs/>
                <w:sz w:val="20"/>
                <w:szCs w:val="20"/>
              </w:rPr>
            </w:pPr>
            <w:r w:rsidRPr="004B4944">
              <w:rPr>
                <w:rFonts w:ascii="Times New Roman" w:hAnsi="Times New Roman" w:cs="Times New Roman"/>
                <w:bCs/>
                <w:sz w:val="20"/>
                <w:szCs w:val="20"/>
              </w:rPr>
              <w:t>3 700 000 euros (R.385-3 du Code des assurances)</w:t>
            </w:r>
          </w:p>
        </w:tc>
      </w:tr>
      <w:tr w:rsidR="008E0950" w:rsidRPr="004B4944" w14:paraId="456F41A1" w14:textId="77777777" w:rsidTr="00D97517">
        <w:trPr>
          <w:trHeight w:val="409"/>
        </w:trPr>
        <w:tc>
          <w:tcPr>
            <w:tcW w:w="1539" w:type="dxa"/>
          </w:tcPr>
          <w:p w14:paraId="161C958C" w14:textId="3E29FAAC" w:rsidR="008E0950" w:rsidRPr="004B4944" w:rsidRDefault="008E0950" w:rsidP="00500B88">
            <w:pPr>
              <w:rPr>
                <w:rFonts w:ascii="Times New Roman" w:hAnsi="Times New Roman"/>
                <w:sz w:val="20"/>
              </w:rPr>
            </w:pPr>
            <w:r w:rsidRPr="004B4944">
              <w:rPr>
                <w:rFonts w:ascii="Times New Roman" w:hAnsi="Times New Roman"/>
                <w:sz w:val="20"/>
              </w:rPr>
              <w:t>C00</w:t>
            </w:r>
            <w:r w:rsidR="00500B88" w:rsidRPr="004B4944">
              <w:rPr>
                <w:rFonts w:ascii="Times New Roman" w:hAnsi="Times New Roman"/>
                <w:sz w:val="20"/>
              </w:rPr>
              <w:t>4</w:t>
            </w:r>
            <w:r w:rsidRPr="004B4944">
              <w:rPr>
                <w:rFonts w:ascii="Times New Roman" w:hAnsi="Times New Roman"/>
                <w:sz w:val="20"/>
              </w:rPr>
              <w:t>0/R02</w:t>
            </w:r>
            <w:r w:rsidR="00500B88" w:rsidRPr="004B4944">
              <w:rPr>
                <w:rFonts w:ascii="Times New Roman" w:hAnsi="Times New Roman"/>
                <w:sz w:val="20"/>
              </w:rPr>
              <w:t>3</w:t>
            </w:r>
            <w:r w:rsidRPr="004B4944">
              <w:rPr>
                <w:rFonts w:ascii="Times New Roman" w:hAnsi="Times New Roman"/>
                <w:sz w:val="20"/>
              </w:rPr>
              <w:t>0</w:t>
            </w:r>
          </w:p>
        </w:tc>
        <w:tc>
          <w:tcPr>
            <w:tcW w:w="2255" w:type="dxa"/>
          </w:tcPr>
          <w:p w14:paraId="61A1CB10" w14:textId="14D0CBCA" w:rsidR="008E0950" w:rsidRPr="004B4944" w:rsidRDefault="008E0950" w:rsidP="00D97517">
            <w:pPr>
              <w:rPr>
                <w:rFonts w:ascii="Times New Roman" w:hAnsi="Times New Roman"/>
                <w:sz w:val="20"/>
              </w:rPr>
            </w:pPr>
            <w:r w:rsidRPr="004B4944">
              <w:rPr>
                <w:rFonts w:ascii="Times New Roman" w:hAnsi="Times New Roman"/>
                <w:sz w:val="20"/>
              </w:rPr>
              <w:t>Fonds de garantie</w:t>
            </w:r>
          </w:p>
        </w:tc>
        <w:tc>
          <w:tcPr>
            <w:tcW w:w="5448" w:type="dxa"/>
          </w:tcPr>
          <w:p w14:paraId="16F80F4A" w14:textId="67EEF370" w:rsidR="008E0950" w:rsidRPr="004B4944" w:rsidRDefault="008E0950" w:rsidP="008E0950">
            <w:pPr>
              <w:rPr>
                <w:rFonts w:ascii="Times New Roman" w:hAnsi="Times New Roman" w:cs="Times New Roman"/>
                <w:bCs/>
                <w:sz w:val="20"/>
                <w:szCs w:val="20"/>
              </w:rPr>
            </w:pPr>
            <w:r w:rsidRPr="004B4944">
              <w:rPr>
                <w:rFonts w:ascii="Times New Roman" w:hAnsi="Times New Roman" w:cs="Times New Roman"/>
                <w:bCs/>
                <w:sz w:val="20"/>
                <w:szCs w:val="20"/>
              </w:rPr>
              <w:t xml:space="preserve">Correspond au maximum entre </w:t>
            </w:r>
            <w:r w:rsidR="00500B88" w:rsidRPr="004B4944">
              <w:rPr>
                <w:rFonts w:ascii="Times New Roman" w:hAnsi="Times New Roman"/>
                <w:sz w:val="20"/>
              </w:rPr>
              <w:t xml:space="preserve">C0020/R0230 </w:t>
            </w:r>
            <w:r w:rsidRPr="004B4944">
              <w:rPr>
                <w:rFonts w:ascii="Times New Roman" w:hAnsi="Times New Roman" w:cs="Times New Roman"/>
                <w:bCs/>
                <w:sz w:val="20"/>
                <w:szCs w:val="20"/>
              </w:rPr>
              <w:t xml:space="preserve">et </w:t>
            </w:r>
            <w:r w:rsidR="00500B88" w:rsidRPr="004B4944">
              <w:rPr>
                <w:rFonts w:ascii="Times New Roman" w:hAnsi="Times New Roman"/>
                <w:sz w:val="20"/>
              </w:rPr>
              <w:t>C0030/R0230</w:t>
            </w:r>
            <w:r w:rsidRPr="004B4944">
              <w:rPr>
                <w:rFonts w:ascii="Times New Roman" w:hAnsi="Times New Roman" w:cs="Times New Roman"/>
                <w:bCs/>
                <w:sz w:val="20"/>
                <w:szCs w:val="20"/>
              </w:rPr>
              <w:t>.</w:t>
            </w:r>
          </w:p>
        </w:tc>
      </w:tr>
    </w:tbl>
    <w:p w14:paraId="503B9F34" w14:textId="77777777" w:rsidR="009E19CA" w:rsidRPr="004B4944" w:rsidRDefault="009E19CA" w:rsidP="009E19CA">
      <w:pPr>
        <w:spacing w:after="120"/>
        <w:rPr>
          <w:rFonts w:ascii="Times New Roman" w:hAnsi="Times New Roman" w:cs="Times New Roman"/>
          <w:bCs/>
          <w:sz w:val="20"/>
          <w:szCs w:val="20"/>
        </w:rPr>
      </w:pPr>
    </w:p>
    <w:p w14:paraId="34F64ADF" w14:textId="77777777" w:rsidR="000336C8" w:rsidRPr="004B4944" w:rsidRDefault="009E19CA" w:rsidP="009E19CA">
      <w:pPr>
        <w:rPr>
          <w:noProof/>
          <w:lang w:bidi="ar-SA"/>
        </w:rPr>
      </w:pPr>
      <w:r w:rsidRPr="004B4944">
        <w:rPr>
          <w:rFonts w:ascii="Times New Roman" w:hAnsi="Times New Roman" w:cs="Times New Roman"/>
          <w:b/>
          <w:bCs/>
          <w:sz w:val="20"/>
          <w:szCs w:val="20"/>
        </w:rPr>
        <w:t xml:space="preserve">   </w:t>
      </w:r>
      <w:r w:rsidR="00B922AE" w:rsidRPr="004B4944">
        <w:rPr>
          <w:rFonts w:ascii="Times New Roman" w:hAnsi="Times New Roman" w:cs="Times New Roman"/>
          <w:b/>
          <w:bCs/>
          <w:sz w:val="20"/>
          <w:szCs w:val="20"/>
        </w:rPr>
        <w:t>Tableau</w:t>
      </w:r>
      <w:r w:rsidR="00744D3D" w:rsidRPr="004B4944">
        <w:rPr>
          <w:rFonts w:ascii="Times New Roman" w:hAnsi="Times New Roman" w:cs="Times New Roman"/>
          <w:b/>
          <w:bCs/>
          <w:sz w:val="20"/>
          <w:szCs w:val="20"/>
        </w:rPr>
        <w:t>x de l’état</w:t>
      </w:r>
    </w:p>
    <w:p w14:paraId="286F48DF" w14:textId="3EF415D4" w:rsidR="009E19CA" w:rsidRPr="003C57EF" w:rsidRDefault="009E19CA" w:rsidP="009E19CA">
      <w:r w:rsidRPr="004B4944">
        <w:rPr>
          <w:noProof/>
          <w:lang w:bidi="ar-SA"/>
        </w:rPr>
        <w:drawing>
          <wp:inline distT="0" distB="0" distL="0" distR="0" wp14:anchorId="2031F11F" wp14:editId="6B8D77F2">
            <wp:extent cx="5007796" cy="4299292"/>
            <wp:effectExtent l="0" t="0" r="254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27391" cy="4316114"/>
                    </a:xfrm>
                    <a:prstGeom prst="rect">
                      <a:avLst/>
                    </a:prstGeom>
                  </pic:spPr>
                </pic:pic>
              </a:graphicData>
            </a:graphic>
          </wp:inline>
        </w:drawing>
      </w:r>
      <w:r w:rsidRPr="004B4944">
        <w:rPr>
          <w:noProof/>
          <w:lang w:bidi="ar-SA"/>
        </w:rPr>
        <w:drawing>
          <wp:inline distT="0" distB="0" distL="0" distR="0" wp14:anchorId="4A64AF3B" wp14:editId="610C812C">
            <wp:extent cx="5731510" cy="1028065"/>
            <wp:effectExtent l="0" t="0" r="2540"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028065"/>
                    </a:xfrm>
                    <a:prstGeom prst="rect">
                      <a:avLst/>
                    </a:prstGeom>
                  </pic:spPr>
                </pic:pic>
              </a:graphicData>
            </a:graphic>
          </wp:inline>
        </w:drawing>
      </w:r>
    </w:p>
    <w:sectPr w:rsidR="009E19CA" w:rsidRPr="003C57EF" w:rsidSect="00744D3D">
      <w:pgSz w:w="11906" w:h="16838"/>
      <w:pgMar w:top="1440" w:right="1440" w:bottom="1440" w:left="1440" w:header="51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B210E" w14:textId="77777777" w:rsidR="00450D13" w:rsidRDefault="00450D13" w:rsidP="0051516F">
      <w:pPr>
        <w:spacing w:after="0" w:line="240" w:lineRule="auto"/>
      </w:pPr>
      <w:r>
        <w:separator/>
      </w:r>
    </w:p>
  </w:endnote>
  <w:endnote w:type="continuationSeparator" w:id="0">
    <w:p w14:paraId="4B1DB096" w14:textId="77777777" w:rsidR="00450D13" w:rsidRDefault="00450D13"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E35A3" w14:textId="77777777" w:rsidR="00450D13" w:rsidRDefault="00450D13" w:rsidP="0051516F">
      <w:pPr>
        <w:spacing w:after="0" w:line="240" w:lineRule="auto"/>
      </w:pPr>
      <w:r>
        <w:separator/>
      </w:r>
    </w:p>
  </w:footnote>
  <w:footnote w:type="continuationSeparator" w:id="0">
    <w:p w14:paraId="761D8BD4" w14:textId="77777777" w:rsidR="00450D13" w:rsidRDefault="00450D13"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50111"/>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BA7E02"/>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1F4612"/>
    <w:multiLevelType w:val="hybridMultilevel"/>
    <w:tmpl w:val="B1882A9E"/>
    <w:lvl w:ilvl="0" w:tplc="629A4364">
      <w:start w:val="1"/>
      <w:numFmt w:val="decimal"/>
      <w:lvlText w:val="%1."/>
      <w:lvlJc w:val="left"/>
      <w:pPr>
        <w:ind w:left="720" w:hanging="360"/>
      </w:pPr>
      <w:rPr>
        <w:rFonts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B94A3A"/>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6"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15:restartNumberingAfterBreak="0">
    <w:nsid w:val="456E509B"/>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0"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BC3F66"/>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BB14A5"/>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11315B"/>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EE58B7"/>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78097D"/>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0"/>
  </w:num>
  <w:num w:numId="5">
    <w:abstractNumId w:val="9"/>
  </w:num>
  <w:num w:numId="6">
    <w:abstractNumId w:val="12"/>
  </w:num>
  <w:num w:numId="7">
    <w:abstractNumId w:val="1"/>
  </w:num>
  <w:num w:numId="8">
    <w:abstractNumId w:val="14"/>
  </w:num>
  <w:num w:numId="9">
    <w:abstractNumId w:val="8"/>
  </w:num>
  <w:num w:numId="10">
    <w:abstractNumId w:val="15"/>
  </w:num>
  <w:num w:numId="11">
    <w:abstractNumId w:val="2"/>
  </w:num>
  <w:num w:numId="12">
    <w:abstractNumId w:val="3"/>
  </w:num>
  <w:num w:numId="13">
    <w:abstractNumId w:val="16"/>
  </w:num>
  <w:num w:numId="14">
    <w:abstractNumId w:val="0"/>
  </w:num>
  <w:num w:numId="15">
    <w:abstractNumId w:val="4"/>
  </w:num>
  <w:num w:numId="16">
    <w:abstractNumId w:val="11"/>
  </w:num>
  <w:num w:numId="1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36C8"/>
    <w:rsid w:val="00035FBF"/>
    <w:rsid w:val="00036E79"/>
    <w:rsid w:val="00044E7C"/>
    <w:rsid w:val="00045F07"/>
    <w:rsid w:val="00052BC6"/>
    <w:rsid w:val="00053333"/>
    <w:rsid w:val="00053D9E"/>
    <w:rsid w:val="00056F3B"/>
    <w:rsid w:val="000570D1"/>
    <w:rsid w:val="000661C8"/>
    <w:rsid w:val="00074077"/>
    <w:rsid w:val="000743FF"/>
    <w:rsid w:val="00076C40"/>
    <w:rsid w:val="00080895"/>
    <w:rsid w:val="00082D34"/>
    <w:rsid w:val="00085D2D"/>
    <w:rsid w:val="00095251"/>
    <w:rsid w:val="00096A54"/>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0C08"/>
    <w:rsid w:val="001062B8"/>
    <w:rsid w:val="0010649D"/>
    <w:rsid w:val="0010788F"/>
    <w:rsid w:val="0011455D"/>
    <w:rsid w:val="0012251E"/>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34FF"/>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17BE7"/>
    <w:rsid w:val="0022080E"/>
    <w:rsid w:val="00223ABA"/>
    <w:rsid w:val="002247D6"/>
    <w:rsid w:val="00224BBD"/>
    <w:rsid w:val="002265EC"/>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B5412"/>
    <w:rsid w:val="002C06A5"/>
    <w:rsid w:val="002C203E"/>
    <w:rsid w:val="002C253B"/>
    <w:rsid w:val="002C5083"/>
    <w:rsid w:val="002D04EE"/>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3E5"/>
    <w:rsid w:val="0034585D"/>
    <w:rsid w:val="00345A4E"/>
    <w:rsid w:val="003466C0"/>
    <w:rsid w:val="003506B2"/>
    <w:rsid w:val="00352D31"/>
    <w:rsid w:val="0036363B"/>
    <w:rsid w:val="00380326"/>
    <w:rsid w:val="00383992"/>
    <w:rsid w:val="003854FB"/>
    <w:rsid w:val="00390330"/>
    <w:rsid w:val="0039140E"/>
    <w:rsid w:val="0039387E"/>
    <w:rsid w:val="003A149C"/>
    <w:rsid w:val="003A1841"/>
    <w:rsid w:val="003A207D"/>
    <w:rsid w:val="003A4350"/>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176F8"/>
    <w:rsid w:val="00425D6F"/>
    <w:rsid w:val="00434485"/>
    <w:rsid w:val="00440C4F"/>
    <w:rsid w:val="00440FC8"/>
    <w:rsid w:val="004415A6"/>
    <w:rsid w:val="004416A8"/>
    <w:rsid w:val="0044177B"/>
    <w:rsid w:val="00444C82"/>
    <w:rsid w:val="0044578D"/>
    <w:rsid w:val="00445E5A"/>
    <w:rsid w:val="00450D13"/>
    <w:rsid w:val="00452293"/>
    <w:rsid w:val="00457489"/>
    <w:rsid w:val="00460B44"/>
    <w:rsid w:val="0046361A"/>
    <w:rsid w:val="00463B3E"/>
    <w:rsid w:val="00463F41"/>
    <w:rsid w:val="00464B85"/>
    <w:rsid w:val="00482CC5"/>
    <w:rsid w:val="00486118"/>
    <w:rsid w:val="00486501"/>
    <w:rsid w:val="00491485"/>
    <w:rsid w:val="00493062"/>
    <w:rsid w:val="0049344B"/>
    <w:rsid w:val="00496908"/>
    <w:rsid w:val="00496E20"/>
    <w:rsid w:val="004A4F35"/>
    <w:rsid w:val="004A7A8F"/>
    <w:rsid w:val="004B05E3"/>
    <w:rsid w:val="004B0C75"/>
    <w:rsid w:val="004B2500"/>
    <w:rsid w:val="004B41E6"/>
    <w:rsid w:val="004B4944"/>
    <w:rsid w:val="004B61AF"/>
    <w:rsid w:val="004C0920"/>
    <w:rsid w:val="004C5083"/>
    <w:rsid w:val="004D51A9"/>
    <w:rsid w:val="004D683A"/>
    <w:rsid w:val="004E2CD5"/>
    <w:rsid w:val="004E7A49"/>
    <w:rsid w:val="004F1DD8"/>
    <w:rsid w:val="004F2256"/>
    <w:rsid w:val="004F7035"/>
    <w:rsid w:val="004F7860"/>
    <w:rsid w:val="00500B88"/>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96F1E"/>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204A"/>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6F39B7"/>
    <w:rsid w:val="00705C60"/>
    <w:rsid w:val="007115AB"/>
    <w:rsid w:val="007124A9"/>
    <w:rsid w:val="0071342B"/>
    <w:rsid w:val="007141EA"/>
    <w:rsid w:val="007148FF"/>
    <w:rsid w:val="00717C2D"/>
    <w:rsid w:val="0072092D"/>
    <w:rsid w:val="00724947"/>
    <w:rsid w:val="00734AA4"/>
    <w:rsid w:val="00741991"/>
    <w:rsid w:val="007423BE"/>
    <w:rsid w:val="007435FF"/>
    <w:rsid w:val="00743B6B"/>
    <w:rsid w:val="00744D3D"/>
    <w:rsid w:val="00757810"/>
    <w:rsid w:val="0076289F"/>
    <w:rsid w:val="007700FA"/>
    <w:rsid w:val="00771597"/>
    <w:rsid w:val="00772673"/>
    <w:rsid w:val="007772EF"/>
    <w:rsid w:val="00777AEA"/>
    <w:rsid w:val="007834C8"/>
    <w:rsid w:val="00791304"/>
    <w:rsid w:val="007913DE"/>
    <w:rsid w:val="007922EF"/>
    <w:rsid w:val="00793BC4"/>
    <w:rsid w:val="007A337E"/>
    <w:rsid w:val="007A3B9F"/>
    <w:rsid w:val="007A4D0F"/>
    <w:rsid w:val="007A6967"/>
    <w:rsid w:val="007A74A5"/>
    <w:rsid w:val="007B0037"/>
    <w:rsid w:val="007B0187"/>
    <w:rsid w:val="007B38BB"/>
    <w:rsid w:val="007C2E95"/>
    <w:rsid w:val="007C51B5"/>
    <w:rsid w:val="007C59DC"/>
    <w:rsid w:val="007D3563"/>
    <w:rsid w:val="007D51B0"/>
    <w:rsid w:val="007E3D53"/>
    <w:rsid w:val="007E61F8"/>
    <w:rsid w:val="007F1DF0"/>
    <w:rsid w:val="00800E84"/>
    <w:rsid w:val="00803166"/>
    <w:rsid w:val="00807060"/>
    <w:rsid w:val="008077CC"/>
    <w:rsid w:val="008146D3"/>
    <w:rsid w:val="008161EF"/>
    <w:rsid w:val="0082485F"/>
    <w:rsid w:val="00825BA0"/>
    <w:rsid w:val="00830094"/>
    <w:rsid w:val="008349EC"/>
    <w:rsid w:val="00837E57"/>
    <w:rsid w:val="008415AF"/>
    <w:rsid w:val="00850CF8"/>
    <w:rsid w:val="00852E81"/>
    <w:rsid w:val="00853E0D"/>
    <w:rsid w:val="00854FF4"/>
    <w:rsid w:val="0086208A"/>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C42E8"/>
    <w:rsid w:val="008D0186"/>
    <w:rsid w:val="008E0950"/>
    <w:rsid w:val="008E0BDF"/>
    <w:rsid w:val="008E4B74"/>
    <w:rsid w:val="008E4C19"/>
    <w:rsid w:val="008E4D75"/>
    <w:rsid w:val="008E7FB7"/>
    <w:rsid w:val="008F0FAD"/>
    <w:rsid w:val="008F1627"/>
    <w:rsid w:val="008F6A3E"/>
    <w:rsid w:val="0090087B"/>
    <w:rsid w:val="009079E3"/>
    <w:rsid w:val="00907D61"/>
    <w:rsid w:val="009100BA"/>
    <w:rsid w:val="009114CD"/>
    <w:rsid w:val="00921301"/>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00E3"/>
    <w:rsid w:val="009B27E5"/>
    <w:rsid w:val="009B7221"/>
    <w:rsid w:val="009C2E50"/>
    <w:rsid w:val="009D3D9E"/>
    <w:rsid w:val="009D74C4"/>
    <w:rsid w:val="009D7D95"/>
    <w:rsid w:val="009E19CA"/>
    <w:rsid w:val="009E36D2"/>
    <w:rsid w:val="009E4617"/>
    <w:rsid w:val="009E5725"/>
    <w:rsid w:val="009E7E1B"/>
    <w:rsid w:val="009F41F3"/>
    <w:rsid w:val="00A07329"/>
    <w:rsid w:val="00A07F19"/>
    <w:rsid w:val="00A25866"/>
    <w:rsid w:val="00A261B3"/>
    <w:rsid w:val="00A27E73"/>
    <w:rsid w:val="00A314F2"/>
    <w:rsid w:val="00A36D30"/>
    <w:rsid w:val="00A4173A"/>
    <w:rsid w:val="00A418E1"/>
    <w:rsid w:val="00A41C3B"/>
    <w:rsid w:val="00A46097"/>
    <w:rsid w:val="00A46642"/>
    <w:rsid w:val="00A47885"/>
    <w:rsid w:val="00A63304"/>
    <w:rsid w:val="00A65703"/>
    <w:rsid w:val="00A741AB"/>
    <w:rsid w:val="00A75F78"/>
    <w:rsid w:val="00A80F3C"/>
    <w:rsid w:val="00A82A9F"/>
    <w:rsid w:val="00A850E3"/>
    <w:rsid w:val="00A85457"/>
    <w:rsid w:val="00A86581"/>
    <w:rsid w:val="00AA7A36"/>
    <w:rsid w:val="00AB3236"/>
    <w:rsid w:val="00AC05A1"/>
    <w:rsid w:val="00AC3357"/>
    <w:rsid w:val="00AC6C39"/>
    <w:rsid w:val="00AD4A46"/>
    <w:rsid w:val="00AD5867"/>
    <w:rsid w:val="00AE2109"/>
    <w:rsid w:val="00AE65C0"/>
    <w:rsid w:val="00AF0B98"/>
    <w:rsid w:val="00AF1D16"/>
    <w:rsid w:val="00AF2ABF"/>
    <w:rsid w:val="00B05B5B"/>
    <w:rsid w:val="00B14441"/>
    <w:rsid w:val="00B14D00"/>
    <w:rsid w:val="00B17730"/>
    <w:rsid w:val="00B17842"/>
    <w:rsid w:val="00B227CF"/>
    <w:rsid w:val="00B26627"/>
    <w:rsid w:val="00B272F3"/>
    <w:rsid w:val="00B31C82"/>
    <w:rsid w:val="00B33FD1"/>
    <w:rsid w:val="00B34115"/>
    <w:rsid w:val="00B40D25"/>
    <w:rsid w:val="00B41DC2"/>
    <w:rsid w:val="00B446AA"/>
    <w:rsid w:val="00B508C7"/>
    <w:rsid w:val="00B53FAB"/>
    <w:rsid w:val="00B5555A"/>
    <w:rsid w:val="00B62424"/>
    <w:rsid w:val="00B71AE5"/>
    <w:rsid w:val="00B72248"/>
    <w:rsid w:val="00B74AEE"/>
    <w:rsid w:val="00B837D9"/>
    <w:rsid w:val="00B90F65"/>
    <w:rsid w:val="00B91E57"/>
    <w:rsid w:val="00B91E68"/>
    <w:rsid w:val="00B922AE"/>
    <w:rsid w:val="00B97D0E"/>
    <w:rsid w:val="00BA3AB4"/>
    <w:rsid w:val="00BA5BC0"/>
    <w:rsid w:val="00BA6EA2"/>
    <w:rsid w:val="00BA7D71"/>
    <w:rsid w:val="00BB0FCA"/>
    <w:rsid w:val="00BB2F7F"/>
    <w:rsid w:val="00BC1FF6"/>
    <w:rsid w:val="00BC6107"/>
    <w:rsid w:val="00BD243A"/>
    <w:rsid w:val="00BD3232"/>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6D43"/>
    <w:rsid w:val="00D07DBF"/>
    <w:rsid w:val="00D16095"/>
    <w:rsid w:val="00D16A51"/>
    <w:rsid w:val="00D202B9"/>
    <w:rsid w:val="00D21B2C"/>
    <w:rsid w:val="00D25415"/>
    <w:rsid w:val="00D42064"/>
    <w:rsid w:val="00D42F44"/>
    <w:rsid w:val="00D45508"/>
    <w:rsid w:val="00D52B61"/>
    <w:rsid w:val="00D543CF"/>
    <w:rsid w:val="00D574F5"/>
    <w:rsid w:val="00D6241A"/>
    <w:rsid w:val="00D63D09"/>
    <w:rsid w:val="00D76F83"/>
    <w:rsid w:val="00D80E52"/>
    <w:rsid w:val="00D811EE"/>
    <w:rsid w:val="00D85511"/>
    <w:rsid w:val="00D86918"/>
    <w:rsid w:val="00D93828"/>
    <w:rsid w:val="00D95713"/>
    <w:rsid w:val="00D95E5A"/>
    <w:rsid w:val="00D972F0"/>
    <w:rsid w:val="00DB7C64"/>
    <w:rsid w:val="00DC035A"/>
    <w:rsid w:val="00DC3E15"/>
    <w:rsid w:val="00DC42F1"/>
    <w:rsid w:val="00DC4A4A"/>
    <w:rsid w:val="00DC6B56"/>
    <w:rsid w:val="00DD392F"/>
    <w:rsid w:val="00DD66F8"/>
    <w:rsid w:val="00DD73BA"/>
    <w:rsid w:val="00DE1920"/>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3EE1"/>
    <w:rsid w:val="00E947B4"/>
    <w:rsid w:val="00EA1390"/>
    <w:rsid w:val="00EA3F2D"/>
    <w:rsid w:val="00EA3F32"/>
    <w:rsid w:val="00EA499D"/>
    <w:rsid w:val="00EA49D6"/>
    <w:rsid w:val="00EB043A"/>
    <w:rsid w:val="00EB240E"/>
    <w:rsid w:val="00EB37FF"/>
    <w:rsid w:val="00EC13B4"/>
    <w:rsid w:val="00ED3D91"/>
    <w:rsid w:val="00EE17C3"/>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4DA1"/>
    <w:rsid w:val="00F37B36"/>
    <w:rsid w:val="00F37D39"/>
    <w:rsid w:val="00F42C0D"/>
    <w:rsid w:val="00F4507F"/>
    <w:rsid w:val="00F45436"/>
    <w:rsid w:val="00F46999"/>
    <w:rsid w:val="00F53CDB"/>
    <w:rsid w:val="00F5429D"/>
    <w:rsid w:val="00F60A50"/>
    <w:rsid w:val="00F60CFD"/>
    <w:rsid w:val="00F635B2"/>
    <w:rsid w:val="00F72364"/>
    <w:rsid w:val="00F820E5"/>
    <w:rsid w:val="00F8243B"/>
    <w:rsid w:val="00F85A82"/>
    <w:rsid w:val="00F97A90"/>
    <w:rsid w:val="00FA0938"/>
    <w:rsid w:val="00FA1DA8"/>
    <w:rsid w:val="00FA2880"/>
    <w:rsid w:val="00FB3A64"/>
    <w:rsid w:val="00FB3BCA"/>
    <w:rsid w:val="00FB47AF"/>
    <w:rsid w:val="00FB78CE"/>
    <w:rsid w:val="00FD32FA"/>
    <w:rsid w:val="00FD43FE"/>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26E42D6A-FE2F-48E9-8488-66EC6818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37E"/>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FB8805C4-E898-4DE7-AFFF-FD8DF41CE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2670</Words>
  <Characters>14689</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21</cp:revision>
  <dcterms:created xsi:type="dcterms:W3CDTF">2024-09-18T09:03:00Z</dcterms:created>
  <dcterms:modified xsi:type="dcterms:W3CDTF">2024-09-27T14:18:00Z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