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B1912" w14:textId="77777777" w:rsidR="00B40588" w:rsidRPr="009B1AB6" w:rsidRDefault="00B40588" w:rsidP="00B40588">
      <w:pPr>
        <w:rPr>
          <w:rFonts w:ascii="Times New Roman" w:hAnsi="Times New Roman" w:cs="Times New Roman"/>
          <w:b/>
          <w:sz w:val="20"/>
        </w:rPr>
      </w:pPr>
      <w:r w:rsidRPr="009B1AB6">
        <w:rPr>
          <w:rFonts w:ascii="Times New Roman" w:hAnsi="Times New Roman" w:cs="Times New Roman"/>
          <w:noProof/>
          <w:lang w:bidi="ar-SA"/>
        </w:rPr>
        <w:drawing>
          <wp:inline distT="0" distB="0" distL="0" distR="0" wp14:anchorId="1A914BDF" wp14:editId="531868F3">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685DA4E6" w14:textId="77777777" w:rsidR="00B40588" w:rsidRPr="009B1AB6" w:rsidDel="00160A5F" w:rsidRDefault="00B40588" w:rsidP="00B40588">
      <w:pPr>
        <w:jc w:val="center"/>
        <w:rPr>
          <w:rFonts w:ascii="Times New Roman" w:hAnsi="Times New Roman" w:cs="Times New Roman"/>
          <w:b/>
          <w:color w:val="003B8E"/>
          <w:sz w:val="32"/>
          <w:szCs w:val="32"/>
        </w:rPr>
      </w:pPr>
      <w:r w:rsidRPr="009B1AB6" w:rsidDel="00160A5F">
        <w:rPr>
          <w:rFonts w:ascii="Times New Roman" w:hAnsi="Times New Roman" w:cs="Times New Roman"/>
          <w:b/>
          <w:color w:val="003B8E"/>
          <w:sz w:val="32"/>
          <w:szCs w:val="32"/>
        </w:rPr>
        <w:t>Guide méthodologique</w:t>
      </w:r>
    </w:p>
    <w:p w14:paraId="6B8BF1D4" w14:textId="4FA7C4E5" w:rsidR="00B40588" w:rsidRPr="009B1AB6" w:rsidRDefault="00B40588" w:rsidP="00B40588">
      <w:pPr>
        <w:jc w:val="center"/>
        <w:rPr>
          <w:rFonts w:ascii="Times New Roman" w:hAnsi="Times New Roman" w:cs="Times New Roman"/>
          <w:b/>
          <w:color w:val="003B8E"/>
          <w:sz w:val="28"/>
          <w:szCs w:val="32"/>
        </w:rPr>
      </w:pPr>
      <w:r w:rsidRPr="009B1AB6">
        <w:rPr>
          <w:rFonts w:ascii="Times New Roman" w:hAnsi="Times New Roman" w:cs="Times New Roman"/>
          <w:b/>
          <w:color w:val="003B8E"/>
          <w:sz w:val="28"/>
          <w:szCs w:val="32"/>
        </w:rPr>
        <w:t>Modèle des états « Produits dérivés » (RP.08.0X.01) :</w:t>
      </w:r>
    </w:p>
    <w:p w14:paraId="72C94FE4" w14:textId="77777777" w:rsidR="00B40588" w:rsidRPr="009B1AB6" w:rsidRDefault="00B40588" w:rsidP="00B40588">
      <w:pPr>
        <w:rPr>
          <w:rFonts w:ascii="Times New Roman" w:hAnsi="Times New Roman" w:cs="Times New Roman"/>
          <w:b/>
          <w:color w:val="003B8E"/>
          <w:szCs w:val="32"/>
        </w:rPr>
      </w:pPr>
      <w:bookmarkStart w:id="0" w:name="_GoBack"/>
      <w:bookmarkEnd w:id="0"/>
    </w:p>
    <w:p w14:paraId="300AE407" w14:textId="79CAB9D1" w:rsidR="00B40588" w:rsidRPr="009B1AB6" w:rsidRDefault="00B40588" w:rsidP="00B40588">
      <w:pPr>
        <w:rPr>
          <w:rFonts w:ascii="Times New Roman" w:hAnsi="Times New Roman" w:cs="Times New Roman"/>
          <w:b/>
          <w:color w:val="003B8E"/>
          <w:szCs w:val="32"/>
        </w:rPr>
      </w:pPr>
      <w:r w:rsidRPr="009B1AB6">
        <w:rPr>
          <w:rFonts w:ascii="Times New Roman" w:hAnsi="Times New Roman" w:cs="Times New Roman"/>
          <w:b/>
          <w:color w:val="003B8E"/>
          <w:szCs w:val="32"/>
        </w:rPr>
        <w:t>- « Positions ouvertes sur produits dérivés » (RP.08.01.01)</w:t>
      </w:r>
    </w:p>
    <w:p w14:paraId="2CDAA04F" w14:textId="67D537CE" w:rsidR="00B40588" w:rsidRPr="009B1AB6" w:rsidRDefault="00B40588" w:rsidP="00B40588">
      <w:pPr>
        <w:rPr>
          <w:rFonts w:ascii="Times New Roman" w:hAnsi="Times New Roman" w:cs="Times New Roman"/>
          <w:b/>
          <w:color w:val="003B8E"/>
          <w:szCs w:val="32"/>
        </w:rPr>
      </w:pPr>
      <w:r w:rsidRPr="009B1AB6">
        <w:rPr>
          <w:rFonts w:ascii="Times New Roman" w:hAnsi="Times New Roman" w:cs="Times New Roman"/>
          <w:b/>
          <w:color w:val="003B8E"/>
          <w:szCs w:val="32"/>
        </w:rPr>
        <w:t>- « Transactions sur produits dérivés » (RP.08.02.01)</w:t>
      </w:r>
    </w:p>
    <w:p w14:paraId="3BB44224" w14:textId="77777777" w:rsidR="0095672C" w:rsidRPr="009B1AB6" w:rsidRDefault="0095672C">
      <w:pPr>
        <w:rPr>
          <w:rFonts w:ascii="Times New Roman" w:hAnsi="Times New Roman" w:cs="Times New Roman"/>
          <w:sz w:val="20"/>
          <w:szCs w:val="20"/>
        </w:rPr>
      </w:pPr>
    </w:p>
    <w:p w14:paraId="0D5A297C" w14:textId="5C59F884" w:rsidR="0095672C" w:rsidRPr="009B1AB6" w:rsidRDefault="00940479" w:rsidP="00950116">
      <w:pPr>
        <w:rPr>
          <w:rFonts w:ascii="Times New Roman" w:hAnsi="Times New Roman" w:cs="Times New Roman"/>
          <w:b/>
          <w:bCs/>
          <w:sz w:val="20"/>
          <w:szCs w:val="20"/>
        </w:rPr>
      </w:pPr>
      <w:r w:rsidRPr="009B1AB6">
        <w:rPr>
          <w:rFonts w:ascii="Times New Roman" w:hAnsi="Times New Roman"/>
          <w:b/>
          <w:sz w:val="20"/>
        </w:rPr>
        <w:t>RP.0</w:t>
      </w:r>
      <w:r w:rsidR="0095672C" w:rsidRPr="009B1AB6">
        <w:rPr>
          <w:rFonts w:ascii="Times New Roman" w:hAnsi="Times New Roman"/>
          <w:b/>
          <w:sz w:val="20"/>
        </w:rPr>
        <w:t>8.01</w:t>
      </w:r>
      <w:r w:rsidR="002C203E" w:rsidRPr="009B1AB6">
        <w:rPr>
          <w:rFonts w:ascii="Times New Roman" w:hAnsi="Times New Roman"/>
          <w:b/>
          <w:sz w:val="20"/>
        </w:rPr>
        <w:t>.01</w:t>
      </w:r>
      <w:r w:rsidR="0095672C" w:rsidRPr="009B1AB6">
        <w:rPr>
          <w:rFonts w:ascii="Times New Roman" w:hAnsi="Times New Roman"/>
          <w:b/>
          <w:sz w:val="20"/>
        </w:rPr>
        <w:t xml:space="preserve"> – Positions ouvertes sur produits dérivés</w:t>
      </w:r>
    </w:p>
    <w:p w14:paraId="56F63BAF" w14:textId="77777777" w:rsidR="0095672C" w:rsidRPr="009B1AB6" w:rsidRDefault="0095672C">
      <w:pPr>
        <w:rPr>
          <w:rFonts w:ascii="Times New Roman" w:hAnsi="Times New Roman" w:cs="Times New Roman"/>
          <w:b/>
          <w:bCs/>
          <w:sz w:val="20"/>
          <w:szCs w:val="20"/>
        </w:rPr>
      </w:pPr>
      <w:r w:rsidRPr="009B1AB6">
        <w:rPr>
          <w:rFonts w:ascii="Times New Roman" w:hAnsi="Times New Roman"/>
          <w:b/>
          <w:sz w:val="20"/>
        </w:rPr>
        <w:t>Observations générales</w:t>
      </w:r>
    </w:p>
    <w:p w14:paraId="141F63D7" w14:textId="77777777"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Les informations déclarées doivent couvrir tous les contrats dérivés existant durant la période de référence, qui n’ont pas été clôturés avant la date de référence de la déclaration.</w:t>
      </w:r>
    </w:p>
    <w:p w14:paraId="1345E761" w14:textId="77777777"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 xml:space="preserve">En cas d’échanges fréquents sur un même dérivé ayant pour résultat de multiples positions ouvertes, le dérivé peut faire l’objet d’une déclaration sur une base agrégée ou nette, pour autant que toutes les caractéristiques pertinentes soient communes et que l’instruction spécifique pour chaque élément à déclarer soit respectée. </w:t>
      </w:r>
    </w:p>
    <w:p w14:paraId="7BCA3785" w14:textId="77777777"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Les éléments déclarés doivent avoir une valeur positive, sauf indication contraire dans les instructions.</w:t>
      </w:r>
    </w:p>
    <w:p w14:paraId="17C0EDDE" w14:textId="70A07BAD" w:rsidR="0095672C" w:rsidRPr="009B1AB6" w:rsidRDefault="0095672C" w:rsidP="00950116">
      <w:pPr>
        <w:spacing w:after="120"/>
        <w:jc w:val="both"/>
        <w:rPr>
          <w:rFonts w:ascii="Times New Roman" w:hAnsi="Times New Roman" w:cs="Times New Roman"/>
          <w:bCs/>
          <w:sz w:val="20"/>
          <w:szCs w:val="20"/>
        </w:rPr>
      </w:pPr>
      <w:r w:rsidRPr="009B1AB6">
        <w:rPr>
          <w:rFonts w:ascii="Times New Roman" w:hAnsi="Times New Roman"/>
          <w:sz w:val="20"/>
        </w:rPr>
        <w:t xml:space="preserve">Un dérivé est </w:t>
      </w:r>
      <w:r w:rsidR="00D85511" w:rsidRPr="009B1AB6">
        <w:rPr>
          <w:rFonts w:ascii="Times New Roman" w:hAnsi="Times New Roman"/>
          <w:sz w:val="20"/>
        </w:rPr>
        <w:t xml:space="preserve">un </w:t>
      </w:r>
      <w:r w:rsidRPr="009B1AB6">
        <w:rPr>
          <w:rFonts w:ascii="Times New Roman" w:hAnsi="Times New Roman"/>
          <w:sz w:val="20"/>
        </w:rPr>
        <w:t>instrument financier ou un autre contrat présentant l’ensemble des trois caractéristiques suivantes:</w:t>
      </w:r>
    </w:p>
    <w:p w14:paraId="5F721D90" w14:textId="491EBE68" w:rsidR="0095672C" w:rsidRPr="009B1AB6" w:rsidRDefault="0095672C" w:rsidP="00CF4C83">
      <w:pPr>
        <w:pStyle w:val="Paragraphedeliste"/>
        <w:numPr>
          <w:ilvl w:val="0"/>
          <w:numId w:val="13"/>
        </w:numPr>
        <w:spacing w:after="200" w:line="276" w:lineRule="auto"/>
        <w:rPr>
          <w:bCs/>
          <w:sz w:val="20"/>
        </w:rPr>
      </w:pPr>
      <w:r w:rsidRPr="009B1AB6">
        <w:rPr>
          <w:sz w:val="20"/>
        </w:rPr>
        <w:t>sa valeur varie en fonction d’une variation d’un taux d’intérêt spécifié, du prix d’un instrument financier, du prix d’une marchandise, d’un cours de change, d’un indice de prix ou de taux, d’une notation de crédit ou d’un indice de crédit ou d’une autre variable, à condition que</w:t>
      </w:r>
      <w:r w:rsidR="002C203E" w:rsidRPr="009B1AB6">
        <w:rPr>
          <w:sz w:val="20"/>
        </w:rPr>
        <w:t>,</w:t>
      </w:r>
      <w:r w:rsidRPr="009B1AB6">
        <w:rPr>
          <w:sz w:val="20"/>
        </w:rPr>
        <w:t xml:space="preserve"> dans le cas</w:t>
      </w:r>
      <w:r w:rsidR="002C203E" w:rsidRPr="009B1AB6">
        <w:rPr>
          <w:sz w:val="20"/>
        </w:rPr>
        <w:t>,</w:t>
      </w:r>
      <w:r w:rsidRPr="009B1AB6">
        <w:rPr>
          <w:sz w:val="20"/>
        </w:rPr>
        <w:t xml:space="preserve"> d’une variable non financière, la variable ne soit pas spécifique à une des parties au contrat (parfois appelé le</w:t>
      </w:r>
      <w:r w:rsidR="00CF4C83" w:rsidRPr="009B1AB6">
        <w:rPr>
          <w:sz w:val="20"/>
        </w:rPr>
        <w:t xml:space="preserve"> « sous</w:t>
      </w:r>
      <w:r w:rsidRPr="009B1AB6">
        <w:rPr>
          <w:sz w:val="20"/>
        </w:rPr>
        <w:t>-</w:t>
      </w:r>
      <w:r w:rsidR="00CF4C83" w:rsidRPr="009B1AB6">
        <w:rPr>
          <w:sz w:val="20"/>
        </w:rPr>
        <w:t>jacent »</w:t>
      </w:r>
      <w:r w:rsidRPr="009B1AB6">
        <w:rPr>
          <w:sz w:val="20"/>
        </w:rPr>
        <w:t>);</w:t>
      </w:r>
    </w:p>
    <w:p w14:paraId="37E4F4D4" w14:textId="77777777" w:rsidR="0095672C" w:rsidRPr="009B1AB6" w:rsidRDefault="0095672C" w:rsidP="00CF4C83">
      <w:pPr>
        <w:pStyle w:val="Paragraphedeliste"/>
        <w:numPr>
          <w:ilvl w:val="0"/>
          <w:numId w:val="13"/>
        </w:numPr>
        <w:spacing w:after="200" w:line="276" w:lineRule="auto"/>
        <w:rPr>
          <w:bCs/>
          <w:sz w:val="20"/>
        </w:rPr>
      </w:pPr>
      <w:r w:rsidRPr="009B1AB6">
        <w:rPr>
          <w:sz w:val="20"/>
        </w:rPr>
        <w:t>il ne requiert aucun placement net initial ou un placement net initial inférieur à celui qui serait nécessaire pour d’autres types de contrats dont on pourrait attendre des réactions similaires aux évolutions des conditions du marché;</w:t>
      </w:r>
    </w:p>
    <w:p w14:paraId="659148D9" w14:textId="77777777" w:rsidR="0095672C" w:rsidRPr="009B1AB6" w:rsidRDefault="0095672C" w:rsidP="00CF4C83">
      <w:pPr>
        <w:pStyle w:val="Paragraphedeliste"/>
        <w:numPr>
          <w:ilvl w:val="0"/>
          <w:numId w:val="13"/>
        </w:numPr>
        <w:spacing w:after="200" w:line="276" w:lineRule="auto"/>
        <w:rPr>
          <w:bCs/>
          <w:sz w:val="20"/>
        </w:rPr>
      </w:pPr>
      <w:r w:rsidRPr="009B1AB6">
        <w:rPr>
          <w:sz w:val="20"/>
        </w:rPr>
        <w:t>il est réglé à une date future.</w:t>
      </w:r>
    </w:p>
    <w:p w14:paraId="11A492E3" w14:textId="7BD301B3"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Ce modèle se compose de deux tableaux:</w:t>
      </w:r>
      <w:r w:rsidR="00CF4C83" w:rsidRPr="009B1AB6">
        <w:rPr>
          <w:rFonts w:ascii="Times New Roman" w:hAnsi="Times New Roman"/>
          <w:sz w:val="20"/>
        </w:rPr>
        <w:t xml:space="preserve"> « Informations</w:t>
      </w:r>
      <w:r w:rsidRPr="009B1AB6">
        <w:rPr>
          <w:rFonts w:ascii="Times New Roman" w:hAnsi="Times New Roman"/>
          <w:sz w:val="20"/>
        </w:rPr>
        <w:t xml:space="preserve"> sur les positions </w:t>
      </w:r>
      <w:r w:rsidR="00CF4C83" w:rsidRPr="009B1AB6">
        <w:rPr>
          <w:rFonts w:ascii="Times New Roman" w:hAnsi="Times New Roman"/>
          <w:sz w:val="20"/>
        </w:rPr>
        <w:t>détenues »</w:t>
      </w:r>
      <w:r w:rsidRPr="009B1AB6">
        <w:rPr>
          <w:rFonts w:ascii="Times New Roman" w:hAnsi="Times New Roman"/>
          <w:sz w:val="20"/>
        </w:rPr>
        <w:t xml:space="preserve"> et</w:t>
      </w:r>
      <w:r w:rsidR="00CF4C83" w:rsidRPr="009B1AB6">
        <w:rPr>
          <w:rFonts w:ascii="Times New Roman" w:hAnsi="Times New Roman"/>
          <w:sz w:val="20"/>
        </w:rPr>
        <w:t xml:space="preserve"> « Informations</w:t>
      </w:r>
      <w:r w:rsidRPr="009B1AB6">
        <w:rPr>
          <w:rFonts w:ascii="Times New Roman" w:hAnsi="Times New Roman"/>
          <w:sz w:val="20"/>
        </w:rPr>
        <w:t xml:space="preserve"> sur les </w:t>
      </w:r>
      <w:r w:rsidR="00CF4C83" w:rsidRPr="009B1AB6">
        <w:rPr>
          <w:rFonts w:ascii="Times New Roman" w:hAnsi="Times New Roman"/>
          <w:sz w:val="20"/>
        </w:rPr>
        <w:t>dérivés »</w:t>
      </w:r>
      <w:r w:rsidRPr="009B1AB6">
        <w:rPr>
          <w:rFonts w:ascii="Times New Roman" w:hAnsi="Times New Roman"/>
          <w:sz w:val="20"/>
        </w:rPr>
        <w:t>.</w:t>
      </w:r>
    </w:p>
    <w:p w14:paraId="71A3D113" w14:textId="5735D404"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Dans le tableau</w:t>
      </w:r>
      <w:r w:rsidR="00CF4C83" w:rsidRPr="009B1AB6">
        <w:rPr>
          <w:rFonts w:ascii="Times New Roman" w:hAnsi="Times New Roman"/>
          <w:sz w:val="20"/>
        </w:rPr>
        <w:t xml:space="preserve"> « Informations</w:t>
      </w:r>
      <w:r w:rsidRPr="009B1AB6">
        <w:rPr>
          <w:rFonts w:ascii="Times New Roman" w:hAnsi="Times New Roman"/>
          <w:sz w:val="20"/>
        </w:rPr>
        <w:t xml:space="preserve"> sur les positions </w:t>
      </w:r>
      <w:r w:rsidR="00CF4C83" w:rsidRPr="009B1AB6">
        <w:rPr>
          <w:rFonts w:ascii="Times New Roman" w:hAnsi="Times New Roman"/>
          <w:sz w:val="20"/>
        </w:rPr>
        <w:t>détenues »</w:t>
      </w:r>
      <w:r w:rsidRPr="009B1AB6">
        <w:rPr>
          <w:rFonts w:ascii="Times New Roman" w:hAnsi="Times New Roman"/>
          <w:sz w:val="20"/>
        </w:rPr>
        <w:t>, chaque dérivé doit être déclaré séparément, et il convient d’utiliser autant de lignes que nécessaire pour compléter dûment tous les éléments requis dans ce tableau. Si deux valeurs peuvent être attribuées à une variable pour un même dérivé, celui-ci doit être déclaré sur plus d’une ligne.</w:t>
      </w:r>
    </w:p>
    <w:p w14:paraId="3498B21A" w14:textId="77777777"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En particulier, pour les dérivés comportant plus d’une paire de devises, il convient de distinguer les paires et de les déclarer sur des lignes différentes.</w:t>
      </w:r>
    </w:p>
    <w:p w14:paraId="77E24837" w14:textId="4A0F561C" w:rsidR="0095672C" w:rsidRPr="009B1AB6" w:rsidRDefault="0095672C" w:rsidP="0044578D">
      <w:pPr>
        <w:jc w:val="both"/>
      </w:pPr>
      <w:r w:rsidRPr="009B1AB6">
        <w:rPr>
          <w:rFonts w:ascii="Times New Roman" w:hAnsi="Times New Roman"/>
          <w:sz w:val="20"/>
        </w:rPr>
        <w:lastRenderedPageBreak/>
        <w:t>Dans le tableau</w:t>
      </w:r>
      <w:r w:rsidR="00CF4C83" w:rsidRPr="009B1AB6">
        <w:rPr>
          <w:rFonts w:ascii="Times New Roman" w:hAnsi="Times New Roman"/>
          <w:sz w:val="20"/>
        </w:rPr>
        <w:t xml:space="preserve"> « Informations</w:t>
      </w:r>
      <w:r w:rsidRPr="009B1AB6">
        <w:rPr>
          <w:rFonts w:ascii="Times New Roman" w:hAnsi="Times New Roman"/>
          <w:sz w:val="20"/>
        </w:rPr>
        <w:t xml:space="preserve"> sur les </w:t>
      </w:r>
      <w:r w:rsidR="00CF4C83" w:rsidRPr="009B1AB6">
        <w:rPr>
          <w:rFonts w:ascii="Times New Roman" w:hAnsi="Times New Roman"/>
          <w:sz w:val="20"/>
        </w:rPr>
        <w:t>dérivés »</w:t>
      </w:r>
      <w:r w:rsidRPr="009B1AB6">
        <w:rPr>
          <w:rFonts w:ascii="Times New Roman" w:hAnsi="Times New Roman"/>
          <w:sz w:val="20"/>
        </w:rPr>
        <w:t>, il convient de déclarer chaque dérivé séparément, à raison d’une ligne par dérivé, en complétant toutes les variables requises dans ce tableau.</w:t>
      </w:r>
    </w:p>
    <w:tbl>
      <w:tblPr>
        <w:tblStyle w:val="Grilledutableau"/>
        <w:tblW w:w="9322" w:type="dxa"/>
        <w:tblLayout w:type="fixed"/>
        <w:tblLook w:val="04A0" w:firstRow="1" w:lastRow="0" w:firstColumn="1" w:lastColumn="0" w:noHBand="0" w:noVBand="1"/>
      </w:tblPr>
      <w:tblGrid>
        <w:gridCol w:w="1223"/>
        <w:gridCol w:w="2403"/>
        <w:gridCol w:w="5696"/>
      </w:tblGrid>
      <w:tr w:rsidR="0095672C" w:rsidRPr="009B1AB6" w14:paraId="66C44805" w14:textId="77777777" w:rsidTr="00950116">
        <w:trPr>
          <w:trHeight w:val="458"/>
        </w:trPr>
        <w:tc>
          <w:tcPr>
            <w:tcW w:w="3626" w:type="dxa"/>
            <w:gridSpan w:val="2"/>
            <w:tcBorders>
              <w:top w:val="single" w:sz="4" w:space="0" w:color="auto"/>
              <w:left w:val="single" w:sz="4" w:space="0" w:color="auto"/>
              <w:bottom w:val="single" w:sz="4" w:space="0" w:color="auto"/>
              <w:right w:val="nil"/>
            </w:tcBorders>
            <w:vAlign w:val="center"/>
          </w:tcPr>
          <w:p w14:paraId="3EF967FB"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b/>
                <w:sz w:val="20"/>
              </w:rPr>
              <w:t>Informations sur les positions détenues</w:t>
            </w:r>
          </w:p>
        </w:tc>
        <w:tc>
          <w:tcPr>
            <w:tcW w:w="5696" w:type="dxa"/>
            <w:tcBorders>
              <w:top w:val="single" w:sz="4" w:space="0" w:color="auto"/>
              <w:left w:val="nil"/>
              <w:bottom w:val="single" w:sz="4" w:space="0" w:color="auto"/>
              <w:right w:val="single" w:sz="4" w:space="0" w:color="auto"/>
            </w:tcBorders>
            <w:vAlign w:val="center"/>
          </w:tcPr>
          <w:p w14:paraId="0116E7B9" w14:textId="77777777" w:rsidR="0095672C" w:rsidRPr="009B1AB6" w:rsidRDefault="0095672C" w:rsidP="00950116">
            <w:pPr>
              <w:rPr>
                <w:rFonts w:ascii="Times New Roman" w:hAnsi="Times New Roman" w:cs="Times New Roman"/>
                <w:sz w:val="20"/>
                <w:szCs w:val="20"/>
              </w:rPr>
            </w:pPr>
          </w:p>
        </w:tc>
      </w:tr>
      <w:tr w:rsidR="0095672C" w:rsidRPr="009B1AB6" w14:paraId="3A0CC2B9" w14:textId="77777777" w:rsidTr="00950116">
        <w:trPr>
          <w:trHeight w:val="367"/>
        </w:trPr>
        <w:tc>
          <w:tcPr>
            <w:tcW w:w="1223" w:type="dxa"/>
            <w:tcBorders>
              <w:bottom w:val="single" w:sz="4" w:space="0" w:color="auto"/>
            </w:tcBorders>
            <w:noWrap/>
            <w:hideMark/>
          </w:tcPr>
          <w:p w14:paraId="130BE148" w14:textId="77777777" w:rsidR="0095672C" w:rsidRPr="009B1AB6" w:rsidRDefault="0095672C" w:rsidP="00950116">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49CE3097" w14:textId="77777777" w:rsidR="0095672C" w:rsidRPr="009B1AB6" w:rsidRDefault="0095672C" w:rsidP="00950116">
            <w:pPr>
              <w:spacing w:after="200" w:line="276" w:lineRule="auto"/>
              <w:jc w:val="center"/>
              <w:rPr>
                <w:rFonts w:ascii="Times New Roman" w:hAnsi="Times New Roman" w:cs="Times New Roman"/>
                <w:b/>
                <w:bCs/>
                <w:sz w:val="20"/>
                <w:szCs w:val="20"/>
              </w:rPr>
            </w:pPr>
            <w:r w:rsidRPr="009B1AB6">
              <w:rPr>
                <w:rFonts w:ascii="Times New Roman" w:hAnsi="Times New Roman"/>
                <w:b/>
                <w:sz w:val="20"/>
              </w:rPr>
              <w:t>ÉLÉMENT À DÉCLARER</w:t>
            </w:r>
          </w:p>
        </w:tc>
        <w:tc>
          <w:tcPr>
            <w:tcW w:w="5696" w:type="dxa"/>
            <w:tcBorders>
              <w:bottom w:val="single" w:sz="4" w:space="0" w:color="auto"/>
            </w:tcBorders>
            <w:hideMark/>
          </w:tcPr>
          <w:p w14:paraId="062AFBDB" w14:textId="77777777" w:rsidR="0095672C" w:rsidRPr="009B1AB6" w:rsidRDefault="0095672C" w:rsidP="00950116">
            <w:pPr>
              <w:spacing w:after="200" w:line="276" w:lineRule="auto"/>
              <w:jc w:val="center"/>
              <w:rPr>
                <w:rFonts w:ascii="Times New Roman" w:hAnsi="Times New Roman" w:cs="Times New Roman"/>
                <w:b/>
                <w:bCs/>
                <w:sz w:val="20"/>
                <w:szCs w:val="20"/>
              </w:rPr>
            </w:pPr>
            <w:r w:rsidRPr="009B1AB6">
              <w:rPr>
                <w:rFonts w:ascii="Times New Roman" w:hAnsi="Times New Roman"/>
                <w:b/>
                <w:sz w:val="20"/>
              </w:rPr>
              <w:t>INSTRUCTIONS</w:t>
            </w:r>
          </w:p>
        </w:tc>
      </w:tr>
      <w:tr w:rsidR="0095672C" w:rsidRPr="009B1AB6" w14:paraId="11E7CD5F" w14:textId="77777777" w:rsidTr="00950116">
        <w:trPr>
          <w:trHeight w:val="1454"/>
        </w:trPr>
        <w:tc>
          <w:tcPr>
            <w:tcW w:w="1223" w:type="dxa"/>
            <w:tcBorders>
              <w:top w:val="single" w:sz="4" w:space="0" w:color="auto"/>
            </w:tcBorders>
            <w:hideMark/>
          </w:tcPr>
          <w:p w14:paraId="1696F599" w14:textId="7C94DE58"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817E1B" w:rsidRPr="009B1AB6">
              <w:rPr>
                <w:rFonts w:ascii="Times New Roman" w:hAnsi="Times New Roman"/>
                <w:sz w:val="20"/>
              </w:rPr>
              <w:t>001</w:t>
            </w:r>
            <w:r w:rsidRPr="009B1AB6">
              <w:rPr>
                <w:rFonts w:ascii="Times New Roman" w:hAnsi="Times New Roman"/>
                <w:sz w:val="20"/>
              </w:rPr>
              <w:t>0</w:t>
            </w:r>
          </w:p>
        </w:tc>
        <w:tc>
          <w:tcPr>
            <w:tcW w:w="2403" w:type="dxa"/>
            <w:tcBorders>
              <w:top w:val="single" w:sz="4" w:space="0" w:color="auto"/>
            </w:tcBorders>
            <w:hideMark/>
          </w:tcPr>
          <w:p w14:paraId="38589F83"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Code d’identification du dérivé</w:t>
            </w:r>
          </w:p>
        </w:tc>
        <w:tc>
          <w:tcPr>
            <w:tcW w:w="5696" w:type="dxa"/>
            <w:tcBorders>
              <w:top w:val="single" w:sz="4" w:space="0" w:color="auto"/>
            </w:tcBorders>
            <w:hideMark/>
          </w:tcPr>
          <w:p w14:paraId="3AEC2F85" w14:textId="50555EB2" w:rsidR="0095672C" w:rsidRPr="009B1AB6" w:rsidRDefault="0095672C" w:rsidP="00E358E2">
            <w:pPr>
              <w:spacing w:after="200"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du dérivé, par ordre de priorité suivant: </w:t>
            </w:r>
            <w:r w:rsidR="00FE79E2" w:rsidRPr="009B1AB6">
              <w:rPr>
                <w:rFonts w:ascii="Times New Roman" w:hAnsi="Times New Roman" w:cs="Times New Roman"/>
                <w:sz w:val="20"/>
                <w:szCs w:val="20"/>
              </w:rPr>
              <w:br/>
            </w:r>
            <w:r w:rsidRPr="009B1AB6">
              <w:rPr>
                <w:rFonts w:ascii="Times New Roman" w:hAnsi="Times New Roman"/>
                <w:sz w:val="20"/>
              </w:rPr>
              <w:t xml:space="preserve">  – code ISIN de l’ISO 6166 si disponible</w:t>
            </w:r>
            <w:r w:rsidR="00FE79E2" w:rsidRPr="009B1AB6">
              <w:rPr>
                <w:rFonts w:ascii="Times New Roman" w:hAnsi="Times New Roman" w:cs="Times New Roman"/>
                <w:sz w:val="20"/>
                <w:szCs w:val="20"/>
              </w:rPr>
              <w:br/>
            </w:r>
            <w:r w:rsidRPr="009B1AB6">
              <w:rPr>
                <w:rFonts w:ascii="Times New Roman" w:hAnsi="Times New Roman"/>
                <w:sz w:val="20"/>
              </w:rPr>
              <w:t xml:space="preserve">  – autres codes reconnus (tels que CUSIP, Bloomberg Ticker, Reuters RIC)</w:t>
            </w:r>
            <w:r w:rsidR="00FE79E2" w:rsidRPr="009B1AB6">
              <w:rPr>
                <w:rFonts w:ascii="Times New Roman" w:hAnsi="Times New Roman" w:cs="Times New Roman"/>
                <w:sz w:val="20"/>
                <w:szCs w:val="20"/>
              </w:rPr>
              <w:br/>
            </w:r>
            <w:r w:rsidRPr="009B1AB6">
              <w:rPr>
                <w:rFonts w:ascii="Times New Roman" w:hAnsi="Times New Roman"/>
                <w:sz w:val="20"/>
              </w:rPr>
              <w:t xml:space="preserve">  – code attribué par </w:t>
            </w:r>
            <w:r w:rsidR="006D71BF" w:rsidRPr="009B1AB6">
              <w:rPr>
                <w:rFonts w:ascii="Times New Roman" w:hAnsi="Times New Roman"/>
                <w:sz w:val="20"/>
              </w:rPr>
              <w:t>l’O</w:t>
            </w:r>
            <w:r w:rsidR="00E358E2" w:rsidRPr="009B1AB6">
              <w:rPr>
                <w:rFonts w:ascii="Times New Roman" w:hAnsi="Times New Roman"/>
                <w:sz w:val="20"/>
              </w:rPr>
              <w:t>RPS</w:t>
            </w:r>
            <w:r w:rsidRPr="009B1AB6">
              <w:rPr>
                <w:rFonts w:ascii="Times New Roman" w:hAnsi="Times New Roman"/>
                <w:sz w:val="20"/>
              </w:rPr>
              <w:t>, lorsque les options ci-dessus ne sont pas disponibles, qui doit rester constant dans le temps</w:t>
            </w:r>
          </w:p>
        </w:tc>
      </w:tr>
      <w:tr w:rsidR="0095672C" w:rsidRPr="009B1AB6" w14:paraId="38A6278B" w14:textId="77777777" w:rsidTr="00950116">
        <w:trPr>
          <w:trHeight w:val="1425"/>
        </w:trPr>
        <w:tc>
          <w:tcPr>
            <w:tcW w:w="1223" w:type="dxa"/>
            <w:hideMark/>
          </w:tcPr>
          <w:p w14:paraId="04BE7701" w14:textId="0676E473" w:rsidR="0095672C" w:rsidRPr="009B1AB6" w:rsidRDefault="0095672C" w:rsidP="00817E1B">
            <w:pPr>
              <w:pStyle w:val="Sansinterligne"/>
              <w:rPr>
                <w:rFonts w:ascii="Times New Roman" w:hAnsi="Times New Roman" w:cs="Times New Roman"/>
                <w:sz w:val="20"/>
                <w:szCs w:val="20"/>
              </w:rPr>
            </w:pPr>
            <w:r w:rsidRPr="009B1AB6">
              <w:rPr>
                <w:rFonts w:ascii="Times New Roman" w:hAnsi="Times New Roman"/>
                <w:sz w:val="20"/>
              </w:rPr>
              <w:t>C00</w:t>
            </w:r>
            <w:r w:rsidR="00817E1B" w:rsidRPr="009B1AB6">
              <w:rPr>
                <w:rFonts w:ascii="Times New Roman" w:hAnsi="Times New Roman"/>
                <w:sz w:val="20"/>
              </w:rPr>
              <w:t>2</w:t>
            </w:r>
            <w:r w:rsidRPr="009B1AB6">
              <w:rPr>
                <w:rFonts w:ascii="Times New Roman" w:hAnsi="Times New Roman"/>
                <w:sz w:val="20"/>
              </w:rPr>
              <w:t>0</w:t>
            </w:r>
          </w:p>
        </w:tc>
        <w:tc>
          <w:tcPr>
            <w:tcW w:w="2403" w:type="dxa"/>
            <w:hideMark/>
          </w:tcPr>
          <w:p w14:paraId="19E80B67"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du dérivé</w:t>
            </w:r>
          </w:p>
        </w:tc>
        <w:tc>
          <w:tcPr>
            <w:tcW w:w="5696" w:type="dxa"/>
            <w:hideMark/>
          </w:tcPr>
          <w:p w14:paraId="760A1E12" w14:textId="37B2625C"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421BF6" w:rsidRPr="009B1AB6">
              <w:rPr>
                <w:rFonts w:ascii="Times New Roman" w:hAnsi="Times New Roman"/>
                <w:sz w:val="20"/>
              </w:rPr>
              <w:t xml:space="preserve"> « code</w:t>
            </w:r>
            <w:r w:rsidRPr="009B1AB6">
              <w:rPr>
                <w:rFonts w:ascii="Times New Roman" w:hAnsi="Times New Roman"/>
                <w:sz w:val="20"/>
              </w:rPr>
              <w:t xml:space="preserve"> d’identification du </w:t>
            </w:r>
            <w:r w:rsidR="00421BF6" w:rsidRPr="009B1AB6">
              <w:rPr>
                <w:rFonts w:ascii="Times New Roman" w:hAnsi="Times New Roman"/>
                <w:sz w:val="20"/>
              </w:rPr>
              <w:t>dérivé »</w:t>
            </w:r>
            <w:r w:rsidRPr="009B1AB6">
              <w:rPr>
                <w:rFonts w:ascii="Times New Roman" w:hAnsi="Times New Roman"/>
                <w:sz w:val="20"/>
              </w:rPr>
              <w:t>. Choisir impérativement l’une des options suivantes:</w:t>
            </w:r>
          </w:p>
          <w:p w14:paraId="7D308675" w14:textId="6321F68B" w:rsidR="0095672C" w:rsidRPr="009B1AB6" w:rsidRDefault="00D85511" w:rsidP="00950116">
            <w:pPr>
              <w:spacing w:line="276" w:lineRule="auto"/>
              <w:rPr>
                <w:rFonts w:ascii="Times New Roman" w:hAnsi="Times New Roman" w:cs="Times New Roman"/>
                <w:sz w:val="20"/>
                <w:szCs w:val="20"/>
              </w:rPr>
            </w:pPr>
            <w:r w:rsidRPr="009B1AB6">
              <w:rPr>
                <w:rFonts w:ascii="Times New Roman" w:hAnsi="Times New Roman"/>
                <w:sz w:val="20"/>
              </w:rPr>
              <w:t xml:space="preserve">1 </w:t>
            </w:r>
            <w:r w:rsidR="0095672C" w:rsidRPr="009B1AB6">
              <w:rPr>
                <w:rFonts w:ascii="Times New Roman" w:hAnsi="Times New Roman"/>
                <w:sz w:val="20"/>
              </w:rPr>
              <w:t>– code ISIN de l’ISO 6166</w:t>
            </w:r>
          </w:p>
          <w:p w14:paraId="49A32253"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2 – code CUSIP (Committee on Uniform Securities Identification Procedures): numéro attribué par le CUSIP Service Bureau pour les entreprises américaines et canadiennes</w:t>
            </w:r>
          </w:p>
          <w:p w14:paraId="1268B2AE"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3 – SEDOL (Stock Exchange Daily Official List pour la bourse de Londres)</w:t>
            </w:r>
          </w:p>
          <w:p w14:paraId="559B7F99"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4 – WKN (Wertpapier Kenn-Nummer, le numéro d’identification alphanumérique allemand)</w:t>
            </w:r>
          </w:p>
          <w:p w14:paraId="497AE7E0"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5 – Bloomberg Ticker (code à lettres Bloomberg d’identification des titres d’une société)</w:t>
            </w:r>
          </w:p>
          <w:p w14:paraId="0B1E474F"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6 – BBGID (Bloomberg Global ID)</w:t>
            </w:r>
          </w:p>
          <w:p w14:paraId="23A24764"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7 – Reuters RIC (Reuters Instrument Code)</w:t>
            </w:r>
          </w:p>
          <w:p w14:paraId="239988D1"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8 – FIGI (Financial Instrument Global Identifier)</w:t>
            </w:r>
          </w:p>
          <w:p w14:paraId="54228A53"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9 – Autre code attribué par un membre de l’Association des agences nationales de codification</w:t>
            </w:r>
          </w:p>
          <w:p w14:paraId="4C21682B" w14:textId="537ADF0A" w:rsidR="0095672C" w:rsidRPr="009B1AB6" w:rsidRDefault="0095672C" w:rsidP="00E358E2">
            <w:pPr>
              <w:spacing w:line="276" w:lineRule="auto"/>
              <w:rPr>
                <w:rFonts w:ascii="Times New Roman" w:hAnsi="Times New Roman" w:cs="Times New Roman"/>
                <w:sz w:val="20"/>
                <w:szCs w:val="20"/>
              </w:rPr>
            </w:pPr>
            <w:r w:rsidRPr="009B1AB6">
              <w:rPr>
                <w:rFonts w:ascii="Times New Roman" w:hAnsi="Times New Roman"/>
                <w:sz w:val="20"/>
              </w:rPr>
              <w:t xml:space="preserve">99 – Code attribué par </w:t>
            </w:r>
            <w:r w:rsidR="006D71BF" w:rsidRPr="009B1AB6">
              <w:rPr>
                <w:rFonts w:ascii="Times New Roman" w:hAnsi="Times New Roman"/>
                <w:sz w:val="20"/>
              </w:rPr>
              <w:t>l’O</w:t>
            </w:r>
            <w:r w:rsidR="00E358E2" w:rsidRPr="009B1AB6">
              <w:rPr>
                <w:rFonts w:ascii="Times New Roman" w:hAnsi="Times New Roman"/>
                <w:sz w:val="20"/>
              </w:rPr>
              <w:t xml:space="preserve">RPS </w:t>
            </w:r>
          </w:p>
        </w:tc>
      </w:tr>
      <w:tr w:rsidR="0095672C" w:rsidRPr="009B1AB6" w14:paraId="03A08122" w14:textId="77777777" w:rsidTr="0044578D">
        <w:trPr>
          <w:trHeight w:val="1748"/>
        </w:trPr>
        <w:tc>
          <w:tcPr>
            <w:tcW w:w="1223" w:type="dxa"/>
            <w:hideMark/>
          </w:tcPr>
          <w:p w14:paraId="5947C4E1" w14:textId="6DD40C64" w:rsidR="0095672C" w:rsidRPr="009B1AB6" w:rsidRDefault="0095672C" w:rsidP="00817E1B">
            <w:pPr>
              <w:pStyle w:val="Sansinterligne"/>
              <w:rPr>
                <w:rFonts w:ascii="Times New Roman" w:hAnsi="Times New Roman" w:cs="Times New Roman"/>
                <w:sz w:val="20"/>
                <w:szCs w:val="20"/>
              </w:rPr>
            </w:pPr>
            <w:r w:rsidRPr="009B1AB6">
              <w:rPr>
                <w:rFonts w:ascii="Times New Roman" w:hAnsi="Times New Roman"/>
                <w:sz w:val="20"/>
              </w:rPr>
              <w:t>C00</w:t>
            </w:r>
            <w:r w:rsidR="00817E1B" w:rsidRPr="009B1AB6">
              <w:rPr>
                <w:rFonts w:ascii="Times New Roman" w:hAnsi="Times New Roman"/>
                <w:sz w:val="20"/>
              </w:rPr>
              <w:t>30</w:t>
            </w:r>
          </w:p>
        </w:tc>
        <w:tc>
          <w:tcPr>
            <w:tcW w:w="2403" w:type="dxa"/>
            <w:hideMark/>
          </w:tcPr>
          <w:p w14:paraId="3158CD39"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Portefeuille</w:t>
            </w:r>
            <w:r w:rsidR="00573E2C" w:rsidRPr="009B1AB6">
              <w:rPr>
                <w:rFonts w:ascii="Times New Roman" w:hAnsi="Times New Roman"/>
                <w:sz w:val="20"/>
              </w:rPr>
              <w:t xml:space="preserve"> concerné</w:t>
            </w:r>
          </w:p>
        </w:tc>
        <w:tc>
          <w:tcPr>
            <w:tcW w:w="5696" w:type="dxa"/>
            <w:hideMark/>
          </w:tcPr>
          <w:p w14:paraId="36C5C33F" w14:textId="77777777" w:rsidR="00573E2C" w:rsidRPr="009B1AB6" w:rsidRDefault="00573E2C" w:rsidP="00573E2C">
            <w:pPr>
              <w:rPr>
                <w:rFonts w:ascii="Times New Roman" w:hAnsi="Times New Roman"/>
                <w:sz w:val="20"/>
              </w:rPr>
            </w:pPr>
            <w:r w:rsidRPr="009B1AB6">
              <w:rPr>
                <w:rFonts w:ascii="Times New Roman" w:hAnsi="Times New Roman"/>
                <w:sz w:val="20"/>
              </w:rPr>
              <w:t>Choisir impérativement l’une des options suivantes:</w:t>
            </w:r>
          </w:p>
          <w:p w14:paraId="5BE022EC" w14:textId="77777777" w:rsidR="00573E2C" w:rsidRPr="009B1AB6" w:rsidRDefault="00573E2C" w:rsidP="00573E2C">
            <w:pPr>
              <w:rPr>
                <w:rFonts w:ascii="Times New Roman" w:hAnsi="Times New Roman"/>
                <w:sz w:val="20"/>
              </w:rPr>
            </w:pPr>
            <w:r w:rsidRPr="009B1AB6">
              <w:rPr>
                <w:rFonts w:ascii="Times New Roman" w:hAnsi="Times New Roman"/>
                <w:sz w:val="20"/>
              </w:rPr>
              <w:t>1 – Comptabilité générale hors contrats à capital variable</w:t>
            </w:r>
          </w:p>
          <w:p w14:paraId="40A8AC2C" w14:textId="77777777" w:rsidR="00573E2C" w:rsidRPr="009B1AB6" w:rsidRDefault="00573E2C" w:rsidP="00573E2C">
            <w:pPr>
              <w:rPr>
                <w:rFonts w:ascii="Times New Roman" w:hAnsi="Times New Roman"/>
                <w:sz w:val="20"/>
              </w:rPr>
            </w:pPr>
            <w:r w:rsidRPr="009B1AB6">
              <w:rPr>
                <w:rFonts w:ascii="Times New Roman" w:hAnsi="Times New Roman"/>
                <w:sz w:val="20"/>
              </w:rPr>
              <w:t>2 – Contrats à capital variable de la comptabilité générale</w:t>
            </w:r>
          </w:p>
          <w:p w14:paraId="21E1F82A" w14:textId="77777777" w:rsidR="00573E2C" w:rsidRPr="009B1AB6" w:rsidRDefault="00573E2C" w:rsidP="0044578D">
            <w:pPr>
              <w:tabs>
                <w:tab w:val="left" w:pos="1800"/>
              </w:tabs>
              <w:rPr>
                <w:rFonts w:ascii="Times New Roman" w:hAnsi="Times New Roman"/>
                <w:sz w:val="20"/>
              </w:rPr>
            </w:pPr>
            <w:r w:rsidRPr="009B1AB6">
              <w:rPr>
                <w:rFonts w:ascii="Times New Roman" w:hAnsi="Times New Roman"/>
                <w:sz w:val="20"/>
              </w:rPr>
              <w:t>3 – Branche 26</w:t>
            </w:r>
            <w:r w:rsidR="00482CC5" w:rsidRPr="009B1AB6">
              <w:rPr>
                <w:rFonts w:ascii="Times New Roman" w:hAnsi="Times New Roman"/>
                <w:sz w:val="20"/>
              </w:rPr>
              <w:tab/>
            </w:r>
          </w:p>
          <w:p w14:paraId="74FA3779" w14:textId="77777777" w:rsidR="00573E2C" w:rsidRPr="009B1AB6" w:rsidRDefault="00573E2C" w:rsidP="00573E2C">
            <w:pPr>
              <w:rPr>
                <w:rFonts w:ascii="Times New Roman" w:hAnsi="Times New Roman"/>
                <w:sz w:val="20"/>
              </w:rPr>
            </w:pPr>
            <w:r w:rsidRPr="009B1AB6">
              <w:rPr>
                <w:rFonts w:ascii="Times New Roman" w:hAnsi="Times New Roman"/>
                <w:sz w:val="20"/>
              </w:rPr>
              <w:t>4 – Eurocroissance</w:t>
            </w:r>
          </w:p>
          <w:p w14:paraId="3E2F2374" w14:textId="77777777" w:rsidR="00573E2C" w:rsidRPr="009B1AB6" w:rsidRDefault="00573E2C" w:rsidP="00573E2C">
            <w:pPr>
              <w:rPr>
                <w:rFonts w:ascii="Times New Roman" w:hAnsi="Times New Roman"/>
                <w:sz w:val="20"/>
              </w:rPr>
            </w:pPr>
            <w:r w:rsidRPr="009B1AB6">
              <w:rPr>
                <w:rFonts w:ascii="Times New Roman" w:hAnsi="Times New Roman"/>
                <w:sz w:val="20"/>
              </w:rPr>
              <w:t>5 – Autre comptabilité auxiliaire d'affectation correspondant à des contrats à capital variable</w:t>
            </w:r>
          </w:p>
          <w:p w14:paraId="2FE37AA6" w14:textId="77777777" w:rsidR="0095672C" w:rsidRPr="009B1AB6" w:rsidRDefault="00573E2C" w:rsidP="00950116">
            <w:pPr>
              <w:rPr>
                <w:rFonts w:ascii="Times New Roman" w:hAnsi="Times New Roman"/>
                <w:sz w:val="20"/>
              </w:rPr>
            </w:pPr>
            <w:r w:rsidRPr="009B1AB6">
              <w:rPr>
                <w:rFonts w:ascii="Times New Roman" w:hAnsi="Times New Roman"/>
                <w:sz w:val="20"/>
              </w:rPr>
              <w:t xml:space="preserve">6 </w:t>
            </w:r>
            <w:r w:rsidR="00E358E2" w:rsidRPr="009B1AB6">
              <w:rPr>
                <w:rFonts w:ascii="Times New Roman" w:hAnsi="Times New Roman"/>
                <w:sz w:val="20"/>
              </w:rPr>
              <w:t xml:space="preserve">– </w:t>
            </w:r>
            <w:r w:rsidRPr="009B1AB6">
              <w:rPr>
                <w:rFonts w:ascii="Times New Roman" w:hAnsi="Times New Roman"/>
                <w:sz w:val="20"/>
              </w:rPr>
              <w:t>Autre comptabilité auxiliaire d'affectation.</w:t>
            </w:r>
          </w:p>
          <w:p w14:paraId="44E4FF1B" w14:textId="77777777" w:rsidR="00DB27C9" w:rsidRPr="009B1AB6" w:rsidRDefault="00DB27C9" w:rsidP="00950116">
            <w:pPr>
              <w:rPr>
                <w:rFonts w:ascii="Times New Roman" w:hAnsi="Times New Roman"/>
                <w:sz w:val="20"/>
              </w:rPr>
            </w:pPr>
          </w:p>
          <w:p w14:paraId="0B70DB7A" w14:textId="02FA1FB5" w:rsidR="00DB27C9" w:rsidRPr="009B1AB6" w:rsidRDefault="00DB27C9" w:rsidP="00DB27C9">
            <w:pPr>
              <w:jc w:val="both"/>
              <w:rPr>
                <w:rFonts w:ascii="Times New Roman" w:hAnsi="Times New Roman" w:cs="Times New Roman"/>
                <w:sz w:val="20"/>
                <w:szCs w:val="20"/>
              </w:rPr>
            </w:pPr>
            <w:r w:rsidRPr="009B1AB6">
              <w:rPr>
                <w:rFonts w:ascii="Times New Roman" w:hAnsi="Times New Roman"/>
                <w:sz w:val="20"/>
              </w:rPr>
              <w:t xml:space="preserve">À défaut d’une méthode plus précise, l’affectation des produits dérivés par portefeuille pourra s’effectuer au prorata des provisions techniques. </w:t>
            </w:r>
          </w:p>
        </w:tc>
      </w:tr>
      <w:tr w:rsidR="0095672C" w:rsidRPr="009B1AB6" w14:paraId="1DCD823F" w14:textId="77777777" w:rsidTr="00950116">
        <w:trPr>
          <w:trHeight w:val="1590"/>
        </w:trPr>
        <w:tc>
          <w:tcPr>
            <w:tcW w:w="1223" w:type="dxa"/>
            <w:hideMark/>
          </w:tcPr>
          <w:p w14:paraId="3F86B677" w14:textId="0BF9B593" w:rsidR="0095672C" w:rsidRPr="009B1AB6" w:rsidRDefault="0095672C" w:rsidP="00817E1B">
            <w:pPr>
              <w:pStyle w:val="Sansinterligne"/>
              <w:rPr>
                <w:rFonts w:ascii="Times New Roman" w:hAnsi="Times New Roman" w:cs="Times New Roman"/>
                <w:sz w:val="20"/>
                <w:szCs w:val="20"/>
              </w:rPr>
            </w:pPr>
            <w:r w:rsidRPr="009B1AB6">
              <w:rPr>
                <w:rFonts w:ascii="Times New Roman" w:hAnsi="Times New Roman"/>
                <w:sz w:val="20"/>
              </w:rPr>
              <w:t>C00</w:t>
            </w:r>
            <w:r w:rsidR="00817E1B" w:rsidRPr="009B1AB6">
              <w:rPr>
                <w:rFonts w:ascii="Times New Roman" w:hAnsi="Times New Roman"/>
                <w:sz w:val="20"/>
              </w:rPr>
              <w:t>40</w:t>
            </w:r>
          </w:p>
        </w:tc>
        <w:tc>
          <w:tcPr>
            <w:tcW w:w="2403" w:type="dxa"/>
            <w:hideMark/>
          </w:tcPr>
          <w:p w14:paraId="2E12C727" w14:textId="0762B509" w:rsidR="0095672C" w:rsidRPr="009B1AB6" w:rsidRDefault="0095672C" w:rsidP="00573E2C">
            <w:pPr>
              <w:spacing w:after="200" w:line="276" w:lineRule="auto"/>
              <w:rPr>
                <w:rFonts w:ascii="Times New Roman" w:hAnsi="Times New Roman" w:cs="Times New Roman"/>
                <w:sz w:val="20"/>
                <w:szCs w:val="20"/>
              </w:rPr>
            </w:pPr>
            <w:r w:rsidRPr="009B1AB6">
              <w:rPr>
                <w:rFonts w:ascii="Times New Roman" w:hAnsi="Times New Roman"/>
                <w:sz w:val="20"/>
              </w:rPr>
              <w:t xml:space="preserve">Numéro </w:t>
            </w:r>
            <w:r w:rsidR="00573E2C" w:rsidRPr="009B1AB6">
              <w:rPr>
                <w:rFonts w:ascii="Times New Roman" w:hAnsi="Times New Roman"/>
                <w:sz w:val="20"/>
              </w:rPr>
              <w:t>de la comptabilité auxiliaire d’affectation</w:t>
            </w:r>
          </w:p>
        </w:tc>
        <w:tc>
          <w:tcPr>
            <w:tcW w:w="5696" w:type="dxa"/>
            <w:hideMark/>
          </w:tcPr>
          <w:p w14:paraId="216EE76E" w14:textId="70C7BFF5"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 xml:space="preserve">Applicable aux dérivés détenus dans </w:t>
            </w:r>
            <w:r w:rsidR="00573E2C" w:rsidRPr="009B1AB6">
              <w:rPr>
                <w:rFonts w:ascii="Times New Roman" w:hAnsi="Times New Roman"/>
                <w:sz w:val="20"/>
              </w:rPr>
              <w:t>une comptabilité auxiliaire d’affectation</w:t>
            </w:r>
          </w:p>
          <w:p w14:paraId="36B12CA5" w14:textId="77777777" w:rsidR="0095672C" w:rsidRPr="009B1AB6" w:rsidRDefault="0095672C" w:rsidP="00950116">
            <w:pPr>
              <w:rPr>
                <w:rFonts w:ascii="Times New Roman" w:hAnsi="Times New Roman" w:cs="Times New Roman"/>
                <w:sz w:val="20"/>
                <w:szCs w:val="20"/>
              </w:rPr>
            </w:pPr>
          </w:p>
          <w:p w14:paraId="460A8CEF" w14:textId="43D66760" w:rsidR="0095672C" w:rsidRPr="009B1AB6" w:rsidRDefault="0095672C" w:rsidP="00F820E5">
            <w:pPr>
              <w:rPr>
                <w:rFonts w:ascii="Times New Roman" w:hAnsi="Times New Roman" w:cs="Times New Roman"/>
                <w:sz w:val="20"/>
                <w:szCs w:val="20"/>
              </w:rPr>
            </w:pPr>
            <w:r w:rsidRPr="009B1AB6">
              <w:rPr>
                <w:rFonts w:ascii="Times New Roman" w:hAnsi="Times New Roman"/>
                <w:sz w:val="20"/>
              </w:rPr>
              <w:t xml:space="preserve">Numéro unique assigné par </w:t>
            </w:r>
            <w:r w:rsidR="006D71BF" w:rsidRPr="009B1AB6">
              <w:rPr>
                <w:rFonts w:ascii="Times New Roman" w:hAnsi="Times New Roman"/>
                <w:sz w:val="20"/>
              </w:rPr>
              <w:t>l’O</w:t>
            </w:r>
            <w:r w:rsidR="00573E2C" w:rsidRPr="009B1AB6">
              <w:rPr>
                <w:rFonts w:ascii="Times New Roman" w:hAnsi="Times New Roman"/>
                <w:sz w:val="20"/>
              </w:rPr>
              <w:t xml:space="preserve">RPS </w:t>
            </w:r>
            <w:r w:rsidRPr="009B1AB6">
              <w:rPr>
                <w:rFonts w:ascii="Times New Roman" w:hAnsi="Times New Roman"/>
                <w:sz w:val="20"/>
              </w:rPr>
              <w:t>à chaque fonds. Ce numéro doit rester constant dans le temps et permettre d’identifier le fonds dans les autres modèles. Il ne peut pas être réutilisé pour un</w:t>
            </w:r>
            <w:r w:rsidR="00F820E5" w:rsidRPr="009B1AB6">
              <w:rPr>
                <w:rFonts w:ascii="Times New Roman" w:hAnsi="Times New Roman"/>
                <w:sz w:val="20"/>
              </w:rPr>
              <w:t>e</w:t>
            </w:r>
            <w:r w:rsidRPr="009B1AB6">
              <w:rPr>
                <w:rFonts w:ascii="Times New Roman" w:hAnsi="Times New Roman"/>
                <w:sz w:val="20"/>
              </w:rPr>
              <w:t xml:space="preserve"> autre </w:t>
            </w:r>
            <w:r w:rsidR="00F820E5" w:rsidRPr="009B1AB6">
              <w:rPr>
                <w:rFonts w:ascii="Times New Roman" w:hAnsi="Times New Roman"/>
                <w:sz w:val="20"/>
              </w:rPr>
              <w:t>comptabilité auxiliaire d’affectation</w:t>
            </w:r>
            <w:r w:rsidRPr="009B1AB6">
              <w:rPr>
                <w:rFonts w:ascii="Times New Roman" w:hAnsi="Times New Roman"/>
                <w:sz w:val="20"/>
              </w:rPr>
              <w:t xml:space="preserve">. </w:t>
            </w:r>
          </w:p>
        </w:tc>
      </w:tr>
      <w:tr w:rsidR="0095672C" w:rsidRPr="009B1AB6" w14:paraId="420DE0B0" w14:textId="77777777" w:rsidTr="00950116">
        <w:trPr>
          <w:trHeight w:val="1140"/>
        </w:trPr>
        <w:tc>
          <w:tcPr>
            <w:tcW w:w="1223" w:type="dxa"/>
            <w:hideMark/>
          </w:tcPr>
          <w:p w14:paraId="700A610F" w14:textId="233FE652"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lastRenderedPageBreak/>
              <w:t>C</w:t>
            </w:r>
            <w:r w:rsidR="00817E1B" w:rsidRPr="009B1AB6">
              <w:rPr>
                <w:rFonts w:ascii="Times New Roman" w:hAnsi="Times New Roman"/>
                <w:sz w:val="20"/>
              </w:rPr>
              <w:t>005</w:t>
            </w:r>
            <w:r w:rsidRPr="009B1AB6">
              <w:rPr>
                <w:rFonts w:ascii="Times New Roman" w:hAnsi="Times New Roman"/>
                <w:sz w:val="20"/>
              </w:rPr>
              <w:t>0</w:t>
            </w:r>
          </w:p>
        </w:tc>
        <w:tc>
          <w:tcPr>
            <w:tcW w:w="2403" w:type="dxa"/>
            <w:hideMark/>
          </w:tcPr>
          <w:p w14:paraId="593A62CD"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Dérivés détenus en représentation de contrats en unités de compte et indexés</w:t>
            </w:r>
          </w:p>
        </w:tc>
        <w:tc>
          <w:tcPr>
            <w:tcW w:w="5696" w:type="dxa"/>
            <w:hideMark/>
          </w:tcPr>
          <w:p w14:paraId="2FED311C"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Identifier les dérivés détenus en représentation de contrats en unités de compte et indexés.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1 – Détenu en représentation de contrats en unités de compte ou indexés</w:t>
            </w:r>
          </w:p>
          <w:p w14:paraId="3981C275"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2 – Pas détenu en représentation de contrats en unités de compte ou indexés</w:t>
            </w:r>
          </w:p>
        </w:tc>
      </w:tr>
      <w:tr w:rsidR="0095672C" w:rsidRPr="009B1AB6" w14:paraId="3FE6000E" w14:textId="77777777" w:rsidTr="0044578D">
        <w:trPr>
          <w:trHeight w:val="416"/>
        </w:trPr>
        <w:tc>
          <w:tcPr>
            <w:tcW w:w="1223" w:type="dxa"/>
            <w:hideMark/>
          </w:tcPr>
          <w:p w14:paraId="2971A624" w14:textId="7B51B975"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C00</w:t>
            </w:r>
            <w:r w:rsidR="00802F31" w:rsidRPr="009B1AB6">
              <w:rPr>
                <w:rFonts w:ascii="Times New Roman" w:hAnsi="Times New Roman"/>
                <w:sz w:val="20"/>
              </w:rPr>
              <w:t>6</w:t>
            </w:r>
            <w:r w:rsidRPr="009B1AB6">
              <w:rPr>
                <w:rFonts w:ascii="Times New Roman" w:hAnsi="Times New Roman"/>
                <w:sz w:val="20"/>
              </w:rPr>
              <w:t>0</w:t>
            </w:r>
          </w:p>
        </w:tc>
        <w:tc>
          <w:tcPr>
            <w:tcW w:w="2403" w:type="dxa"/>
            <w:hideMark/>
          </w:tcPr>
          <w:p w14:paraId="07FF83A1"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Instrument sous-jacent au dérivé</w:t>
            </w:r>
          </w:p>
        </w:tc>
        <w:tc>
          <w:tcPr>
            <w:tcW w:w="5696" w:type="dxa"/>
            <w:hideMark/>
          </w:tcPr>
          <w:p w14:paraId="70697514" w14:textId="3ABE67B8"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Code d’identification de l’instrument (actif ou passif) sous-jacent au contrat dérivé. Cet élément n’est à déclarer que pour les dérivés ayant un ou plusieurs instruments sous-jacents dans le portefeuille </w:t>
            </w:r>
            <w:r w:rsidR="006D71BF" w:rsidRPr="009B1AB6">
              <w:rPr>
                <w:rFonts w:ascii="Times New Roman" w:hAnsi="Times New Roman"/>
                <w:sz w:val="20"/>
              </w:rPr>
              <w:t>de l’O</w:t>
            </w:r>
            <w:r w:rsidR="00E358E2" w:rsidRPr="009B1AB6">
              <w:rPr>
                <w:rFonts w:ascii="Times New Roman" w:hAnsi="Times New Roman"/>
                <w:sz w:val="20"/>
              </w:rPr>
              <w:t>RPS</w:t>
            </w:r>
            <w:r w:rsidRPr="009B1AB6">
              <w:rPr>
                <w:rFonts w:ascii="Times New Roman" w:hAnsi="Times New Roman"/>
                <w:sz w:val="20"/>
              </w:rPr>
              <w:t xml:space="preserve">. Un indice est considéré comme un instrument unique et doit être déclaré. </w:t>
            </w:r>
          </w:p>
          <w:p w14:paraId="18BD65F2" w14:textId="27667596" w:rsidR="0095672C" w:rsidRPr="009B1AB6" w:rsidRDefault="0095672C" w:rsidP="00950116">
            <w:pPr>
              <w:spacing w:after="120"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de l’instrument sous-jacent au dérivé, par ordre de priorité suivant:  </w:t>
            </w:r>
            <w:r w:rsidR="00FE79E2" w:rsidRPr="009B1AB6">
              <w:rPr>
                <w:rFonts w:ascii="Times New Roman" w:hAnsi="Times New Roman" w:cs="Times New Roman"/>
                <w:sz w:val="20"/>
                <w:szCs w:val="20"/>
              </w:rPr>
              <w:br/>
            </w:r>
            <w:r w:rsidRPr="009B1AB6">
              <w:rPr>
                <w:rFonts w:ascii="Times New Roman" w:hAnsi="Times New Roman"/>
                <w:sz w:val="20"/>
              </w:rPr>
              <w:t xml:space="preserve">  – code ISIN de l’ISO 6166 si disponible</w:t>
            </w:r>
            <w:r w:rsidR="00FE79E2" w:rsidRPr="009B1AB6">
              <w:rPr>
                <w:rFonts w:ascii="Times New Roman" w:hAnsi="Times New Roman" w:cs="Times New Roman"/>
                <w:sz w:val="20"/>
                <w:szCs w:val="20"/>
              </w:rPr>
              <w:br/>
            </w:r>
            <w:r w:rsidRPr="009B1AB6">
              <w:rPr>
                <w:rFonts w:ascii="Times New Roman" w:hAnsi="Times New Roman"/>
                <w:sz w:val="20"/>
              </w:rPr>
              <w:t xml:space="preserve">  – autres codes reconnus (tels que CUSIP, Bloomberg Ticker, Reuters RIC)</w:t>
            </w:r>
            <w:r w:rsidR="00FE79E2" w:rsidRPr="009B1AB6">
              <w:rPr>
                <w:rFonts w:ascii="Times New Roman" w:hAnsi="Times New Roman" w:cs="Times New Roman"/>
                <w:sz w:val="20"/>
                <w:szCs w:val="20"/>
              </w:rPr>
              <w:br/>
            </w:r>
            <w:r w:rsidRPr="009B1AB6">
              <w:rPr>
                <w:rFonts w:ascii="Times New Roman" w:hAnsi="Times New Roman"/>
                <w:sz w:val="20"/>
              </w:rPr>
              <w:t xml:space="preserve">  – code attribué par </w:t>
            </w:r>
            <w:r w:rsidR="006D71BF" w:rsidRPr="009B1AB6">
              <w:rPr>
                <w:rFonts w:ascii="Times New Roman" w:hAnsi="Times New Roman"/>
                <w:sz w:val="20"/>
              </w:rPr>
              <w:t>l’O</w:t>
            </w:r>
            <w:r w:rsidR="00573E2C" w:rsidRPr="009B1AB6">
              <w:rPr>
                <w:rFonts w:ascii="Times New Roman" w:hAnsi="Times New Roman"/>
                <w:sz w:val="20"/>
              </w:rPr>
              <w:t>RPS</w:t>
            </w:r>
            <w:r w:rsidRPr="009B1AB6">
              <w:rPr>
                <w:rFonts w:ascii="Times New Roman" w:hAnsi="Times New Roman"/>
                <w:sz w:val="20"/>
              </w:rPr>
              <w:t>, lorsque les options ci-dessus ne sont pas disponibles, qui doit rester constant dans le temps</w:t>
            </w:r>
          </w:p>
          <w:p w14:paraId="34FCBB1F" w14:textId="5D8FDC4B" w:rsidR="0095672C" w:rsidRPr="009B1AB6" w:rsidRDefault="0072092D" w:rsidP="00950116">
            <w:pPr>
              <w:spacing w:after="120" w:line="276" w:lineRule="auto"/>
              <w:rPr>
                <w:rFonts w:ascii="Times New Roman" w:hAnsi="Times New Roman" w:cs="Times New Roman"/>
                <w:sz w:val="20"/>
                <w:szCs w:val="20"/>
              </w:rPr>
            </w:pPr>
            <w:r w:rsidRPr="009B1AB6">
              <w:rPr>
                <w:rFonts w:ascii="Times New Roman" w:hAnsi="Times New Roman"/>
                <w:sz w:val="20"/>
              </w:rPr>
              <w:t>–</w:t>
            </w:r>
            <w:r w:rsidR="00421BF6" w:rsidRPr="009B1AB6">
              <w:rPr>
                <w:rFonts w:ascii="Times New Roman" w:hAnsi="Times New Roman"/>
                <w:sz w:val="20"/>
              </w:rPr>
              <w:t xml:space="preserve"> « actifs</w:t>
            </w:r>
            <w:r w:rsidRPr="009B1AB6">
              <w:rPr>
                <w:rFonts w:ascii="Times New Roman" w:hAnsi="Times New Roman"/>
                <w:sz w:val="20"/>
              </w:rPr>
              <w:t xml:space="preserve">/passifs </w:t>
            </w:r>
            <w:r w:rsidR="00421BF6" w:rsidRPr="009B1AB6">
              <w:rPr>
                <w:rFonts w:ascii="Times New Roman" w:hAnsi="Times New Roman"/>
                <w:sz w:val="20"/>
              </w:rPr>
              <w:t>multiples »</w:t>
            </w:r>
            <w:r w:rsidRPr="009B1AB6">
              <w:rPr>
                <w:rFonts w:ascii="Times New Roman" w:hAnsi="Times New Roman"/>
                <w:sz w:val="20"/>
              </w:rPr>
              <w:t>, s’il y a plusieurs actifs ou passifs sous-jacents</w:t>
            </w:r>
          </w:p>
          <w:p w14:paraId="5EA375AB"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Lorsque le sous-jacent est un indice, déclarer le code de l’indice.</w:t>
            </w:r>
          </w:p>
        </w:tc>
      </w:tr>
      <w:tr w:rsidR="0095672C" w:rsidRPr="009B1AB6" w14:paraId="4BFFE281" w14:textId="77777777" w:rsidTr="0044578D">
        <w:trPr>
          <w:trHeight w:val="5457"/>
        </w:trPr>
        <w:tc>
          <w:tcPr>
            <w:tcW w:w="1223" w:type="dxa"/>
          </w:tcPr>
          <w:p w14:paraId="759CF83E" w14:textId="1D297032"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C00</w:t>
            </w:r>
            <w:r w:rsidR="00802F31" w:rsidRPr="009B1AB6">
              <w:rPr>
                <w:rFonts w:ascii="Times New Roman" w:hAnsi="Times New Roman"/>
                <w:sz w:val="20"/>
              </w:rPr>
              <w:t>7</w:t>
            </w:r>
            <w:r w:rsidRPr="009B1AB6">
              <w:rPr>
                <w:rFonts w:ascii="Times New Roman" w:hAnsi="Times New Roman"/>
                <w:sz w:val="20"/>
              </w:rPr>
              <w:t>0</w:t>
            </w:r>
          </w:p>
        </w:tc>
        <w:tc>
          <w:tcPr>
            <w:tcW w:w="2403" w:type="dxa"/>
          </w:tcPr>
          <w:p w14:paraId="21EC5697"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Type de code d’identification de l’actif ou du passif sous-jacent au dérivé</w:t>
            </w:r>
          </w:p>
        </w:tc>
        <w:tc>
          <w:tcPr>
            <w:tcW w:w="5696" w:type="dxa"/>
          </w:tcPr>
          <w:p w14:paraId="612D7325" w14:textId="779CC383"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Indiquer le type de code d’identification utilisé pour l’élément</w:t>
            </w:r>
            <w:r w:rsidR="00421BF6" w:rsidRPr="009B1AB6">
              <w:rPr>
                <w:rFonts w:ascii="Times New Roman" w:hAnsi="Times New Roman" w:cs="Times New Roman"/>
                <w:sz w:val="20"/>
                <w:szCs w:val="20"/>
              </w:rPr>
              <w:t xml:space="preserve"> « Instrument</w:t>
            </w:r>
            <w:r w:rsidRPr="009B1AB6">
              <w:rPr>
                <w:rFonts w:ascii="Times New Roman" w:hAnsi="Times New Roman" w:cs="Times New Roman"/>
                <w:sz w:val="20"/>
                <w:szCs w:val="20"/>
              </w:rPr>
              <w:t xml:space="preserve"> sous-jacent au </w:t>
            </w:r>
            <w:r w:rsidR="00421BF6" w:rsidRPr="009B1AB6">
              <w:rPr>
                <w:rFonts w:ascii="Times New Roman" w:hAnsi="Times New Roman" w:cs="Times New Roman"/>
                <w:sz w:val="20"/>
                <w:szCs w:val="20"/>
              </w:rPr>
              <w:t>dérivé »</w:t>
            </w:r>
            <w:r w:rsidRPr="009B1AB6">
              <w:rPr>
                <w:rFonts w:ascii="Times New Roman" w:hAnsi="Times New Roman" w:cs="Times New Roman"/>
                <w:sz w:val="20"/>
                <w:szCs w:val="20"/>
              </w:rPr>
              <w:t>. Choisir impérativement l’une des options suivantes:</w:t>
            </w:r>
            <w:r w:rsidRPr="009B1AB6">
              <w:rPr>
                <w:rFonts w:ascii="Times New Roman" w:hAnsi="Times New Roman" w:cs="Times New Roman"/>
                <w:sz w:val="20"/>
                <w:szCs w:val="20"/>
              </w:rPr>
              <w:br/>
              <w:t>– code ISIN de l’ISO 6166</w:t>
            </w:r>
          </w:p>
          <w:p w14:paraId="27A72D7B"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2 – code CUSIP (Committee on Uniform Securities Identification Procedures): numéro attribué par le CUSIP Service Bureau pour les entreprises américaines et canadiennes</w:t>
            </w:r>
          </w:p>
          <w:p w14:paraId="538895C2"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3 – SEDOL (Stock Exchange Daily Official List pour la bourse de Londres)</w:t>
            </w:r>
          </w:p>
          <w:p w14:paraId="39E617A8"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4 – WKN (Wertpapier Kenn-Nummer, le numéro d’identification alphanumérique allemand)</w:t>
            </w:r>
          </w:p>
          <w:p w14:paraId="4B265C40"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5 – Bloomberg Ticker (code à lettres Bloomberg d’identification des titres d’une société)</w:t>
            </w:r>
          </w:p>
          <w:p w14:paraId="19ADE363"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6 – BBGID (Bloomberg Global ID)</w:t>
            </w:r>
          </w:p>
          <w:p w14:paraId="3EF9022A"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7 – Reuters RIC (Reuters Instrument Code)</w:t>
            </w:r>
          </w:p>
          <w:p w14:paraId="71D4DDBF"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8 – FIGI (Financial Instrument Global Identifier)</w:t>
            </w:r>
          </w:p>
          <w:p w14:paraId="0E4BD616"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9 – Autre code attribué par un membre de l’Association des agences nationales de codification</w:t>
            </w:r>
          </w:p>
          <w:p w14:paraId="0E60BA79"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99 – Code attribué par l’ORPS</w:t>
            </w:r>
          </w:p>
          <w:p w14:paraId="2FDE7B71" w14:textId="77777777" w:rsidR="007E19B7" w:rsidRPr="009B1AB6" w:rsidRDefault="007E19B7" w:rsidP="007E19B7">
            <w:pPr>
              <w:rPr>
                <w:rFonts w:ascii="Times New Roman" w:hAnsi="Times New Roman" w:cs="Times New Roman"/>
                <w:sz w:val="20"/>
                <w:szCs w:val="20"/>
              </w:rPr>
            </w:pPr>
            <w:r w:rsidRPr="009B1AB6">
              <w:rPr>
                <w:rFonts w:ascii="Times New Roman" w:hAnsi="Times New Roman" w:cs="Times New Roman"/>
                <w:sz w:val="20"/>
                <w:szCs w:val="20"/>
              </w:rPr>
              <w:t>100 – dérivés ayant pour sous-jacent plus d’un actif ou d’un passif</w:t>
            </w:r>
          </w:p>
          <w:p w14:paraId="5A8BE09A" w14:textId="77777777" w:rsidR="0095672C" w:rsidRPr="009B1AB6" w:rsidRDefault="0095672C" w:rsidP="00950116">
            <w:pPr>
              <w:spacing w:line="276" w:lineRule="auto"/>
              <w:rPr>
                <w:rFonts w:ascii="Times New Roman" w:hAnsi="Times New Roman" w:cs="Times New Roman"/>
                <w:sz w:val="20"/>
                <w:szCs w:val="20"/>
              </w:rPr>
            </w:pPr>
          </w:p>
          <w:p w14:paraId="4334647D"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 xml:space="preserve">Ne rien déclarer pour les dérivés ayant pour sous-jacent plus d’un actif ou d’un passif. </w:t>
            </w:r>
          </w:p>
        </w:tc>
      </w:tr>
      <w:tr w:rsidR="0095672C" w:rsidRPr="009B1AB6" w14:paraId="626A3C1E" w14:textId="77777777" w:rsidTr="00950116">
        <w:trPr>
          <w:trHeight w:val="416"/>
        </w:trPr>
        <w:tc>
          <w:tcPr>
            <w:tcW w:w="1223" w:type="dxa"/>
            <w:hideMark/>
          </w:tcPr>
          <w:p w14:paraId="32A15990" w14:textId="17342E92"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w:t>
            </w:r>
            <w:r w:rsidR="00802F31" w:rsidRPr="009B1AB6">
              <w:rPr>
                <w:rFonts w:ascii="Times New Roman" w:hAnsi="Times New Roman"/>
                <w:sz w:val="20"/>
              </w:rPr>
              <w:t>080</w:t>
            </w:r>
          </w:p>
        </w:tc>
        <w:tc>
          <w:tcPr>
            <w:tcW w:w="2403" w:type="dxa"/>
            <w:hideMark/>
          </w:tcPr>
          <w:p w14:paraId="72F5B5F6"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Utilisation du dérivé</w:t>
            </w:r>
          </w:p>
        </w:tc>
        <w:tc>
          <w:tcPr>
            <w:tcW w:w="5696" w:type="dxa"/>
            <w:hideMark/>
          </w:tcPr>
          <w:p w14:paraId="5752979A"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Décrire ce pour quoi le dérivé est utilisé (micro- ou macro-couverture, gestion efficace de portefeuille). </w:t>
            </w:r>
          </w:p>
          <w:p w14:paraId="168EC4E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On parle de micro-couverture dans le cas de dérivés couvrant un instrument financier unique (actif ou passif), une transaction prévue ou un autre engagement. </w:t>
            </w:r>
          </w:p>
          <w:p w14:paraId="7E241F6A"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lastRenderedPageBreak/>
              <w:t xml:space="preserve">On parle de macro-couverture dans le cas de dérivés couvrant un ensemble d’instruments financiers (actifs ou passifs), de transactions prévues ou d’autres engagements. </w:t>
            </w:r>
          </w:p>
          <w:p w14:paraId="4AD61560" w14:textId="7129B55A"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On entend généralement par</w:t>
            </w:r>
            <w:r w:rsidR="00BC0FCC" w:rsidRPr="009B1AB6">
              <w:rPr>
                <w:rFonts w:ascii="Times New Roman" w:hAnsi="Times New Roman"/>
                <w:sz w:val="20"/>
              </w:rPr>
              <w:t xml:space="preserve"> « gestion</w:t>
            </w:r>
            <w:r w:rsidRPr="009B1AB6">
              <w:rPr>
                <w:rFonts w:ascii="Times New Roman" w:hAnsi="Times New Roman"/>
                <w:sz w:val="20"/>
              </w:rPr>
              <w:t xml:space="preserve"> efficace de </w:t>
            </w:r>
            <w:r w:rsidR="00BC0FCC" w:rsidRPr="009B1AB6">
              <w:rPr>
                <w:rFonts w:ascii="Times New Roman" w:hAnsi="Times New Roman"/>
                <w:sz w:val="20"/>
              </w:rPr>
              <w:t>portefeuille »</w:t>
            </w:r>
            <w:r w:rsidRPr="009B1AB6">
              <w:rPr>
                <w:rFonts w:ascii="Times New Roman" w:hAnsi="Times New Roman"/>
                <w:sz w:val="20"/>
              </w:rPr>
              <w:t xml:space="preserve"> des opérations par lesquelles le gestionnaire s’efforce d’améliorer les revenus générés par un portefeuille en échangeant un schéma de (faibles) flux de trésorerie par un autre à plus haute valeur, en utilisant à cet effet un dérivé ou un ensemble de dérivés, ce qui lui permet de ne pas modifier la composition du portefeuille d’actifs, d’investir un montant moins important et de supporter moins de coûts de transaction. </w:t>
            </w:r>
          </w:p>
          <w:p w14:paraId="11FEE50F" w14:textId="77777777" w:rsidR="0095672C" w:rsidRPr="009B1AB6" w:rsidRDefault="0095672C" w:rsidP="00950116">
            <w:pPr>
              <w:spacing w:line="276" w:lineRule="auto"/>
              <w:rPr>
                <w:rFonts w:ascii="Times New Roman" w:hAnsi="Times New Roman" w:cs="Times New Roman"/>
                <w:sz w:val="20"/>
                <w:szCs w:val="20"/>
              </w:rPr>
            </w:pPr>
          </w:p>
          <w:p w14:paraId="0E058D01" w14:textId="77777777" w:rsidR="0095672C" w:rsidRPr="009B1AB6" w:rsidRDefault="0095672C" w:rsidP="0044578D">
            <w:pPr>
              <w:spacing w:line="276" w:lineRule="auto"/>
              <w:rPr>
                <w:rFonts w:ascii="Times New Roman" w:hAnsi="Times New Roman"/>
                <w:sz w:val="20"/>
              </w:rPr>
            </w:pPr>
            <w:r w:rsidRPr="009B1AB6">
              <w:rPr>
                <w:rFonts w:ascii="Times New Roman" w:hAnsi="Times New Roman"/>
                <w:sz w:val="20"/>
              </w:rPr>
              <w:t>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1 – Micro-couverture</w:t>
            </w:r>
            <w:r w:rsidR="00FE79E2" w:rsidRPr="009B1AB6">
              <w:rPr>
                <w:rFonts w:ascii="Times New Roman" w:hAnsi="Times New Roman" w:cs="Times New Roman"/>
                <w:sz w:val="20"/>
                <w:szCs w:val="20"/>
              </w:rPr>
              <w:br/>
            </w:r>
            <w:r w:rsidRPr="009B1AB6">
              <w:rPr>
                <w:rFonts w:ascii="Times New Roman" w:hAnsi="Times New Roman"/>
                <w:sz w:val="20"/>
              </w:rPr>
              <w:t>2 – Macro-couverture</w:t>
            </w:r>
          </w:p>
          <w:p w14:paraId="561E45D7" w14:textId="6040CF29" w:rsidR="00D85511" w:rsidRPr="009B1AB6" w:rsidRDefault="00D85511" w:rsidP="0044578D">
            <w:pPr>
              <w:spacing w:line="276" w:lineRule="auto"/>
              <w:rPr>
                <w:rFonts w:ascii="Times New Roman" w:hAnsi="Times New Roman" w:cs="Times New Roman"/>
                <w:sz w:val="20"/>
                <w:szCs w:val="20"/>
              </w:rPr>
            </w:pPr>
            <w:r w:rsidRPr="009B1AB6">
              <w:rPr>
                <w:rFonts w:ascii="Times New Roman" w:hAnsi="Times New Roman"/>
                <w:sz w:val="20"/>
              </w:rPr>
              <w:t xml:space="preserve">3 – Gestion efficace de portefeuille </w:t>
            </w:r>
          </w:p>
        </w:tc>
      </w:tr>
      <w:tr w:rsidR="0095672C" w:rsidRPr="009B1AB6" w14:paraId="0F8B45C7" w14:textId="77777777" w:rsidTr="0044578D">
        <w:trPr>
          <w:trHeight w:val="70"/>
        </w:trPr>
        <w:tc>
          <w:tcPr>
            <w:tcW w:w="1223" w:type="dxa"/>
            <w:hideMark/>
          </w:tcPr>
          <w:p w14:paraId="20914422" w14:textId="4E1E2F7D"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lastRenderedPageBreak/>
              <w:t>C0</w:t>
            </w:r>
            <w:r w:rsidR="00802F31" w:rsidRPr="009B1AB6">
              <w:rPr>
                <w:rFonts w:ascii="Times New Roman" w:hAnsi="Times New Roman"/>
                <w:sz w:val="20"/>
              </w:rPr>
              <w:t>090</w:t>
            </w:r>
          </w:p>
        </w:tc>
        <w:tc>
          <w:tcPr>
            <w:tcW w:w="2403" w:type="dxa"/>
            <w:hideMark/>
          </w:tcPr>
          <w:p w14:paraId="7FEFA22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Delta</w:t>
            </w:r>
          </w:p>
        </w:tc>
        <w:tc>
          <w:tcPr>
            <w:tcW w:w="5696" w:type="dxa"/>
            <w:hideMark/>
          </w:tcPr>
          <w:p w14:paraId="272C3E75" w14:textId="4CB4987E"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Applicable uniquement aux options d’achat et de vente, avec référence à la date de déclaration.</w:t>
            </w:r>
          </w:p>
          <w:p w14:paraId="6764E040"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 xml:space="preserve">Mesure le taux de variation de la valeur de l’option par rapport à la variation du prix de l’actif sous-jacent. </w:t>
            </w:r>
          </w:p>
          <w:p w14:paraId="23FBD79C"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 xml:space="preserve">À déclarer en valeur décimale. </w:t>
            </w:r>
          </w:p>
        </w:tc>
      </w:tr>
      <w:tr w:rsidR="0095672C" w:rsidRPr="009B1AB6" w14:paraId="433E81CE" w14:textId="77777777" w:rsidTr="00950116">
        <w:trPr>
          <w:trHeight w:val="1875"/>
        </w:trPr>
        <w:tc>
          <w:tcPr>
            <w:tcW w:w="1223" w:type="dxa"/>
            <w:hideMark/>
          </w:tcPr>
          <w:p w14:paraId="6D00AF6B" w14:textId="64D6B604"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C01</w:t>
            </w:r>
            <w:r w:rsidR="00802F31" w:rsidRPr="009B1AB6">
              <w:rPr>
                <w:rFonts w:ascii="Times New Roman" w:hAnsi="Times New Roman"/>
                <w:sz w:val="20"/>
              </w:rPr>
              <w:t>00</w:t>
            </w:r>
          </w:p>
        </w:tc>
        <w:tc>
          <w:tcPr>
            <w:tcW w:w="2403" w:type="dxa"/>
            <w:hideMark/>
          </w:tcPr>
          <w:p w14:paraId="4E568AB1"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notionnel du dérivé</w:t>
            </w:r>
          </w:p>
        </w:tc>
        <w:tc>
          <w:tcPr>
            <w:tcW w:w="5696" w:type="dxa"/>
            <w:hideMark/>
          </w:tcPr>
          <w:p w14:paraId="691374A7"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Le montant couvert ou exposé au dérivé. </w:t>
            </w:r>
          </w:p>
          <w:p w14:paraId="2A6F0808"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Pour les contrats à terme standardisés </w:t>
            </w:r>
            <w:r w:rsidRPr="009B1AB6">
              <w:rPr>
                <w:rFonts w:ascii="Times New Roman" w:hAnsi="Times New Roman"/>
                <w:i/>
                <w:sz w:val="20"/>
              </w:rPr>
              <w:t xml:space="preserve">(futures) </w:t>
            </w:r>
            <w:r w:rsidRPr="009B1AB6">
              <w:rPr>
                <w:rFonts w:ascii="Times New Roman" w:hAnsi="Times New Roman"/>
                <w:sz w:val="20"/>
              </w:rPr>
              <w:t xml:space="preserve">et les options, correspond à la taille du contrat multiplié par la valeur de déclenchement et par le nombre de contrats déclarés sur cette ligne. Pour les contrats d’échange </w:t>
            </w:r>
            <w:r w:rsidRPr="009B1AB6">
              <w:rPr>
                <w:rFonts w:ascii="Times New Roman" w:hAnsi="Times New Roman"/>
                <w:i/>
                <w:sz w:val="20"/>
              </w:rPr>
              <w:t>(swaps)</w:t>
            </w:r>
            <w:r w:rsidRPr="009B1AB6">
              <w:rPr>
                <w:rFonts w:ascii="Times New Roman" w:hAnsi="Times New Roman"/>
                <w:sz w:val="20"/>
              </w:rPr>
              <w:t xml:space="preserve"> et les contrats à terme de gré à gré </w:t>
            </w:r>
            <w:r w:rsidRPr="009B1AB6">
              <w:rPr>
                <w:rFonts w:ascii="Times New Roman" w:hAnsi="Times New Roman"/>
                <w:i/>
                <w:sz w:val="20"/>
              </w:rPr>
              <w:t>(forwards)</w:t>
            </w:r>
            <w:r w:rsidRPr="009B1AB6">
              <w:rPr>
                <w:rFonts w:ascii="Times New Roman" w:hAnsi="Times New Roman"/>
                <w:sz w:val="20"/>
              </w:rPr>
              <w:t>, correspond au montant contractuel des contrats déclarés sur cette ligne. Lorsque la valeur de déclenchement correspond à une fourchette, utiliser la valeur moyenne de la fourchette.</w:t>
            </w:r>
          </w:p>
          <w:p w14:paraId="0093DAD3"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Le montant notionnel est le montant qui est couvert/investi (lorsqu’il ne s’agit pas de couvrir des risques). Si plusieurs échanges ont lieu, doit correspondre au montant net à la date de déclaration.</w:t>
            </w:r>
          </w:p>
        </w:tc>
      </w:tr>
      <w:tr w:rsidR="0095672C" w:rsidRPr="009B1AB6" w14:paraId="26E4AF75" w14:textId="77777777" w:rsidTr="00950116">
        <w:trPr>
          <w:trHeight w:val="629"/>
        </w:trPr>
        <w:tc>
          <w:tcPr>
            <w:tcW w:w="1223" w:type="dxa"/>
            <w:hideMark/>
          </w:tcPr>
          <w:p w14:paraId="50069BAB" w14:textId="4ACF424B"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w:t>
            </w:r>
            <w:r w:rsidR="00802F31" w:rsidRPr="009B1AB6">
              <w:rPr>
                <w:rFonts w:ascii="Times New Roman" w:hAnsi="Times New Roman"/>
                <w:sz w:val="20"/>
              </w:rPr>
              <w:t>110</w:t>
            </w:r>
          </w:p>
        </w:tc>
        <w:tc>
          <w:tcPr>
            <w:tcW w:w="2403" w:type="dxa"/>
            <w:hideMark/>
          </w:tcPr>
          <w:p w14:paraId="288EE0A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Positions acheteur/vendeur</w:t>
            </w:r>
          </w:p>
        </w:tc>
        <w:tc>
          <w:tcPr>
            <w:tcW w:w="5696" w:type="dxa"/>
            <w:hideMark/>
          </w:tcPr>
          <w:p w14:paraId="0C4CAE2D" w14:textId="229012C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concerne que les contrats à terme standardisés, les options, les dérivés de crédit et les contrats d’échange (</w:t>
            </w:r>
            <w:r w:rsidRPr="009B1AB6">
              <w:rPr>
                <w:rFonts w:ascii="Times New Roman" w:hAnsi="Times New Roman"/>
                <w:i/>
                <w:sz w:val="20"/>
              </w:rPr>
              <w:t>swaps</w:t>
            </w:r>
            <w:r w:rsidRPr="009B1AB6">
              <w:rPr>
                <w:rFonts w:ascii="Times New Roman" w:hAnsi="Times New Roman"/>
                <w:sz w:val="20"/>
              </w:rPr>
              <w:t xml:space="preserve">). </w:t>
            </w:r>
          </w:p>
          <w:p w14:paraId="74C2A978"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Indiquer si le contrat dérivé a été acheté ou vendu. </w:t>
            </w:r>
          </w:p>
          <w:p w14:paraId="6AEC587A"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Pour les contrats d’échange, la position acheteur ou vendeur est définie par rapport au titre ou au montant notionnel et aux flux d’échange. </w:t>
            </w:r>
          </w:p>
          <w:p w14:paraId="080B322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Le vendeur d’un swap possède le titre ou le montant notionnel au début du contrat et s’engage à livrer ce titre ou ce montant notionnel, y compris, s’il y a lieu, toute autre sortie de trésorerie liée au contrat, pendant la durée de validité de celui-ci.</w:t>
            </w:r>
          </w:p>
          <w:p w14:paraId="308F3F42"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L’acheteur d’un swap possèdera le titre ou le montant notionnel à l’échéance du contrat, mais recevra ce titre ou ce montant notionnel, </w:t>
            </w:r>
            <w:r w:rsidRPr="009B1AB6">
              <w:rPr>
                <w:rFonts w:ascii="Times New Roman" w:hAnsi="Times New Roman"/>
                <w:sz w:val="20"/>
              </w:rPr>
              <w:lastRenderedPageBreak/>
              <w:t>y compris, s’il y a lieu, toute autre entrée de trésorerie liée au contrat, pendant la durée de validité de celui-ci.</w:t>
            </w:r>
          </w:p>
          <w:p w14:paraId="027A98F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Choisir impérativement l’une des options suivantes, excepté pour les swaps de taux d’intérêt:</w:t>
            </w:r>
            <w:r w:rsidR="00FE79E2" w:rsidRPr="009B1AB6">
              <w:rPr>
                <w:rFonts w:ascii="Times New Roman" w:hAnsi="Times New Roman" w:cs="Times New Roman"/>
                <w:sz w:val="20"/>
                <w:szCs w:val="20"/>
              </w:rPr>
              <w:br/>
            </w:r>
            <w:r w:rsidRPr="009B1AB6">
              <w:rPr>
                <w:rFonts w:ascii="Times New Roman" w:hAnsi="Times New Roman"/>
                <w:sz w:val="20"/>
              </w:rPr>
              <w:t xml:space="preserve">1 – Position acheteur </w:t>
            </w:r>
            <w:r w:rsidR="00FE79E2" w:rsidRPr="009B1AB6">
              <w:rPr>
                <w:rFonts w:ascii="Times New Roman" w:hAnsi="Times New Roman" w:cs="Times New Roman"/>
                <w:sz w:val="20"/>
                <w:szCs w:val="20"/>
              </w:rPr>
              <w:br/>
            </w:r>
            <w:r w:rsidRPr="009B1AB6">
              <w:rPr>
                <w:rFonts w:ascii="Times New Roman" w:hAnsi="Times New Roman"/>
                <w:sz w:val="20"/>
              </w:rPr>
              <w:t>2 – Position vendeur</w:t>
            </w:r>
          </w:p>
          <w:p w14:paraId="344A712E"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Pour les swaps de taux d’intérêt,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 xml:space="preserve">3 – FX–FL: Fixe contre variable </w:t>
            </w:r>
            <w:r w:rsidR="00FE79E2" w:rsidRPr="009B1AB6">
              <w:rPr>
                <w:rFonts w:ascii="Times New Roman" w:hAnsi="Times New Roman" w:cs="Times New Roman"/>
                <w:sz w:val="20"/>
                <w:szCs w:val="20"/>
              </w:rPr>
              <w:br/>
            </w:r>
            <w:r w:rsidRPr="009B1AB6">
              <w:rPr>
                <w:rFonts w:ascii="Times New Roman" w:hAnsi="Times New Roman"/>
                <w:sz w:val="20"/>
              </w:rPr>
              <w:t xml:space="preserve">4 – FX–FX: Fixe contre fixe </w:t>
            </w:r>
            <w:r w:rsidR="00FE79E2" w:rsidRPr="009B1AB6">
              <w:rPr>
                <w:rFonts w:ascii="Times New Roman" w:hAnsi="Times New Roman" w:cs="Times New Roman"/>
                <w:sz w:val="20"/>
                <w:szCs w:val="20"/>
              </w:rPr>
              <w:br/>
            </w:r>
            <w:r w:rsidRPr="009B1AB6">
              <w:rPr>
                <w:rFonts w:ascii="Times New Roman" w:hAnsi="Times New Roman"/>
                <w:sz w:val="20"/>
              </w:rPr>
              <w:t>5 – FL–FX: Variable contre fixe</w:t>
            </w:r>
            <w:r w:rsidR="00FE79E2" w:rsidRPr="009B1AB6">
              <w:rPr>
                <w:rFonts w:ascii="Times New Roman" w:hAnsi="Times New Roman" w:cs="Times New Roman"/>
                <w:sz w:val="20"/>
                <w:szCs w:val="20"/>
              </w:rPr>
              <w:br/>
            </w:r>
            <w:r w:rsidRPr="009B1AB6">
              <w:rPr>
                <w:rFonts w:ascii="Times New Roman" w:hAnsi="Times New Roman"/>
                <w:sz w:val="20"/>
              </w:rPr>
              <w:t>6 – FL–FL: Variable contre variable</w:t>
            </w:r>
          </w:p>
        </w:tc>
      </w:tr>
      <w:tr w:rsidR="0095672C" w:rsidRPr="009B1AB6" w14:paraId="1E0CEAB0" w14:textId="77777777" w:rsidTr="00950116">
        <w:trPr>
          <w:trHeight w:val="691"/>
        </w:trPr>
        <w:tc>
          <w:tcPr>
            <w:tcW w:w="1223" w:type="dxa"/>
            <w:hideMark/>
          </w:tcPr>
          <w:p w14:paraId="2E2BD965" w14:textId="47E7923D"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lastRenderedPageBreak/>
              <w:t>C01</w:t>
            </w:r>
            <w:r w:rsidR="00802F31" w:rsidRPr="009B1AB6">
              <w:rPr>
                <w:rFonts w:ascii="Times New Roman" w:hAnsi="Times New Roman"/>
                <w:sz w:val="20"/>
              </w:rPr>
              <w:t>2</w:t>
            </w:r>
            <w:r w:rsidRPr="009B1AB6">
              <w:rPr>
                <w:rFonts w:ascii="Times New Roman" w:hAnsi="Times New Roman"/>
                <w:sz w:val="20"/>
              </w:rPr>
              <w:t>0</w:t>
            </w:r>
          </w:p>
        </w:tc>
        <w:tc>
          <w:tcPr>
            <w:tcW w:w="2403" w:type="dxa"/>
            <w:hideMark/>
          </w:tcPr>
          <w:p w14:paraId="633FD2E1"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Prime versée à ce jour</w:t>
            </w:r>
          </w:p>
        </w:tc>
        <w:tc>
          <w:tcPr>
            <w:tcW w:w="5696" w:type="dxa"/>
            <w:hideMark/>
          </w:tcPr>
          <w:p w14:paraId="2289DDC1"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 xml:space="preserve">Le paiement effectué pour des options et les montants de prime initiale et périodique payés pour des contrats d’échange depuis le début (en cas d’achat). </w:t>
            </w:r>
          </w:p>
        </w:tc>
      </w:tr>
      <w:tr w:rsidR="0095672C" w:rsidRPr="009B1AB6" w14:paraId="1A6D612E" w14:textId="77777777" w:rsidTr="00950116">
        <w:trPr>
          <w:trHeight w:val="701"/>
        </w:trPr>
        <w:tc>
          <w:tcPr>
            <w:tcW w:w="1223" w:type="dxa"/>
          </w:tcPr>
          <w:p w14:paraId="709436E7" w14:textId="4CCDF4D7"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C01</w:t>
            </w:r>
            <w:r w:rsidR="00802F31" w:rsidRPr="009B1AB6">
              <w:rPr>
                <w:rFonts w:ascii="Times New Roman" w:hAnsi="Times New Roman"/>
                <w:sz w:val="20"/>
              </w:rPr>
              <w:t>3</w:t>
            </w:r>
            <w:r w:rsidRPr="009B1AB6">
              <w:rPr>
                <w:rFonts w:ascii="Times New Roman" w:hAnsi="Times New Roman"/>
                <w:sz w:val="20"/>
              </w:rPr>
              <w:t>0</w:t>
            </w:r>
          </w:p>
        </w:tc>
        <w:tc>
          <w:tcPr>
            <w:tcW w:w="2403" w:type="dxa"/>
          </w:tcPr>
          <w:p w14:paraId="010B3B6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Prime reçue à ce jour</w:t>
            </w:r>
          </w:p>
        </w:tc>
        <w:tc>
          <w:tcPr>
            <w:tcW w:w="5696" w:type="dxa"/>
          </w:tcPr>
          <w:p w14:paraId="26F1844E"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Le paiement reçu pour des options et les montants de prime initiale et périodique reçus pour des contrats d’échange depuis le début (en cas de vente).</w:t>
            </w:r>
          </w:p>
        </w:tc>
      </w:tr>
      <w:tr w:rsidR="0095672C" w:rsidRPr="009B1AB6" w14:paraId="0ABA5FB3" w14:textId="77777777" w:rsidTr="00950116">
        <w:trPr>
          <w:trHeight w:val="1335"/>
        </w:trPr>
        <w:tc>
          <w:tcPr>
            <w:tcW w:w="1223" w:type="dxa"/>
            <w:hideMark/>
          </w:tcPr>
          <w:p w14:paraId="7135F391" w14:textId="67F011C7"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802F31" w:rsidRPr="009B1AB6">
              <w:rPr>
                <w:rFonts w:ascii="Times New Roman" w:hAnsi="Times New Roman"/>
                <w:sz w:val="20"/>
              </w:rPr>
              <w:t>014</w:t>
            </w:r>
            <w:r w:rsidRPr="009B1AB6">
              <w:rPr>
                <w:rFonts w:ascii="Times New Roman" w:hAnsi="Times New Roman"/>
                <w:sz w:val="20"/>
              </w:rPr>
              <w:t>0</w:t>
            </w:r>
          </w:p>
        </w:tc>
        <w:tc>
          <w:tcPr>
            <w:tcW w:w="2403" w:type="dxa"/>
            <w:hideMark/>
          </w:tcPr>
          <w:p w14:paraId="3DCDFFA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Nombre de contrats</w:t>
            </w:r>
          </w:p>
        </w:tc>
        <w:tc>
          <w:tcPr>
            <w:tcW w:w="5696" w:type="dxa"/>
            <w:hideMark/>
          </w:tcPr>
          <w:p w14:paraId="22D61A44"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Nombre de contrats dérivés similaires déclarés sur la même ligne. Doit correspondre au nombre de contrats conclus. Pour les contrats dérivés de gré à gré, déclarer, par exemple, «1» pour un contrat d’échange ou «10» pour dix contrats d’échange présentant les mêmes caractéristiques.</w:t>
            </w:r>
            <w:r w:rsidR="00FE79E2" w:rsidRPr="009B1AB6">
              <w:rPr>
                <w:rFonts w:ascii="Times New Roman" w:hAnsi="Times New Roman" w:cs="Times New Roman"/>
                <w:sz w:val="20"/>
                <w:szCs w:val="20"/>
              </w:rPr>
              <w:br/>
            </w:r>
            <w:r w:rsidRPr="009B1AB6">
              <w:rPr>
                <w:rFonts w:ascii="Times New Roman" w:hAnsi="Times New Roman"/>
                <w:sz w:val="20"/>
              </w:rPr>
              <w:t>Le nombre de contrats doit être celui des contrats en cours à la date de déclaration.</w:t>
            </w:r>
          </w:p>
        </w:tc>
      </w:tr>
      <w:tr w:rsidR="0095672C" w:rsidRPr="009B1AB6" w14:paraId="1B41E619" w14:textId="77777777" w:rsidTr="00950116">
        <w:trPr>
          <w:trHeight w:val="1245"/>
        </w:trPr>
        <w:tc>
          <w:tcPr>
            <w:tcW w:w="1223" w:type="dxa"/>
            <w:hideMark/>
          </w:tcPr>
          <w:p w14:paraId="2AF603F6" w14:textId="7D1FE161"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C01</w:t>
            </w:r>
            <w:r w:rsidR="00802F31" w:rsidRPr="009B1AB6">
              <w:rPr>
                <w:rFonts w:ascii="Times New Roman" w:hAnsi="Times New Roman"/>
                <w:sz w:val="20"/>
              </w:rPr>
              <w:t>5</w:t>
            </w:r>
            <w:r w:rsidRPr="009B1AB6">
              <w:rPr>
                <w:rFonts w:ascii="Times New Roman" w:hAnsi="Times New Roman"/>
                <w:sz w:val="20"/>
              </w:rPr>
              <w:t>0</w:t>
            </w:r>
          </w:p>
        </w:tc>
        <w:tc>
          <w:tcPr>
            <w:tcW w:w="2403" w:type="dxa"/>
            <w:hideMark/>
          </w:tcPr>
          <w:p w14:paraId="3B02B51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Taille du contrat</w:t>
            </w:r>
          </w:p>
        </w:tc>
        <w:tc>
          <w:tcPr>
            <w:tcW w:w="5696" w:type="dxa"/>
            <w:hideMark/>
          </w:tcPr>
          <w:p w14:paraId="71EAA43F"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Nombre d’actifs sous-jacents au contrat; par exemple, pour les contrats à terme standardisés sur actions </w:t>
            </w:r>
            <w:r w:rsidRPr="009B1AB6">
              <w:rPr>
                <w:rFonts w:ascii="Times New Roman" w:hAnsi="Times New Roman"/>
                <w:i/>
                <w:sz w:val="20"/>
              </w:rPr>
              <w:t>(equity futures)</w:t>
            </w:r>
            <w:r w:rsidRPr="009B1AB6">
              <w:rPr>
                <w:rFonts w:ascii="Times New Roman" w:hAnsi="Times New Roman"/>
                <w:sz w:val="20"/>
              </w:rPr>
              <w:t xml:space="preserve">, correspond au nombre d’actions à livrer par contrat dérivé à l’échéance et, pour les contrats à terme standardisés sur obligations </w:t>
            </w:r>
            <w:r w:rsidRPr="009B1AB6">
              <w:rPr>
                <w:rFonts w:ascii="Times New Roman" w:hAnsi="Times New Roman"/>
                <w:i/>
                <w:sz w:val="20"/>
              </w:rPr>
              <w:t>(bond futures)</w:t>
            </w:r>
            <w:r w:rsidRPr="009B1AB6">
              <w:rPr>
                <w:rFonts w:ascii="Times New Roman" w:hAnsi="Times New Roman"/>
                <w:sz w:val="20"/>
              </w:rPr>
              <w:t>, au montant de référence sous-jacent à chaque contrat</w:t>
            </w:r>
            <w:r w:rsidRPr="009B1AB6">
              <w:rPr>
                <w:rFonts w:ascii="Times New Roman" w:hAnsi="Times New Roman"/>
                <w:i/>
                <w:sz w:val="20"/>
              </w:rPr>
              <w:t>.</w:t>
            </w:r>
            <w:r w:rsidR="00FE79E2" w:rsidRPr="009B1AB6">
              <w:rPr>
                <w:rFonts w:ascii="Times New Roman" w:hAnsi="Times New Roman" w:cs="Times New Roman"/>
                <w:sz w:val="20"/>
                <w:szCs w:val="20"/>
              </w:rPr>
              <w:br/>
            </w:r>
            <w:r w:rsidRPr="009B1AB6">
              <w:rPr>
                <w:rFonts w:ascii="Times New Roman" w:hAnsi="Times New Roman"/>
                <w:sz w:val="20"/>
              </w:rPr>
              <w:t>La manière dont la taille du contrat est définie varie en fonction du type d’instrument. Pour les contrats à terme standardisés sur actions, il est commun de définir la taille du contrat en fonction du nombre d’actions sous-jacentes au contrat.</w:t>
            </w:r>
          </w:p>
          <w:p w14:paraId="51AC041D"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Pour les contrats à terme standardisés sur obligations, c’est le montant obligataire nominal qui est déterminant.</w:t>
            </w:r>
          </w:p>
          <w:p w14:paraId="4F26B6DC"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Ne concerne que les contrats à terme standardisés et les options.</w:t>
            </w:r>
          </w:p>
        </w:tc>
      </w:tr>
      <w:tr w:rsidR="0095672C" w:rsidRPr="009B1AB6" w14:paraId="037C69C1" w14:textId="77777777" w:rsidTr="00950116">
        <w:trPr>
          <w:trHeight w:val="702"/>
        </w:trPr>
        <w:tc>
          <w:tcPr>
            <w:tcW w:w="1223" w:type="dxa"/>
            <w:hideMark/>
          </w:tcPr>
          <w:p w14:paraId="4A250E32" w14:textId="6D57A8A4"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C01</w:t>
            </w:r>
            <w:r w:rsidR="00802F31" w:rsidRPr="009B1AB6">
              <w:rPr>
                <w:rFonts w:ascii="Times New Roman" w:hAnsi="Times New Roman"/>
                <w:sz w:val="20"/>
              </w:rPr>
              <w:t>6</w:t>
            </w:r>
            <w:r w:rsidRPr="009B1AB6">
              <w:rPr>
                <w:rFonts w:ascii="Times New Roman" w:hAnsi="Times New Roman"/>
                <w:sz w:val="20"/>
              </w:rPr>
              <w:t>0</w:t>
            </w:r>
          </w:p>
        </w:tc>
        <w:tc>
          <w:tcPr>
            <w:tcW w:w="2403" w:type="dxa"/>
            <w:hideMark/>
          </w:tcPr>
          <w:p w14:paraId="0A9E6816"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Perte maximale en cas d’événement de dénouement</w:t>
            </w:r>
          </w:p>
        </w:tc>
        <w:tc>
          <w:tcPr>
            <w:tcW w:w="5696" w:type="dxa"/>
            <w:hideMark/>
          </w:tcPr>
          <w:p w14:paraId="7A0BD84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Indiquer le montant maximal des pertes si un événement de dénouement devait survenir. Applicable à la catégorie CIC F</w:t>
            </w:r>
            <w:r w:rsidR="00573E2C" w:rsidRPr="009B1AB6">
              <w:rPr>
                <w:rFonts w:ascii="Times New Roman" w:hAnsi="Times New Roman"/>
                <w:sz w:val="20"/>
              </w:rPr>
              <w:t xml:space="preserve"> (dérivés de crédit)</w:t>
            </w:r>
            <w:r w:rsidRPr="009B1AB6">
              <w:rPr>
                <w:rFonts w:ascii="Times New Roman" w:hAnsi="Times New Roman"/>
                <w:sz w:val="20"/>
              </w:rPr>
              <w:t>.</w:t>
            </w:r>
          </w:p>
          <w:p w14:paraId="3373FB4C"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Lorsqu’un dérivé de crédit est garanti à 100 %, la perte maximale en cas d’événement de dénouement est égale à zéro.</w:t>
            </w:r>
          </w:p>
        </w:tc>
      </w:tr>
      <w:tr w:rsidR="0095672C" w:rsidRPr="009B1AB6" w14:paraId="31F966EA" w14:textId="77777777" w:rsidTr="00950116">
        <w:trPr>
          <w:trHeight w:val="960"/>
        </w:trPr>
        <w:tc>
          <w:tcPr>
            <w:tcW w:w="1223" w:type="dxa"/>
            <w:hideMark/>
          </w:tcPr>
          <w:p w14:paraId="56F1CE1B" w14:textId="4C40DB04"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w:t>
            </w:r>
            <w:r w:rsidR="00802F31" w:rsidRPr="009B1AB6">
              <w:rPr>
                <w:rFonts w:ascii="Times New Roman" w:hAnsi="Times New Roman"/>
                <w:sz w:val="20"/>
              </w:rPr>
              <w:t>017</w:t>
            </w:r>
            <w:r w:rsidRPr="009B1AB6">
              <w:rPr>
                <w:rFonts w:ascii="Times New Roman" w:hAnsi="Times New Roman"/>
                <w:sz w:val="20"/>
              </w:rPr>
              <w:t>0</w:t>
            </w:r>
          </w:p>
        </w:tc>
        <w:tc>
          <w:tcPr>
            <w:tcW w:w="2403" w:type="dxa"/>
            <w:hideMark/>
          </w:tcPr>
          <w:p w14:paraId="157CB61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Flux financiers sortants liés au contrat d’échange</w:t>
            </w:r>
          </w:p>
        </w:tc>
        <w:tc>
          <w:tcPr>
            <w:tcW w:w="5696" w:type="dxa"/>
            <w:hideMark/>
          </w:tcPr>
          <w:p w14:paraId="6C62EA8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livré en exécution du contrat d’échange (à l’exclusion des primes), au cours de la période de référence. Correspond aux intérêts payés pour les swaps de taux d’intérêt et aux montants livrés pour les swaps de devises, les swaps de crédit, les swaps sur rendement total et autres swaps.</w:t>
            </w:r>
          </w:p>
          <w:p w14:paraId="29CCD44D" w14:textId="19656821" w:rsidR="0095672C" w:rsidRPr="009B1AB6" w:rsidRDefault="0095672C" w:rsidP="00802F31">
            <w:pPr>
              <w:rPr>
                <w:rFonts w:ascii="Times New Roman" w:hAnsi="Times New Roman" w:cs="Times New Roman"/>
                <w:sz w:val="20"/>
                <w:szCs w:val="20"/>
              </w:rPr>
            </w:pPr>
            <w:r w:rsidRPr="009B1AB6">
              <w:rPr>
                <w:rFonts w:ascii="Times New Roman" w:hAnsi="Times New Roman"/>
                <w:sz w:val="20"/>
              </w:rPr>
              <w:lastRenderedPageBreak/>
              <w:t>Dans les cas où le règlement est effectué sur une base nette, ne déclarer que l’un des éléments C0</w:t>
            </w:r>
            <w:r w:rsidR="00802F31" w:rsidRPr="009B1AB6">
              <w:rPr>
                <w:rFonts w:ascii="Times New Roman" w:hAnsi="Times New Roman"/>
                <w:sz w:val="20"/>
              </w:rPr>
              <w:t>170</w:t>
            </w:r>
            <w:r w:rsidRPr="009B1AB6">
              <w:rPr>
                <w:rFonts w:ascii="Times New Roman" w:hAnsi="Times New Roman"/>
                <w:sz w:val="20"/>
              </w:rPr>
              <w:t xml:space="preserve"> et C0</w:t>
            </w:r>
            <w:r w:rsidR="00802F31" w:rsidRPr="009B1AB6">
              <w:rPr>
                <w:rFonts w:ascii="Times New Roman" w:hAnsi="Times New Roman"/>
                <w:sz w:val="20"/>
              </w:rPr>
              <w:t>180</w:t>
            </w:r>
            <w:r w:rsidRPr="009B1AB6">
              <w:rPr>
                <w:rFonts w:ascii="Times New Roman" w:hAnsi="Times New Roman"/>
                <w:sz w:val="20"/>
              </w:rPr>
              <w:t>.</w:t>
            </w:r>
          </w:p>
        </w:tc>
      </w:tr>
      <w:tr w:rsidR="0095672C" w:rsidRPr="009B1AB6" w14:paraId="4412ADB1" w14:textId="77777777" w:rsidTr="00950116">
        <w:trPr>
          <w:trHeight w:val="771"/>
        </w:trPr>
        <w:tc>
          <w:tcPr>
            <w:tcW w:w="1223" w:type="dxa"/>
            <w:hideMark/>
          </w:tcPr>
          <w:p w14:paraId="47EDE9C9" w14:textId="5421ABAA"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lastRenderedPageBreak/>
              <w:t>C</w:t>
            </w:r>
            <w:r w:rsidR="00802F31" w:rsidRPr="009B1AB6">
              <w:rPr>
                <w:rFonts w:ascii="Times New Roman" w:hAnsi="Times New Roman"/>
                <w:sz w:val="20"/>
              </w:rPr>
              <w:t>0</w:t>
            </w:r>
            <w:r w:rsidRPr="009B1AB6">
              <w:rPr>
                <w:rFonts w:ascii="Times New Roman" w:hAnsi="Times New Roman"/>
                <w:sz w:val="20"/>
              </w:rPr>
              <w:t>1</w:t>
            </w:r>
            <w:r w:rsidR="00802F31" w:rsidRPr="009B1AB6">
              <w:rPr>
                <w:rFonts w:ascii="Times New Roman" w:hAnsi="Times New Roman"/>
                <w:sz w:val="20"/>
              </w:rPr>
              <w:t>8</w:t>
            </w:r>
            <w:r w:rsidRPr="009B1AB6">
              <w:rPr>
                <w:rFonts w:ascii="Times New Roman" w:hAnsi="Times New Roman"/>
                <w:sz w:val="20"/>
              </w:rPr>
              <w:t>0</w:t>
            </w:r>
          </w:p>
        </w:tc>
        <w:tc>
          <w:tcPr>
            <w:tcW w:w="2403" w:type="dxa"/>
            <w:hideMark/>
          </w:tcPr>
          <w:p w14:paraId="0D2EA88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des entrées de trésorerie liées au contrat d’échange</w:t>
            </w:r>
          </w:p>
        </w:tc>
        <w:tc>
          <w:tcPr>
            <w:tcW w:w="5696" w:type="dxa"/>
            <w:hideMark/>
          </w:tcPr>
          <w:p w14:paraId="5203003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reçu en exécution du contrat d’échange (à l’exclusion des primes), au cours de la période de référence. Correspond aux intérêts reçus pour les swaps de taux d’intérêt et aux montants reçus pour les swaps de devises, les swaps de crédit, les swaps sur rendement total et autres swaps.</w:t>
            </w:r>
          </w:p>
          <w:p w14:paraId="582CA715" w14:textId="5F467198" w:rsidR="0095672C" w:rsidRPr="009B1AB6" w:rsidRDefault="0095672C" w:rsidP="00802F31">
            <w:pPr>
              <w:rPr>
                <w:rFonts w:ascii="Times New Roman" w:hAnsi="Times New Roman" w:cs="Times New Roman"/>
                <w:sz w:val="20"/>
                <w:szCs w:val="20"/>
              </w:rPr>
            </w:pPr>
            <w:r w:rsidRPr="009B1AB6">
              <w:rPr>
                <w:rFonts w:ascii="Times New Roman" w:hAnsi="Times New Roman"/>
                <w:sz w:val="20"/>
              </w:rPr>
              <w:t>Dans les cas où le règlement est effectué sur une base nette, ne déclarer que l’un des éléments C0</w:t>
            </w:r>
            <w:r w:rsidR="00802F31" w:rsidRPr="009B1AB6">
              <w:rPr>
                <w:rFonts w:ascii="Times New Roman" w:hAnsi="Times New Roman"/>
                <w:sz w:val="20"/>
              </w:rPr>
              <w:t>17</w:t>
            </w:r>
            <w:r w:rsidRPr="009B1AB6">
              <w:rPr>
                <w:rFonts w:ascii="Times New Roman" w:hAnsi="Times New Roman"/>
                <w:sz w:val="20"/>
              </w:rPr>
              <w:t>0 et C0</w:t>
            </w:r>
            <w:r w:rsidR="00802F31" w:rsidRPr="009B1AB6">
              <w:rPr>
                <w:rFonts w:ascii="Times New Roman" w:hAnsi="Times New Roman"/>
                <w:sz w:val="20"/>
              </w:rPr>
              <w:t>180</w:t>
            </w:r>
            <w:r w:rsidRPr="009B1AB6">
              <w:rPr>
                <w:rFonts w:ascii="Times New Roman" w:hAnsi="Times New Roman"/>
                <w:sz w:val="20"/>
              </w:rPr>
              <w:t>.</w:t>
            </w:r>
          </w:p>
        </w:tc>
      </w:tr>
      <w:tr w:rsidR="0095672C" w:rsidRPr="009B1AB6" w14:paraId="1691233A" w14:textId="77777777" w:rsidTr="0044578D">
        <w:trPr>
          <w:trHeight w:val="70"/>
        </w:trPr>
        <w:tc>
          <w:tcPr>
            <w:tcW w:w="1223" w:type="dxa"/>
            <w:hideMark/>
          </w:tcPr>
          <w:p w14:paraId="1B9E29B5" w14:textId="7873557C"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w:t>
            </w:r>
            <w:r w:rsidR="00802F31" w:rsidRPr="009B1AB6">
              <w:rPr>
                <w:rFonts w:ascii="Times New Roman" w:hAnsi="Times New Roman"/>
                <w:sz w:val="20"/>
              </w:rPr>
              <w:t>190</w:t>
            </w:r>
          </w:p>
        </w:tc>
        <w:tc>
          <w:tcPr>
            <w:tcW w:w="2403" w:type="dxa"/>
            <w:hideMark/>
          </w:tcPr>
          <w:p w14:paraId="1DB2C665"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Date initiale</w:t>
            </w:r>
          </w:p>
        </w:tc>
        <w:tc>
          <w:tcPr>
            <w:tcW w:w="5696" w:type="dxa"/>
            <w:hideMark/>
          </w:tcPr>
          <w:p w14:paraId="6E71C8A9"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Indiquer le code ISO 8601 (aaaa-mm-jj) de la date à laquelle les obligations prévues au contrat prennent effet. </w:t>
            </w:r>
            <w:r w:rsidR="00FE79E2" w:rsidRPr="009B1AB6">
              <w:rPr>
                <w:rFonts w:ascii="Times New Roman" w:hAnsi="Times New Roman" w:cs="Times New Roman"/>
                <w:sz w:val="20"/>
                <w:szCs w:val="20"/>
              </w:rPr>
              <w:br/>
            </w:r>
            <w:r w:rsidRPr="009B1AB6">
              <w:rPr>
                <w:rFonts w:ascii="Times New Roman" w:hAnsi="Times New Roman"/>
                <w:sz w:val="20"/>
              </w:rPr>
              <w:t>Lorsqu’il y a plusieurs dates pour un même dérivé, déclarer uniquement la date du premier échange et n’employer qu’une ligne par dérivé (non une ligne différente pour chaque échange) reflétant le montant global investi dans ce dérivé compte tenu des différentes dates d’échange.</w:t>
            </w:r>
          </w:p>
          <w:p w14:paraId="1E2BEF89"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En cas de novation, la date de novation devient la date d’échange pour ce dérivé.</w:t>
            </w:r>
          </w:p>
        </w:tc>
      </w:tr>
      <w:tr w:rsidR="0095672C" w:rsidRPr="009B1AB6" w14:paraId="78C7D872" w14:textId="77777777" w:rsidTr="0044578D">
        <w:trPr>
          <w:trHeight w:val="699"/>
        </w:trPr>
        <w:tc>
          <w:tcPr>
            <w:tcW w:w="1223" w:type="dxa"/>
            <w:hideMark/>
          </w:tcPr>
          <w:p w14:paraId="59013459" w14:textId="36EEB5D3"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w:t>
            </w:r>
            <w:r w:rsidR="00802F31" w:rsidRPr="009B1AB6">
              <w:rPr>
                <w:rFonts w:ascii="Times New Roman" w:hAnsi="Times New Roman"/>
                <w:sz w:val="20"/>
              </w:rPr>
              <w:t>200</w:t>
            </w:r>
          </w:p>
        </w:tc>
        <w:tc>
          <w:tcPr>
            <w:tcW w:w="2403" w:type="dxa"/>
            <w:hideMark/>
          </w:tcPr>
          <w:p w14:paraId="1E4210BA"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Duration</w:t>
            </w:r>
          </w:p>
        </w:tc>
        <w:tc>
          <w:tcPr>
            <w:tcW w:w="5696" w:type="dxa"/>
            <w:hideMark/>
          </w:tcPr>
          <w:p w14:paraId="6788739A" w14:textId="0C2D193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Duration du dérivé, définie comme la durée résiduelle modifiée pour les dérivés auxquels une mesure de la duration est applicable.</w:t>
            </w:r>
            <w:r w:rsidR="00FE79E2" w:rsidRPr="009B1AB6">
              <w:rPr>
                <w:rFonts w:ascii="Times New Roman" w:hAnsi="Times New Roman" w:cs="Times New Roman"/>
                <w:sz w:val="20"/>
                <w:szCs w:val="20"/>
              </w:rPr>
              <w:br/>
            </w:r>
            <w:r w:rsidRPr="009B1AB6">
              <w:rPr>
                <w:rFonts w:ascii="Times New Roman" w:hAnsi="Times New Roman"/>
                <w:sz w:val="20"/>
              </w:rPr>
              <w:t>Calculée comme la duration nette entre entrées et sorties de trésorerie</w:t>
            </w:r>
            <w:r w:rsidR="00270A08" w:rsidRPr="009B1AB6">
              <w:rPr>
                <w:rFonts w:ascii="Times New Roman" w:hAnsi="Times New Roman"/>
                <w:sz w:val="20"/>
              </w:rPr>
              <w:t xml:space="preserve">, </w:t>
            </w:r>
            <w:r w:rsidRPr="009B1AB6">
              <w:rPr>
                <w:rFonts w:ascii="Times New Roman" w:hAnsi="Times New Roman"/>
                <w:sz w:val="20"/>
              </w:rPr>
              <w:t>générées par le dérivé, lorsqu’il y a lieu.</w:t>
            </w:r>
          </w:p>
        </w:tc>
      </w:tr>
      <w:tr w:rsidR="0095672C" w:rsidRPr="009B1AB6" w14:paraId="07DC071C" w14:textId="77777777" w:rsidTr="00950116">
        <w:trPr>
          <w:trHeight w:val="1499"/>
        </w:trPr>
        <w:tc>
          <w:tcPr>
            <w:tcW w:w="1223" w:type="dxa"/>
            <w:hideMark/>
          </w:tcPr>
          <w:p w14:paraId="6562B6B3" w14:textId="1E9C8527"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 02</w:t>
            </w:r>
            <w:r w:rsidR="00802F31" w:rsidRPr="009B1AB6">
              <w:rPr>
                <w:rFonts w:ascii="Times New Roman" w:hAnsi="Times New Roman"/>
                <w:sz w:val="20"/>
              </w:rPr>
              <w:t>1</w:t>
            </w:r>
            <w:r w:rsidRPr="009B1AB6">
              <w:rPr>
                <w:rFonts w:ascii="Times New Roman" w:hAnsi="Times New Roman"/>
                <w:sz w:val="20"/>
              </w:rPr>
              <w:t>0</w:t>
            </w:r>
          </w:p>
        </w:tc>
        <w:tc>
          <w:tcPr>
            <w:tcW w:w="2403" w:type="dxa"/>
            <w:hideMark/>
          </w:tcPr>
          <w:p w14:paraId="1707CBE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Méthode de valorisation</w:t>
            </w:r>
          </w:p>
        </w:tc>
        <w:tc>
          <w:tcPr>
            <w:tcW w:w="5696" w:type="dxa"/>
            <w:hideMark/>
          </w:tcPr>
          <w:p w14:paraId="519E4CFF" w14:textId="77777777" w:rsidR="00674FAB" w:rsidRPr="009B1AB6" w:rsidRDefault="0095672C" w:rsidP="00950116">
            <w:pPr>
              <w:spacing w:line="276" w:lineRule="auto"/>
              <w:rPr>
                <w:rFonts w:ascii="Times New Roman" w:hAnsi="Times New Roman"/>
                <w:sz w:val="20"/>
              </w:rPr>
            </w:pPr>
            <w:r w:rsidRPr="009B1AB6">
              <w:rPr>
                <w:rFonts w:ascii="Times New Roman" w:hAnsi="Times New Roman"/>
                <w:sz w:val="20"/>
              </w:rPr>
              <w:t xml:space="preserve">Indiquer la méthode de valorisation utilisée pour valoriser les dérivés. </w:t>
            </w:r>
          </w:p>
          <w:p w14:paraId="2126B683" w14:textId="40FCAA01"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Choisir impérativement l’une des options suivantes:</w:t>
            </w:r>
          </w:p>
          <w:p w14:paraId="2AF804C7" w14:textId="224EEC00"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1 – Prix coté sur un marché actif pour les mêmes actifs ou passifs</w:t>
            </w:r>
            <w:r w:rsidR="00FE79E2" w:rsidRPr="009B1AB6">
              <w:rPr>
                <w:rFonts w:ascii="Times New Roman" w:hAnsi="Times New Roman" w:cs="Times New Roman"/>
                <w:sz w:val="20"/>
                <w:szCs w:val="20"/>
              </w:rPr>
              <w:br/>
            </w:r>
            <w:r w:rsidRPr="009B1AB6">
              <w:rPr>
                <w:rFonts w:ascii="Times New Roman" w:hAnsi="Times New Roman"/>
                <w:sz w:val="20"/>
              </w:rPr>
              <w:t>2 – Prix coté sur un marché actif pour des actifs ou passifs similaires</w:t>
            </w:r>
            <w:r w:rsidR="00FE79E2" w:rsidRPr="009B1AB6">
              <w:rPr>
                <w:rFonts w:ascii="Times New Roman" w:hAnsi="Times New Roman" w:cs="Times New Roman"/>
                <w:sz w:val="20"/>
                <w:szCs w:val="20"/>
              </w:rPr>
              <w:br/>
            </w:r>
            <w:r w:rsidRPr="009B1AB6">
              <w:rPr>
                <w:rFonts w:ascii="Times New Roman" w:hAnsi="Times New Roman"/>
                <w:sz w:val="20"/>
              </w:rPr>
              <w:t>3 – Méthodes de valorisation alternatives</w:t>
            </w:r>
          </w:p>
        </w:tc>
      </w:tr>
      <w:tr w:rsidR="005E724C" w:rsidRPr="009B1AB6" w14:paraId="3B5F3B36" w14:textId="77777777" w:rsidTr="0044578D">
        <w:trPr>
          <w:trHeight w:val="297"/>
        </w:trPr>
        <w:tc>
          <w:tcPr>
            <w:tcW w:w="1223" w:type="dxa"/>
          </w:tcPr>
          <w:p w14:paraId="1F097538" w14:textId="6CA85FE2" w:rsidR="005E724C" w:rsidRPr="009B1AB6" w:rsidRDefault="005E724C" w:rsidP="00802F31">
            <w:pPr>
              <w:pStyle w:val="Sansinterligne"/>
              <w:rPr>
                <w:rFonts w:ascii="Times New Roman" w:hAnsi="Times New Roman"/>
                <w:sz w:val="20"/>
              </w:rPr>
            </w:pPr>
            <w:r w:rsidRPr="009B1AB6">
              <w:rPr>
                <w:rFonts w:ascii="Times New Roman" w:hAnsi="Times New Roman"/>
                <w:sz w:val="20"/>
              </w:rPr>
              <w:t>C02</w:t>
            </w:r>
            <w:r w:rsidR="00802F31" w:rsidRPr="009B1AB6">
              <w:rPr>
                <w:rFonts w:ascii="Times New Roman" w:hAnsi="Times New Roman"/>
                <w:sz w:val="20"/>
              </w:rPr>
              <w:t>20</w:t>
            </w:r>
          </w:p>
        </w:tc>
        <w:tc>
          <w:tcPr>
            <w:tcW w:w="2403" w:type="dxa"/>
          </w:tcPr>
          <w:p w14:paraId="48E2BA16" w14:textId="77777777" w:rsidR="005E724C" w:rsidRPr="009B1AB6" w:rsidRDefault="005E724C" w:rsidP="00950116">
            <w:pPr>
              <w:rPr>
                <w:rFonts w:ascii="Times New Roman" w:hAnsi="Times New Roman"/>
                <w:sz w:val="20"/>
              </w:rPr>
            </w:pPr>
            <w:r w:rsidRPr="009B1AB6">
              <w:rPr>
                <w:rFonts w:ascii="Times New Roman" w:hAnsi="Times New Roman"/>
                <w:sz w:val="20"/>
              </w:rPr>
              <w:t>Valeur brute comptable (contrevaleur en euros le cas échéant)</w:t>
            </w:r>
          </w:p>
        </w:tc>
        <w:tc>
          <w:tcPr>
            <w:tcW w:w="5696" w:type="dxa"/>
          </w:tcPr>
          <w:p w14:paraId="3D09C88A" w14:textId="77777777" w:rsidR="005E724C" w:rsidRPr="009B1AB6" w:rsidRDefault="005E724C" w:rsidP="00950116">
            <w:pPr>
              <w:rPr>
                <w:rFonts w:ascii="Times New Roman" w:hAnsi="Times New Roman"/>
                <w:sz w:val="20"/>
              </w:rPr>
            </w:pPr>
            <w:r w:rsidRPr="009B1AB6">
              <w:rPr>
                <w:rFonts w:ascii="Times New Roman" w:hAnsi="Times New Roman"/>
                <w:sz w:val="20"/>
              </w:rPr>
              <w:t>Indiquer la valeur brute comptable. Une valeur numérique est attendue.</w:t>
            </w:r>
          </w:p>
        </w:tc>
      </w:tr>
      <w:tr w:rsidR="005E724C" w:rsidRPr="009B1AB6" w14:paraId="1B35D97C" w14:textId="77777777" w:rsidTr="0044578D">
        <w:trPr>
          <w:trHeight w:val="179"/>
        </w:trPr>
        <w:tc>
          <w:tcPr>
            <w:tcW w:w="1223" w:type="dxa"/>
          </w:tcPr>
          <w:p w14:paraId="4F6F61BB" w14:textId="28896A9B" w:rsidR="005E724C" w:rsidRPr="009B1AB6" w:rsidRDefault="005E724C" w:rsidP="00802F31">
            <w:pPr>
              <w:pStyle w:val="Sansinterligne"/>
              <w:rPr>
                <w:rFonts w:ascii="Times New Roman" w:hAnsi="Times New Roman"/>
                <w:sz w:val="20"/>
              </w:rPr>
            </w:pPr>
            <w:r w:rsidRPr="009B1AB6">
              <w:rPr>
                <w:rFonts w:ascii="Times New Roman" w:hAnsi="Times New Roman"/>
                <w:sz w:val="20"/>
              </w:rPr>
              <w:t>C02</w:t>
            </w:r>
            <w:r w:rsidR="00802F31" w:rsidRPr="009B1AB6">
              <w:rPr>
                <w:rFonts w:ascii="Times New Roman" w:hAnsi="Times New Roman"/>
                <w:sz w:val="20"/>
              </w:rPr>
              <w:t>30</w:t>
            </w:r>
          </w:p>
        </w:tc>
        <w:tc>
          <w:tcPr>
            <w:tcW w:w="2403" w:type="dxa"/>
          </w:tcPr>
          <w:p w14:paraId="7F0517F9" w14:textId="77777777" w:rsidR="005E724C" w:rsidRPr="009B1AB6" w:rsidRDefault="005E724C" w:rsidP="00950116">
            <w:pPr>
              <w:rPr>
                <w:rFonts w:ascii="Times New Roman" w:hAnsi="Times New Roman"/>
                <w:sz w:val="20"/>
              </w:rPr>
            </w:pPr>
            <w:r w:rsidRPr="009B1AB6">
              <w:rPr>
                <w:rFonts w:ascii="Times New Roman" w:hAnsi="Times New Roman"/>
                <w:sz w:val="20"/>
              </w:rPr>
              <w:t>Amortissements (contrevaleur en euros le cas échéant)</w:t>
            </w:r>
          </w:p>
        </w:tc>
        <w:tc>
          <w:tcPr>
            <w:tcW w:w="5696" w:type="dxa"/>
          </w:tcPr>
          <w:p w14:paraId="0175B1E2" w14:textId="77777777" w:rsidR="005E724C" w:rsidRPr="009B1AB6" w:rsidRDefault="005E724C" w:rsidP="00950116">
            <w:pPr>
              <w:rPr>
                <w:rFonts w:ascii="Times New Roman" w:hAnsi="Times New Roman"/>
                <w:sz w:val="20"/>
              </w:rPr>
            </w:pPr>
            <w:r w:rsidRPr="009B1AB6">
              <w:rPr>
                <w:rFonts w:ascii="Times New Roman" w:hAnsi="Times New Roman"/>
                <w:sz w:val="20"/>
              </w:rPr>
              <w:t>Indiquer le montant d’amortissements. Une valeur numérique est attendue.</w:t>
            </w:r>
          </w:p>
        </w:tc>
      </w:tr>
      <w:tr w:rsidR="005E724C" w:rsidRPr="009B1AB6" w14:paraId="5CE02A75" w14:textId="77777777" w:rsidTr="0044578D">
        <w:trPr>
          <w:trHeight w:val="70"/>
        </w:trPr>
        <w:tc>
          <w:tcPr>
            <w:tcW w:w="1223" w:type="dxa"/>
          </w:tcPr>
          <w:p w14:paraId="7BE52E3B" w14:textId="187122FC" w:rsidR="005E724C" w:rsidRPr="009B1AB6" w:rsidRDefault="005E724C" w:rsidP="00802F31">
            <w:pPr>
              <w:pStyle w:val="Sansinterligne"/>
              <w:rPr>
                <w:rFonts w:ascii="Times New Roman" w:hAnsi="Times New Roman"/>
                <w:sz w:val="20"/>
              </w:rPr>
            </w:pPr>
            <w:r w:rsidRPr="009B1AB6">
              <w:rPr>
                <w:rFonts w:ascii="Times New Roman" w:hAnsi="Times New Roman"/>
                <w:sz w:val="20"/>
              </w:rPr>
              <w:t>C02</w:t>
            </w:r>
            <w:r w:rsidR="00802F31" w:rsidRPr="009B1AB6">
              <w:rPr>
                <w:rFonts w:ascii="Times New Roman" w:hAnsi="Times New Roman"/>
                <w:sz w:val="20"/>
              </w:rPr>
              <w:t>40</w:t>
            </w:r>
          </w:p>
        </w:tc>
        <w:tc>
          <w:tcPr>
            <w:tcW w:w="2403" w:type="dxa"/>
          </w:tcPr>
          <w:p w14:paraId="222B7E04" w14:textId="77777777" w:rsidR="005E724C" w:rsidRPr="009B1AB6" w:rsidRDefault="005E724C" w:rsidP="00950116">
            <w:pPr>
              <w:rPr>
                <w:rFonts w:ascii="Times New Roman" w:hAnsi="Times New Roman"/>
                <w:sz w:val="20"/>
              </w:rPr>
            </w:pPr>
            <w:r w:rsidRPr="009B1AB6">
              <w:rPr>
                <w:rFonts w:ascii="Times New Roman" w:hAnsi="Times New Roman"/>
                <w:sz w:val="20"/>
              </w:rPr>
              <w:t>Dépréciations (contrevaleur en euros le cas échéant)</w:t>
            </w:r>
          </w:p>
        </w:tc>
        <w:tc>
          <w:tcPr>
            <w:tcW w:w="5696" w:type="dxa"/>
          </w:tcPr>
          <w:p w14:paraId="798E22F6" w14:textId="77777777" w:rsidR="005E724C" w:rsidRPr="009B1AB6" w:rsidRDefault="005E724C" w:rsidP="00950116">
            <w:pPr>
              <w:rPr>
                <w:rFonts w:ascii="Times New Roman" w:hAnsi="Times New Roman"/>
                <w:sz w:val="20"/>
              </w:rPr>
            </w:pPr>
            <w:r w:rsidRPr="009B1AB6">
              <w:rPr>
                <w:rFonts w:ascii="Times New Roman" w:hAnsi="Times New Roman"/>
                <w:sz w:val="20"/>
              </w:rPr>
              <w:t>Indiquer le montant de dépréciations. Une valeur numérique est attendue.</w:t>
            </w:r>
          </w:p>
        </w:tc>
      </w:tr>
      <w:tr w:rsidR="005E724C" w:rsidRPr="009B1AB6" w14:paraId="0D0A3153" w14:textId="77777777" w:rsidTr="0044578D">
        <w:trPr>
          <w:trHeight w:val="185"/>
        </w:trPr>
        <w:tc>
          <w:tcPr>
            <w:tcW w:w="1223" w:type="dxa"/>
          </w:tcPr>
          <w:p w14:paraId="1EC9A458" w14:textId="07617A71" w:rsidR="005E724C" w:rsidRPr="009B1AB6" w:rsidRDefault="005E724C" w:rsidP="00802F31">
            <w:pPr>
              <w:pStyle w:val="Sansinterligne"/>
              <w:rPr>
                <w:rFonts w:ascii="Times New Roman" w:hAnsi="Times New Roman"/>
                <w:sz w:val="20"/>
              </w:rPr>
            </w:pPr>
            <w:r w:rsidRPr="009B1AB6">
              <w:rPr>
                <w:rFonts w:ascii="Times New Roman" w:hAnsi="Times New Roman"/>
                <w:sz w:val="20"/>
              </w:rPr>
              <w:t>C02</w:t>
            </w:r>
            <w:r w:rsidR="00802F31" w:rsidRPr="009B1AB6">
              <w:rPr>
                <w:rFonts w:ascii="Times New Roman" w:hAnsi="Times New Roman"/>
                <w:sz w:val="20"/>
              </w:rPr>
              <w:t>50</w:t>
            </w:r>
          </w:p>
        </w:tc>
        <w:tc>
          <w:tcPr>
            <w:tcW w:w="2403" w:type="dxa"/>
          </w:tcPr>
          <w:p w14:paraId="38B295A4" w14:textId="77777777" w:rsidR="005E724C" w:rsidRPr="009B1AB6" w:rsidRDefault="005E724C" w:rsidP="00950116">
            <w:pPr>
              <w:rPr>
                <w:rFonts w:ascii="Times New Roman" w:hAnsi="Times New Roman"/>
                <w:sz w:val="20"/>
              </w:rPr>
            </w:pPr>
            <w:r w:rsidRPr="009B1AB6">
              <w:rPr>
                <w:rFonts w:ascii="Times New Roman" w:hAnsi="Times New Roman"/>
                <w:sz w:val="20"/>
              </w:rPr>
              <w:t>Surcote, décote (contrevaleur en euros le cas échéant)</w:t>
            </w:r>
          </w:p>
        </w:tc>
        <w:tc>
          <w:tcPr>
            <w:tcW w:w="5696" w:type="dxa"/>
          </w:tcPr>
          <w:p w14:paraId="36238DF8" w14:textId="77777777" w:rsidR="005E724C" w:rsidRPr="009B1AB6" w:rsidRDefault="005E724C" w:rsidP="00950116">
            <w:pPr>
              <w:rPr>
                <w:rFonts w:ascii="Times New Roman" w:hAnsi="Times New Roman"/>
                <w:sz w:val="20"/>
              </w:rPr>
            </w:pPr>
            <w:r w:rsidRPr="009B1AB6">
              <w:rPr>
                <w:rFonts w:ascii="Times New Roman" w:hAnsi="Times New Roman"/>
                <w:sz w:val="20"/>
              </w:rPr>
              <w:t>Indiquer le montant de décote ou surcote. Une valeur numérique est attendue.</w:t>
            </w:r>
          </w:p>
        </w:tc>
      </w:tr>
      <w:tr w:rsidR="005E724C" w:rsidRPr="009B1AB6" w14:paraId="38203FA4" w14:textId="77777777" w:rsidTr="00950116">
        <w:trPr>
          <w:trHeight w:val="1499"/>
        </w:trPr>
        <w:tc>
          <w:tcPr>
            <w:tcW w:w="1223" w:type="dxa"/>
          </w:tcPr>
          <w:p w14:paraId="5B12E28A" w14:textId="779A7A73" w:rsidR="005E724C" w:rsidRPr="009B1AB6" w:rsidRDefault="005E724C" w:rsidP="00802F31">
            <w:pPr>
              <w:pStyle w:val="Sansinterligne"/>
              <w:rPr>
                <w:rFonts w:ascii="Times New Roman" w:hAnsi="Times New Roman"/>
                <w:sz w:val="20"/>
              </w:rPr>
            </w:pPr>
            <w:r w:rsidRPr="009B1AB6">
              <w:rPr>
                <w:rFonts w:ascii="Times New Roman" w:hAnsi="Times New Roman"/>
                <w:sz w:val="20"/>
              </w:rPr>
              <w:t>C02</w:t>
            </w:r>
            <w:r w:rsidR="00802F31" w:rsidRPr="009B1AB6">
              <w:rPr>
                <w:rFonts w:ascii="Times New Roman" w:hAnsi="Times New Roman"/>
                <w:sz w:val="20"/>
              </w:rPr>
              <w:t>60</w:t>
            </w:r>
          </w:p>
        </w:tc>
        <w:tc>
          <w:tcPr>
            <w:tcW w:w="2403" w:type="dxa"/>
          </w:tcPr>
          <w:p w14:paraId="7E89BA78" w14:textId="77777777" w:rsidR="005E724C" w:rsidRPr="009B1AB6" w:rsidRDefault="005E724C" w:rsidP="00950116">
            <w:pPr>
              <w:rPr>
                <w:rFonts w:ascii="Times New Roman" w:hAnsi="Times New Roman"/>
                <w:sz w:val="20"/>
              </w:rPr>
            </w:pPr>
            <w:r w:rsidRPr="009B1AB6">
              <w:rPr>
                <w:rFonts w:ascii="Times New Roman" w:hAnsi="Times New Roman"/>
                <w:sz w:val="20"/>
              </w:rPr>
              <w:t>Part non libérée du titre</w:t>
            </w:r>
          </w:p>
        </w:tc>
        <w:tc>
          <w:tcPr>
            <w:tcW w:w="5696" w:type="dxa"/>
          </w:tcPr>
          <w:p w14:paraId="04C394D8" w14:textId="5159916B" w:rsidR="005E724C" w:rsidRPr="009B1AB6" w:rsidRDefault="005E724C" w:rsidP="0044578D">
            <w:pPr>
              <w:rPr>
                <w:rFonts w:ascii="Times New Roman" w:hAnsi="Times New Roman"/>
                <w:sz w:val="20"/>
              </w:rPr>
            </w:pPr>
            <w:r w:rsidRPr="009B1AB6">
              <w:rPr>
                <w:rFonts w:ascii="Times New Roman" w:hAnsi="Times New Roman"/>
                <w:sz w:val="20"/>
              </w:rPr>
              <w:t>Indiquer l’éventuelle part non libéré des titres de la ligne</w:t>
            </w:r>
            <w:r w:rsidR="005E2783" w:rsidRPr="009B1AB6">
              <w:rPr>
                <w:rFonts w:ascii="Times New Roman" w:hAnsi="Times New Roman"/>
                <w:sz w:val="20"/>
              </w:rPr>
              <w:t>.</w:t>
            </w:r>
            <w:r w:rsidRPr="009B1AB6">
              <w:rPr>
                <w:rFonts w:ascii="Times New Roman" w:hAnsi="Times New Roman"/>
                <w:sz w:val="20"/>
              </w:rPr>
              <w:t xml:space="preserve"> L’inclusion en colonne de la part non-libérée des titres diffère de la pratique de l’EDP, qui consiste à sommer les titres par sous-rubrique, avant de soustraire, le cas échéant, la part non libérée des titres au total de la sous-rubrique. </w:t>
            </w:r>
          </w:p>
          <w:p w14:paraId="5E31D0B3" w14:textId="77777777" w:rsidR="005E724C" w:rsidRPr="009B1AB6" w:rsidRDefault="005E724C" w:rsidP="005E724C">
            <w:pPr>
              <w:rPr>
                <w:rFonts w:ascii="Times New Roman" w:hAnsi="Times New Roman"/>
                <w:sz w:val="20"/>
              </w:rPr>
            </w:pPr>
            <w:r w:rsidRPr="009B1AB6">
              <w:rPr>
                <w:rFonts w:ascii="Times New Roman" w:hAnsi="Times New Roman"/>
                <w:sz w:val="20"/>
              </w:rPr>
              <w:t>Une valeur numérique est attendue.</w:t>
            </w:r>
          </w:p>
        </w:tc>
      </w:tr>
      <w:tr w:rsidR="005E724C" w:rsidRPr="009B1AB6" w14:paraId="3B227298" w14:textId="77777777" w:rsidTr="0044578D">
        <w:trPr>
          <w:trHeight w:val="70"/>
        </w:trPr>
        <w:tc>
          <w:tcPr>
            <w:tcW w:w="1223" w:type="dxa"/>
          </w:tcPr>
          <w:p w14:paraId="48363D89" w14:textId="3FBA5F82" w:rsidR="005E724C" w:rsidRPr="009B1AB6" w:rsidRDefault="005E724C" w:rsidP="00802F31">
            <w:pPr>
              <w:pStyle w:val="Sansinterligne"/>
              <w:rPr>
                <w:rFonts w:ascii="Times New Roman" w:hAnsi="Times New Roman"/>
                <w:sz w:val="20"/>
              </w:rPr>
            </w:pPr>
            <w:r w:rsidRPr="009B1AB6">
              <w:rPr>
                <w:rFonts w:ascii="Times New Roman" w:hAnsi="Times New Roman"/>
                <w:sz w:val="20"/>
              </w:rPr>
              <w:t>C02</w:t>
            </w:r>
            <w:r w:rsidR="00802F31" w:rsidRPr="009B1AB6">
              <w:rPr>
                <w:rFonts w:ascii="Times New Roman" w:hAnsi="Times New Roman"/>
                <w:sz w:val="20"/>
              </w:rPr>
              <w:t>70</w:t>
            </w:r>
          </w:p>
        </w:tc>
        <w:tc>
          <w:tcPr>
            <w:tcW w:w="2403" w:type="dxa"/>
          </w:tcPr>
          <w:p w14:paraId="63E38B22" w14:textId="77777777" w:rsidR="005E724C" w:rsidRPr="009B1AB6" w:rsidRDefault="005E724C" w:rsidP="00950116">
            <w:pPr>
              <w:rPr>
                <w:rFonts w:ascii="Times New Roman" w:hAnsi="Times New Roman"/>
                <w:sz w:val="20"/>
              </w:rPr>
            </w:pPr>
            <w:r w:rsidRPr="009B1AB6">
              <w:rPr>
                <w:rFonts w:ascii="Times New Roman" w:hAnsi="Times New Roman"/>
                <w:sz w:val="20"/>
              </w:rPr>
              <w:t>Valeur nette (contrevaleur en euros le cas échéant)</w:t>
            </w:r>
          </w:p>
        </w:tc>
        <w:tc>
          <w:tcPr>
            <w:tcW w:w="5696" w:type="dxa"/>
          </w:tcPr>
          <w:p w14:paraId="2B5D7371" w14:textId="77777777" w:rsidR="005E724C" w:rsidRPr="009B1AB6" w:rsidRDefault="005E724C" w:rsidP="0044578D">
            <w:pPr>
              <w:autoSpaceDE w:val="0"/>
              <w:autoSpaceDN w:val="0"/>
              <w:adjustRightInd w:val="0"/>
              <w:rPr>
                <w:rFonts w:ascii="Times New Roman" w:hAnsi="Times New Roman"/>
                <w:sz w:val="20"/>
              </w:rPr>
            </w:pPr>
            <w:r w:rsidRPr="009B1AB6">
              <w:rPr>
                <w:rFonts w:ascii="Times New Roman" w:hAnsi="Times New Roman"/>
                <w:sz w:val="20"/>
              </w:rPr>
              <w:t>Indiquer la valeur nette (c’est-à-dire nette des colonnes précédentes, y compris donc de la part non libérée des titres le cas échéant). Une valeur numérique est attendue.</w:t>
            </w:r>
          </w:p>
        </w:tc>
      </w:tr>
      <w:tr w:rsidR="005E724C" w:rsidRPr="009B1AB6" w14:paraId="7E47928F" w14:textId="77777777" w:rsidTr="0044578D">
        <w:trPr>
          <w:trHeight w:val="70"/>
        </w:trPr>
        <w:tc>
          <w:tcPr>
            <w:tcW w:w="1223" w:type="dxa"/>
          </w:tcPr>
          <w:p w14:paraId="33930211" w14:textId="1200F466" w:rsidR="005E724C" w:rsidRPr="009B1AB6" w:rsidRDefault="005E724C" w:rsidP="00802F31">
            <w:pPr>
              <w:pStyle w:val="Sansinterligne"/>
              <w:rPr>
                <w:rFonts w:ascii="Times New Roman" w:hAnsi="Times New Roman"/>
                <w:sz w:val="20"/>
              </w:rPr>
            </w:pPr>
            <w:r w:rsidRPr="009B1AB6">
              <w:rPr>
                <w:rFonts w:ascii="Times New Roman" w:hAnsi="Times New Roman"/>
                <w:sz w:val="20"/>
              </w:rPr>
              <w:lastRenderedPageBreak/>
              <w:t>C02</w:t>
            </w:r>
            <w:r w:rsidR="00802F31" w:rsidRPr="009B1AB6">
              <w:rPr>
                <w:rFonts w:ascii="Times New Roman" w:hAnsi="Times New Roman"/>
                <w:sz w:val="20"/>
              </w:rPr>
              <w:t>80</w:t>
            </w:r>
          </w:p>
        </w:tc>
        <w:tc>
          <w:tcPr>
            <w:tcW w:w="2403" w:type="dxa"/>
          </w:tcPr>
          <w:p w14:paraId="29C31FA4" w14:textId="77777777" w:rsidR="005E724C" w:rsidRPr="009B1AB6" w:rsidRDefault="005E724C" w:rsidP="00950116">
            <w:pPr>
              <w:rPr>
                <w:rFonts w:ascii="Times New Roman" w:hAnsi="Times New Roman"/>
                <w:sz w:val="20"/>
              </w:rPr>
            </w:pPr>
            <w:r w:rsidRPr="009B1AB6">
              <w:rPr>
                <w:rFonts w:ascii="Times New Roman" w:hAnsi="Times New Roman"/>
                <w:sz w:val="20"/>
              </w:rPr>
              <w:t>Valeur de réalisation (contrevaleur en euros le cas échéant).</w:t>
            </w:r>
          </w:p>
        </w:tc>
        <w:tc>
          <w:tcPr>
            <w:tcW w:w="5696" w:type="dxa"/>
          </w:tcPr>
          <w:p w14:paraId="3DA1ABC6" w14:textId="77777777" w:rsidR="005E724C" w:rsidRPr="009B1AB6" w:rsidRDefault="005E724C" w:rsidP="00950116">
            <w:pPr>
              <w:rPr>
                <w:rFonts w:ascii="Times New Roman" w:hAnsi="Times New Roman"/>
                <w:sz w:val="20"/>
              </w:rPr>
            </w:pPr>
            <w:r w:rsidRPr="009B1AB6">
              <w:rPr>
                <w:rFonts w:ascii="Times New Roman" w:hAnsi="Times New Roman"/>
                <w:sz w:val="20"/>
              </w:rPr>
              <w:t>La valeur de réalisation s’entend, même pour les titres pour lesquels la cotation inclut les intérêts courus, nets d’ICNE. Une valeur numérique est attendue</w:t>
            </w:r>
          </w:p>
        </w:tc>
      </w:tr>
      <w:tr w:rsidR="005E724C" w:rsidRPr="009B1AB6" w14:paraId="22D711E8" w14:textId="77777777" w:rsidTr="0044578D">
        <w:trPr>
          <w:trHeight w:val="123"/>
        </w:trPr>
        <w:tc>
          <w:tcPr>
            <w:tcW w:w="1223" w:type="dxa"/>
          </w:tcPr>
          <w:p w14:paraId="1ACE6AAB" w14:textId="72FB11C6" w:rsidR="005E724C" w:rsidRPr="009B1AB6" w:rsidRDefault="005E724C" w:rsidP="00802F31">
            <w:pPr>
              <w:pStyle w:val="Sansinterligne"/>
              <w:rPr>
                <w:rFonts w:ascii="Times New Roman" w:hAnsi="Times New Roman"/>
                <w:sz w:val="20"/>
              </w:rPr>
            </w:pPr>
            <w:r w:rsidRPr="009B1AB6">
              <w:rPr>
                <w:rFonts w:ascii="Times New Roman" w:hAnsi="Times New Roman"/>
                <w:sz w:val="20"/>
              </w:rPr>
              <w:t>C02</w:t>
            </w:r>
            <w:r w:rsidR="00802F31" w:rsidRPr="009B1AB6">
              <w:rPr>
                <w:rFonts w:ascii="Times New Roman" w:hAnsi="Times New Roman"/>
                <w:sz w:val="20"/>
              </w:rPr>
              <w:t>90</w:t>
            </w:r>
          </w:p>
        </w:tc>
        <w:tc>
          <w:tcPr>
            <w:tcW w:w="2403" w:type="dxa"/>
          </w:tcPr>
          <w:p w14:paraId="7BDED931" w14:textId="77777777" w:rsidR="005E724C" w:rsidRPr="009B1AB6" w:rsidRDefault="005E724C" w:rsidP="00950116">
            <w:pPr>
              <w:rPr>
                <w:rFonts w:ascii="Times New Roman" w:hAnsi="Times New Roman"/>
                <w:sz w:val="20"/>
              </w:rPr>
            </w:pPr>
            <w:r w:rsidRPr="009B1AB6">
              <w:rPr>
                <w:rFonts w:ascii="Times New Roman" w:hAnsi="Times New Roman"/>
                <w:sz w:val="20"/>
              </w:rPr>
              <w:t>Valeur de remboursement pour les titres de créances  (contrevaleur en euros le cas échéant)</w:t>
            </w:r>
          </w:p>
        </w:tc>
        <w:tc>
          <w:tcPr>
            <w:tcW w:w="5696" w:type="dxa"/>
          </w:tcPr>
          <w:p w14:paraId="2F3F1A0C" w14:textId="77777777" w:rsidR="005E724C" w:rsidRPr="009B1AB6" w:rsidRDefault="005E724C" w:rsidP="00950116">
            <w:pPr>
              <w:rPr>
                <w:rFonts w:ascii="Times New Roman" w:hAnsi="Times New Roman"/>
                <w:sz w:val="20"/>
              </w:rPr>
            </w:pPr>
            <w:r w:rsidRPr="009B1AB6">
              <w:rPr>
                <w:rFonts w:ascii="Times New Roman" w:hAnsi="Times New Roman"/>
                <w:sz w:val="20"/>
              </w:rPr>
              <w:t>Cette valeur n’est à indiquer que pour les titres de créances .Une valeur numérique est attendue.</w:t>
            </w:r>
          </w:p>
        </w:tc>
      </w:tr>
    </w:tbl>
    <w:p w14:paraId="65C8E7FC" w14:textId="77777777" w:rsidR="00D409C6" w:rsidRPr="009B1AB6" w:rsidRDefault="00D409C6" w:rsidP="00950116">
      <w:pPr>
        <w:spacing w:before="120" w:after="120"/>
        <w:rPr>
          <w:rFonts w:ascii="Times New Roman" w:hAnsi="Times New Roman"/>
          <w:b/>
          <w:sz w:val="20"/>
        </w:rPr>
      </w:pPr>
    </w:p>
    <w:p w14:paraId="2FD6B910" w14:textId="67789160" w:rsidR="0095672C" w:rsidRPr="009B1AB6" w:rsidRDefault="0095672C" w:rsidP="00950116">
      <w:pPr>
        <w:spacing w:before="120" w:after="120"/>
        <w:rPr>
          <w:rFonts w:ascii="Times New Roman" w:hAnsi="Times New Roman"/>
          <w:b/>
          <w:sz w:val="20"/>
        </w:rPr>
      </w:pPr>
      <w:r w:rsidRPr="009B1AB6">
        <w:rPr>
          <w:rFonts w:ascii="Times New Roman" w:hAnsi="Times New Roman"/>
          <w:b/>
          <w:sz w:val="20"/>
        </w:rPr>
        <w:t>Informations sur les dérivés</w:t>
      </w:r>
    </w:p>
    <w:p w14:paraId="176E001F" w14:textId="77777777" w:rsidR="00D409C6" w:rsidRPr="009B1AB6" w:rsidRDefault="00D409C6" w:rsidP="00950116">
      <w:pPr>
        <w:spacing w:before="120" w:after="120"/>
        <w:rPr>
          <w:rFonts w:ascii="Times New Roman" w:hAnsi="Times New Roman" w:cs="Times New Roman"/>
          <w:b/>
          <w:sz w:val="20"/>
          <w:szCs w:val="20"/>
        </w:rPr>
      </w:pPr>
    </w:p>
    <w:tbl>
      <w:tblPr>
        <w:tblStyle w:val="Grilledutableau"/>
        <w:tblW w:w="9322" w:type="dxa"/>
        <w:tblLook w:val="04A0" w:firstRow="1" w:lastRow="0" w:firstColumn="1" w:lastColumn="0" w:noHBand="0" w:noVBand="1"/>
      </w:tblPr>
      <w:tblGrid>
        <w:gridCol w:w="1223"/>
        <w:gridCol w:w="1862"/>
        <w:gridCol w:w="6237"/>
      </w:tblGrid>
      <w:tr w:rsidR="00467C0C" w:rsidRPr="009B1AB6" w14:paraId="385EDC14" w14:textId="77777777" w:rsidTr="0044578D">
        <w:trPr>
          <w:trHeight w:val="327"/>
        </w:trPr>
        <w:tc>
          <w:tcPr>
            <w:tcW w:w="1223" w:type="dxa"/>
          </w:tcPr>
          <w:p w14:paraId="5B86751A" w14:textId="77777777" w:rsidR="0095672C" w:rsidRPr="009B1AB6" w:rsidRDefault="0095672C" w:rsidP="00950116">
            <w:pPr>
              <w:rPr>
                <w:rFonts w:ascii="Times New Roman" w:hAnsi="Times New Roman" w:cs="Times New Roman"/>
                <w:b/>
                <w:sz w:val="20"/>
                <w:szCs w:val="20"/>
              </w:rPr>
            </w:pPr>
          </w:p>
        </w:tc>
        <w:tc>
          <w:tcPr>
            <w:tcW w:w="1862" w:type="dxa"/>
          </w:tcPr>
          <w:p w14:paraId="50473B90" w14:textId="77777777" w:rsidR="0095672C" w:rsidRPr="009B1AB6" w:rsidRDefault="0095672C" w:rsidP="00950116">
            <w:pPr>
              <w:jc w:val="center"/>
              <w:rPr>
                <w:rFonts w:ascii="Times New Roman" w:hAnsi="Times New Roman" w:cs="Times New Roman"/>
                <w:b/>
                <w:sz w:val="20"/>
                <w:szCs w:val="20"/>
              </w:rPr>
            </w:pPr>
            <w:r w:rsidRPr="009B1AB6">
              <w:rPr>
                <w:rFonts w:ascii="Times New Roman" w:hAnsi="Times New Roman"/>
                <w:b/>
                <w:sz w:val="20"/>
              </w:rPr>
              <w:t>ÉLÉMENT À DÉCLARER</w:t>
            </w:r>
          </w:p>
        </w:tc>
        <w:tc>
          <w:tcPr>
            <w:tcW w:w="6237" w:type="dxa"/>
          </w:tcPr>
          <w:p w14:paraId="57C4EA56" w14:textId="77777777" w:rsidR="0095672C" w:rsidRPr="009B1AB6" w:rsidRDefault="0095672C" w:rsidP="00950116">
            <w:pPr>
              <w:jc w:val="center"/>
              <w:rPr>
                <w:rFonts w:ascii="Times New Roman" w:hAnsi="Times New Roman" w:cs="Times New Roman"/>
                <w:b/>
                <w:sz w:val="20"/>
                <w:szCs w:val="20"/>
              </w:rPr>
            </w:pPr>
            <w:r w:rsidRPr="009B1AB6">
              <w:rPr>
                <w:rFonts w:ascii="Times New Roman" w:hAnsi="Times New Roman"/>
                <w:b/>
                <w:sz w:val="20"/>
              </w:rPr>
              <w:t>INSTRUCTIONS</w:t>
            </w:r>
          </w:p>
        </w:tc>
      </w:tr>
      <w:tr w:rsidR="00467C0C" w:rsidRPr="009B1AB6" w14:paraId="2ED555A5" w14:textId="77777777" w:rsidTr="0044578D">
        <w:trPr>
          <w:trHeight w:val="1454"/>
        </w:trPr>
        <w:tc>
          <w:tcPr>
            <w:tcW w:w="1223" w:type="dxa"/>
            <w:hideMark/>
          </w:tcPr>
          <w:p w14:paraId="2A2DC841" w14:textId="71121CE6" w:rsidR="0095672C" w:rsidRPr="009B1AB6" w:rsidRDefault="0095672C" w:rsidP="00802F31">
            <w:pPr>
              <w:pStyle w:val="Sansinterligne"/>
              <w:rPr>
                <w:rFonts w:ascii="Times New Roman" w:hAnsi="Times New Roman" w:cs="Times New Roman"/>
                <w:sz w:val="20"/>
                <w:szCs w:val="20"/>
              </w:rPr>
            </w:pPr>
            <w:r w:rsidRPr="009B1AB6">
              <w:rPr>
                <w:rFonts w:ascii="Times New Roman" w:hAnsi="Times New Roman"/>
                <w:sz w:val="20"/>
              </w:rPr>
              <w:t>C00</w:t>
            </w:r>
            <w:r w:rsidR="00802F31" w:rsidRPr="009B1AB6">
              <w:rPr>
                <w:rFonts w:ascii="Times New Roman" w:hAnsi="Times New Roman"/>
                <w:sz w:val="20"/>
              </w:rPr>
              <w:t>1</w:t>
            </w:r>
            <w:r w:rsidRPr="009B1AB6">
              <w:rPr>
                <w:rFonts w:ascii="Times New Roman" w:hAnsi="Times New Roman"/>
                <w:sz w:val="20"/>
              </w:rPr>
              <w:t>0</w:t>
            </w:r>
          </w:p>
        </w:tc>
        <w:tc>
          <w:tcPr>
            <w:tcW w:w="1862" w:type="dxa"/>
            <w:hideMark/>
          </w:tcPr>
          <w:p w14:paraId="3968290D"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Code d’identification du dérivé</w:t>
            </w:r>
          </w:p>
        </w:tc>
        <w:tc>
          <w:tcPr>
            <w:tcW w:w="6237" w:type="dxa"/>
            <w:hideMark/>
          </w:tcPr>
          <w:p w14:paraId="6BFB9D7B" w14:textId="21661ADC"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du dérivé, par ordre de priorité suivant: </w:t>
            </w:r>
            <w:r w:rsidR="00FE79E2" w:rsidRPr="009B1AB6">
              <w:rPr>
                <w:rFonts w:ascii="Times New Roman" w:hAnsi="Times New Roman" w:cs="Times New Roman"/>
                <w:sz w:val="20"/>
                <w:szCs w:val="20"/>
              </w:rPr>
              <w:br/>
            </w:r>
            <w:r w:rsidRPr="009B1AB6">
              <w:rPr>
                <w:rFonts w:ascii="Times New Roman" w:hAnsi="Times New Roman"/>
                <w:sz w:val="20"/>
              </w:rPr>
              <w:t xml:space="preserve">  – code ISIN de l’ISO 6166 si disponible</w:t>
            </w:r>
            <w:r w:rsidR="00FE79E2" w:rsidRPr="009B1AB6">
              <w:rPr>
                <w:rFonts w:ascii="Times New Roman" w:hAnsi="Times New Roman" w:cs="Times New Roman"/>
                <w:sz w:val="20"/>
                <w:szCs w:val="20"/>
              </w:rPr>
              <w:br/>
            </w:r>
            <w:r w:rsidRPr="009B1AB6">
              <w:rPr>
                <w:rFonts w:ascii="Times New Roman" w:hAnsi="Times New Roman"/>
                <w:sz w:val="20"/>
              </w:rPr>
              <w:t xml:space="preserve">  – autres codes reconnus (tels que CUSIP, Bloomberg Ticker, Reuters RIC)</w:t>
            </w:r>
            <w:r w:rsidR="00FE79E2" w:rsidRPr="009B1AB6">
              <w:rPr>
                <w:rFonts w:ascii="Times New Roman" w:hAnsi="Times New Roman" w:cs="Times New Roman"/>
                <w:sz w:val="20"/>
                <w:szCs w:val="20"/>
              </w:rPr>
              <w:br/>
            </w:r>
            <w:r w:rsidRPr="009B1AB6">
              <w:rPr>
                <w:rFonts w:ascii="Times New Roman" w:hAnsi="Times New Roman"/>
                <w:sz w:val="20"/>
              </w:rPr>
              <w:t xml:space="preserve">  – code attribué par </w:t>
            </w:r>
            <w:r w:rsidR="006D71BF" w:rsidRPr="009B1AB6">
              <w:rPr>
                <w:rFonts w:ascii="Times New Roman" w:hAnsi="Times New Roman"/>
                <w:sz w:val="20"/>
              </w:rPr>
              <w:t>l’O</w:t>
            </w:r>
            <w:r w:rsidR="005E724C" w:rsidRPr="009B1AB6">
              <w:rPr>
                <w:rFonts w:ascii="Times New Roman" w:hAnsi="Times New Roman"/>
                <w:sz w:val="20"/>
              </w:rPr>
              <w:t>RPS</w:t>
            </w:r>
            <w:r w:rsidRPr="009B1AB6">
              <w:rPr>
                <w:rFonts w:ascii="Times New Roman" w:hAnsi="Times New Roman"/>
                <w:sz w:val="20"/>
              </w:rPr>
              <w:t>, lorsque les options ci-dessus ne sont pas disponibles, qui doit rester constant dans le temps</w:t>
            </w:r>
          </w:p>
        </w:tc>
      </w:tr>
      <w:tr w:rsidR="00467C0C" w:rsidRPr="009B1AB6" w14:paraId="3C8B7D26" w14:textId="77777777" w:rsidTr="0044578D">
        <w:trPr>
          <w:trHeight w:val="1425"/>
        </w:trPr>
        <w:tc>
          <w:tcPr>
            <w:tcW w:w="1223" w:type="dxa"/>
            <w:hideMark/>
          </w:tcPr>
          <w:p w14:paraId="49436C63" w14:textId="6209782C"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802F31" w:rsidRPr="009B1AB6">
              <w:rPr>
                <w:rFonts w:ascii="Times New Roman" w:hAnsi="Times New Roman"/>
                <w:sz w:val="20"/>
              </w:rPr>
              <w:t>002</w:t>
            </w:r>
            <w:r w:rsidRPr="009B1AB6">
              <w:rPr>
                <w:rFonts w:ascii="Times New Roman" w:hAnsi="Times New Roman"/>
                <w:sz w:val="20"/>
              </w:rPr>
              <w:t>0</w:t>
            </w:r>
          </w:p>
        </w:tc>
        <w:tc>
          <w:tcPr>
            <w:tcW w:w="1862" w:type="dxa"/>
            <w:hideMark/>
          </w:tcPr>
          <w:p w14:paraId="3AA1FCD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du dérivé</w:t>
            </w:r>
          </w:p>
        </w:tc>
        <w:tc>
          <w:tcPr>
            <w:tcW w:w="6237" w:type="dxa"/>
            <w:hideMark/>
          </w:tcPr>
          <w:p w14:paraId="736C9226" w14:textId="06D8EC9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BC0FCC" w:rsidRPr="009B1AB6">
              <w:rPr>
                <w:rFonts w:ascii="Times New Roman" w:hAnsi="Times New Roman"/>
                <w:sz w:val="20"/>
              </w:rPr>
              <w:t xml:space="preserve"> « code</w:t>
            </w:r>
            <w:r w:rsidRPr="009B1AB6">
              <w:rPr>
                <w:rFonts w:ascii="Times New Roman" w:hAnsi="Times New Roman"/>
                <w:sz w:val="20"/>
              </w:rPr>
              <w:t xml:space="preserve"> d’identification du </w:t>
            </w:r>
            <w:r w:rsidR="00BC0FCC" w:rsidRPr="009B1AB6">
              <w:rPr>
                <w:rFonts w:ascii="Times New Roman" w:hAnsi="Times New Roman"/>
                <w:sz w:val="20"/>
              </w:rPr>
              <w:t>dérivé »</w:t>
            </w:r>
            <w:r w:rsidRPr="009B1AB6">
              <w:rPr>
                <w:rFonts w:ascii="Times New Roman" w:hAnsi="Times New Roman"/>
                <w:sz w:val="20"/>
              </w:rPr>
              <w:t>. Choisir impérativement l’une des options suivantes:</w:t>
            </w:r>
          </w:p>
          <w:p w14:paraId="272FACCC" w14:textId="476F9EE2" w:rsidR="0095672C" w:rsidRPr="009B1AB6" w:rsidRDefault="001E2E9D" w:rsidP="00950116">
            <w:pPr>
              <w:spacing w:line="276" w:lineRule="auto"/>
              <w:rPr>
                <w:rFonts w:ascii="Times New Roman" w:hAnsi="Times New Roman" w:cs="Times New Roman"/>
                <w:sz w:val="20"/>
                <w:szCs w:val="20"/>
              </w:rPr>
            </w:pPr>
            <w:r w:rsidRPr="009B1AB6">
              <w:rPr>
                <w:rFonts w:ascii="Times New Roman" w:hAnsi="Times New Roman"/>
                <w:sz w:val="20"/>
              </w:rPr>
              <w:t xml:space="preserve">1 </w:t>
            </w:r>
            <w:r w:rsidR="0095672C" w:rsidRPr="009B1AB6">
              <w:rPr>
                <w:rFonts w:ascii="Times New Roman" w:hAnsi="Times New Roman"/>
                <w:sz w:val="20"/>
              </w:rPr>
              <w:t>– code ISIN de l’ISO 6166</w:t>
            </w:r>
          </w:p>
          <w:p w14:paraId="6B04E4A6"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2 – code CUSIP (Committee on Uniform Securities Identification Procedures): numéro attribué par le CUSIP Service Bureau pour les entreprises américaines et canadiennes</w:t>
            </w:r>
          </w:p>
          <w:p w14:paraId="35C4ACA4"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3 – SEDOL (Stock Exchange Daily Official List pour la bourse de Londres)</w:t>
            </w:r>
          </w:p>
          <w:p w14:paraId="551FDEA0"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4 – WKN (Wertpapier Kenn-Nummer, le numéro d’identification alphanumérique allemand)</w:t>
            </w:r>
          </w:p>
          <w:p w14:paraId="42AC922B"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5 – Bloomberg Ticker (code à lettres Bloomberg d’identification des titres d’une société)</w:t>
            </w:r>
          </w:p>
          <w:p w14:paraId="717040A1"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6 – BBGID (Bloomberg Global ID)</w:t>
            </w:r>
          </w:p>
          <w:p w14:paraId="7A6C457D"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7 – Reuters RIC (Reuters Instrument Code)</w:t>
            </w:r>
          </w:p>
          <w:p w14:paraId="26B2C6EB"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8 – FIGI (Financial Instrument Global Identifier)</w:t>
            </w:r>
          </w:p>
          <w:p w14:paraId="3385FE9D"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9 – Autre code attribué par un membre de l’Association des agences nationales de codification</w:t>
            </w:r>
          </w:p>
          <w:p w14:paraId="36858D53" w14:textId="43BCE638" w:rsidR="0095672C" w:rsidRPr="009B1AB6" w:rsidRDefault="0095672C" w:rsidP="005E724C">
            <w:pPr>
              <w:spacing w:line="276" w:lineRule="auto"/>
              <w:rPr>
                <w:rFonts w:ascii="Times New Roman" w:hAnsi="Times New Roman" w:cs="Times New Roman"/>
                <w:sz w:val="20"/>
                <w:szCs w:val="20"/>
              </w:rPr>
            </w:pPr>
            <w:r w:rsidRPr="009B1AB6">
              <w:rPr>
                <w:rFonts w:ascii="Times New Roman" w:hAnsi="Times New Roman"/>
                <w:sz w:val="20"/>
              </w:rPr>
              <w:t xml:space="preserve">99 – Code attribué par </w:t>
            </w:r>
            <w:r w:rsidR="006D71BF" w:rsidRPr="009B1AB6">
              <w:rPr>
                <w:rFonts w:ascii="Times New Roman" w:hAnsi="Times New Roman"/>
                <w:sz w:val="20"/>
              </w:rPr>
              <w:t>l’O</w:t>
            </w:r>
            <w:r w:rsidR="005E724C" w:rsidRPr="009B1AB6">
              <w:rPr>
                <w:rFonts w:ascii="Times New Roman" w:hAnsi="Times New Roman"/>
                <w:sz w:val="20"/>
              </w:rPr>
              <w:t xml:space="preserve">RPS </w:t>
            </w:r>
          </w:p>
        </w:tc>
      </w:tr>
      <w:tr w:rsidR="00467C0C" w:rsidRPr="009B1AB6" w14:paraId="2542536F" w14:textId="77777777" w:rsidTr="0044578D">
        <w:trPr>
          <w:trHeight w:val="1765"/>
        </w:trPr>
        <w:tc>
          <w:tcPr>
            <w:tcW w:w="1223" w:type="dxa"/>
            <w:hideMark/>
          </w:tcPr>
          <w:p w14:paraId="4E4CE608" w14:textId="7E9BAB90"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w:t>
            </w:r>
            <w:r w:rsidR="00467C0C" w:rsidRPr="009B1AB6">
              <w:rPr>
                <w:rFonts w:ascii="Times New Roman" w:hAnsi="Times New Roman"/>
                <w:sz w:val="20"/>
              </w:rPr>
              <w:t>300</w:t>
            </w:r>
          </w:p>
        </w:tc>
        <w:tc>
          <w:tcPr>
            <w:tcW w:w="1862" w:type="dxa"/>
            <w:hideMark/>
          </w:tcPr>
          <w:p w14:paraId="7721A8D4"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Nom de la contrepartie</w:t>
            </w:r>
          </w:p>
        </w:tc>
        <w:tc>
          <w:tcPr>
            <w:tcW w:w="6237" w:type="dxa"/>
            <w:hideMark/>
          </w:tcPr>
          <w:p w14:paraId="6156CABE"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Nom de la contrepartie au dérivé. Indiquer le nom de l’entité enregistré dans la base de données des identifiants d’entité juridique (LEI) s’il existe. À défaut, indiquer la dénomination légale.</w:t>
            </w:r>
          </w:p>
          <w:p w14:paraId="59ACD36F" w14:textId="4FFD8395" w:rsidR="0095672C" w:rsidRPr="009B1AB6" w:rsidRDefault="006D71BF" w:rsidP="00950116">
            <w:pPr>
              <w:rPr>
                <w:rFonts w:ascii="Times New Roman" w:hAnsi="Times New Roman" w:cs="Times New Roman"/>
                <w:sz w:val="20"/>
                <w:szCs w:val="20"/>
              </w:rPr>
            </w:pPr>
            <w:r w:rsidRPr="009B1AB6">
              <w:rPr>
                <w:rFonts w:ascii="Times New Roman" w:hAnsi="Times New Roman"/>
                <w:sz w:val="20"/>
              </w:rPr>
              <w:t>L’O</w:t>
            </w:r>
            <w:r w:rsidR="00E358E2" w:rsidRPr="009B1AB6">
              <w:rPr>
                <w:rFonts w:ascii="Times New Roman" w:hAnsi="Times New Roman"/>
                <w:sz w:val="20"/>
              </w:rPr>
              <w:t xml:space="preserve">RPS </w:t>
            </w:r>
            <w:r w:rsidR="0095672C" w:rsidRPr="009B1AB6">
              <w:rPr>
                <w:rFonts w:ascii="Times New Roman" w:hAnsi="Times New Roman"/>
                <w:sz w:val="20"/>
              </w:rPr>
              <w:t xml:space="preserve">doit tenir compte des éléments suivants: </w:t>
            </w:r>
          </w:p>
          <w:p w14:paraId="56381F31" w14:textId="77777777" w:rsidR="0095672C" w:rsidRPr="009B1AB6" w:rsidRDefault="0095672C" w:rsidP="0044578D">
            <w:pPr>
              <w:pStyle w:val="Paragraphedeliste"/>
              <w:numPr>
                <w:ilvl w:val="0"/>
                <w:numId w:val="14"/>
              </w:numPr>
              <w:ind w:left="176" w:hanging="142"/>
              <w:jc w:val="left"/>
              <w:rPr>
                <w:sz w:val="20"/>
              </w:rPr>
            </w:pPr>
            <w:r w:rsidRPr="009B1AB6">
              <w:rPr>
                <w:sz w:val="20"/>
              </w:rPr>
              <w:t>nom de la bourse d’échange pour les dérivés négociés en bourse; ou</w:t>
            </w:r>
          </w:p>
          <w:p w14:paraId="42117AC9" w14:textId="77777777" w:rsidR="0095672C" w:rsidRPr="009B1AB6" w:rsidRDefault="0095672C" w:rsidP="0044578D">
            <w:pPr>
              <w:pStyle w:val="Paragraphedeliste"/>
              <w:numPr>
                <w:ilvl w:val="0"/>
                <w:numId w:val="14"/>
              </w:numPr>
              <w:ind w:left="176" w:hanging="142"/>
              <w:jc w:val="left"/>
              <w:rPr>
                <w:sz w:val="20"/>
              </w:rPr>
            </w:pPr>
            <w:r w:rsidRPr="009B1AB6">
              <w:rPr>
                <w:sz w:val="20"/>
              </w:rPr>
              <w:t>nom de la contrepartie centrale pour les dérivés de gré à gré qui sont compensés par l’intermédiaire d’une contrepartie centrale; ou</w:t>
            </w:r>
          </w:p>
          <w:p w14:paraId="259020AD" w14:textId="6FE601D8" w:rsidR="0095672C" w:rsidRPr="009B1AB6" w:rsidRDefault="0095672C" w:rsidP="0044578D">
            <w:pPr>
              <w:pStyle w:val="Paragraphedeliste"/>
              <w:numPr>
                <w:ilvl w:val="0"/>
                <w:numId w:val="14"/>
              </w:numPr>
              <w:ind w:left="176" w:hanging="142"/>
              <w:jc w:val="left"/>
              <w:rPr>
                <w:sz w:val="20"/>
              </w:rPr>
            </w:pPr>
            <w:r w:rsidRPr="009B1AB6">
              <w:rPr>
                <w:sz w:val="20"/>
              </w:rPr>
              <w:t>nom de la contrepartie contractuelle pour les autres dérivés de gré à gré.</w:t>
            </w:r>
          </w:p>
        </w:tc>
      </w:tr>
      <w:tr w:rsidR="00467C0C" w:rsidRPr="009B1AB6" w14:paraId="6C37FADB" w14:textId="77777777" w:rsidTr="0044578D">
        <w:trPr>
          <w:trHeight w:val="1515"/>
        </w:trPr>
        <w:tc>
          <w:tcPr>
            <w:tcW w:w="1223" w:type="dxa"/>
            <w:hideMark/>
          </w:tcPr>
          <w:p w14:paraId="7C8780D8" w14:textId="1958FCEF"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w:t>
            </w:r>
            <w:r w:rsidR="00467C0C" w:rsidRPr="009B1AB6">
              <w:rPr>
                <w:rFonts w:ascii="Times New Roman" w:hAnsi="Times New Roman"/>
                <w:sz w:val="20"/>
              </w:rPr>
              <w:t>310</w:t>
            </w:r>
          </w:p>
        </w:tc>
        <w:tc>
          <w:tcPr>
            <w:tcW w:w="1862" w:type="dxa"/>
            <w:hideMark/>
          </w:tcPr>
          <w:p w14:paraId="7566CF28"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Code d’identification de la contrepartie</w:t>
            </w:r>
          </w:p>
        </w:tc>
        <w:tc>
          <w:tcPr>
            <w:tcW w:w="6237" w:type="dxa"/>
            <w:hideMark/>
          </w:tcPr>
          <w:p w14:paraId="042638EE"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concerne que les contreparties contractuelles, autres que bourse ou contrepartie centrale, à des dérivés de gré à gré.</w:t>
            </w:r>
          </w:p>
          <w:p w14:paraId="4962BEA1"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de la contrepartie en utilisant l’identifiant d’entité juridique (LEI) s’il existe. </w:t>
            </w:r>
            <w:r w:rsidR="00FE79E2" w:rsidRPr="009B1AB6">
              <w:rPr>
                <w:rFonts w:ascii="Times New Roman" w:hAnsi="Times New Roman" w:cs="Times New Roman"/>
                <w:sz w:val="20"/>
                <w:szCs w:val="20"/>
              </w:rPr>
              <w:br/>
            </w:r>
            <w:r w:rsidR="00FE79E2" w:rsidRPr="009B1AB6">
              <w:rPr>
                <w:rFonts w:ascii="Times New Roman" w:hAnsi="Times New Roman" w:cs="Times New Roman"/>
                <w:sz w:val="20"/>
                <w:szCs w:val="20"/>
              </w:rPr>
              <w:lastRenderedPageBreak/>
              <w:br/>
            </w:r>
            <w:r w:rsidRPr="009B1AB6">
              <w:rPr>
                <w:rFonts w:ascii="Times New Roman" w:hAnsi="Times New Roman"/>
                <w:sz w:val="20"/>
              </w:rPr>
              <w:t>S’il n’existe pas, ne rien déclarer pour cet élément.</w:t>
            </w:r>
          </w:p>
        </w:tc>
      </w:tr>
      <w:tr w:rsidR="00467C0C" w:rsidRPr="009B1AB6" w14:paraId="18AD2EE1" w14:textId="77777777" w:rsidTr="0044578D">
        <w:trPr>
          <w:trHeight w:val="1550"/>
        </w:trPr>
        <w:tc>
          <w:tcPr>
            <w:tcW w:w="1223" w:type="dxa"/>
            <w:hideMark/>
          </w:tcPr>
          <w:p w14:paraId="3A9F91A1" w14:textId="5C5816C4"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lastRenderedPageBreak/>
              <w:t>C0</w:t>
            </w:r>
            <w:r w:rsidR="00467C0C" w:rsidRPr="009B1AB6">
              <w:rPr>
                <w:rFonts w:ascii="Times New Roman" w:hAnsi="Times New Roman"/>
                <w:sz w:val="20"/>
              </w:rPr>
              <w:t>320</w:t>
            </w:r>
          </w:p>
        </w:tc>
        <w:tc>
          <w:tcPr>
            <w:tcW w:w="1862" w:type="dxa"/>
            <w:hideMark/>
          </w:tcPr>
          <w:p w14:paraId="16A2A0E3"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de la contrepartie</w:t>
            </w:r>
          </w:p>
        </w:tc>
        <w:tc>
          <w:tcPr>
            <w:tcW w:w="6237" w:type="dxa"/>
            <w:hideMark/>
          </w:tcPr>
          <w:p w14:paraId="7802DE4E"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s’applique que pour les dérivés de gré à gré.</w:t>
            </w:r>
          </w:p>
          <w:p w14:paraId="21175F3B" w14:textId="4397E5F2"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BC0FCC" w:rsidRPr="009B1AB6">
              <w:rPr>
                <w:rFonts w:ascii="Times New Roman" w:hAnsi="Times New Roman"/>
                <w:sz w:val="20"/>
              </w:rPr>
              <w:t xml:space="preserve"> « code</w:t>
            </w:r>
            <w:r w:rsidRPr="009B1AB6">
              <w:rPr>
                <w:rFonts w:ascii="Times New Roman" w:hAnsi="Times New Roman"/>
                <w:sz w:val="20"/>
              </w:rPr>
              <w:t xml:space="preserve"> d’identification de la </w:t>
            </w:r>
            <w:r w:rsidR="00BC0FCC" w:rsidRPr="009B1AB6">
              <w:rPr>
                <w:rFonts w:ascii="Times New Roman" w:hAnsi="Times New Roman"/>
                <w:sz w:val="20"/>
              </w:rPr>
              <w:t>contrepartie »</w:t>
            </w:r>
            <w:r w:rsidRPr="009B1AB6">
              <w:rPr>
                <w:rFonts w:ascii="Times New Roman" w:hAnsi="Times New Roman"/>
                <w:sz w:val="20"/>
              </w:rPr>
              <w:t>.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 xml:space="preserve">1 – LEI </w:t>
            </w:r>
            <w:r w:rsidR="00FE79E2" w:rsidRPr="009B1AB6">
              <w:rPr>
                <w:rFonts w:ascii="Times New Roman" w:hAnsi="Times New Roman" w:cs="Times New Roman"/>
                <w:sz w:val="20"/>
                <w:szCs w:val="20"/>
              </w:rPr>
              <w:br/>
            </w:r>
            <w:r w:rsidRPr="009B1AB6">
              <w:rPr>
                <w:rFonts w:ascii="Times New Roman" w:hAnsi="Times New Roman"/>
                <w:sz w:val="20"/>
              </w:rPr>
              <w:t>9 – Aucun</w:t>
            </w:r>
          </w:p>
        </w:tc>
      </w:tr>
      <w:tr w:rsidR="00467C0C" w:rsidRPr="009B1AB6" w14:paraId="056AE8A1" w14:textId="77777777" w:rsidTr="0044578D">
        <w:trPr>
          <w:trHeight w:val="1140"/>
        </w:trPr>
        <w:tc>
          <w:tcPr>
            <w:tcW w:w="1223" w:type="dxa"/>
            <w:hideMark/>
          </w:tcPr>
          <w:p w14:paraId="46EC3C6A" w14:textId="633E87A4"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w:t>
            </w:r>
            <w:r w:rsidR="00467C0C" w:rsidRPr="009B1AB6">
              <w:rPr>
                <w:rFonts w:ascii="Times New Roman" w:hAnsi="Times New Roman"/>
                <w:sz w:val="20"/>
              </w:rPr>
              <w:t>330</w:t>
            </w:r>
          </w:p>
        </w:tc>
        <w:tc>
          <w:tcPr>
            <w:tcW w:w="1862" w:type="dxa"/>
            <w:hideMark/>
          </w:tcPr>
          <w:p w14:paraId="6FD67DB4" w14:textId="1C54906A" w:rsidR="0095672C" w:rsidRPr="009B1AB6" w:rsidRDefault="0095672C" w:rsidP="00D574F5">
            <w:pPr>
              <w:spacing w:after="200" w:line="276" w:lineRule="auto"/>
              <w:rPr>
                <w:rFonts w:ascii="Times New Roman" w:hAnsi="Times New Roman" w:cs="Times New Roman"/>
                <w:sz w:val="20"/>
                <w:szCs w:val="20"/>
              </w:rPr>
            </w:pPr>
            <w:r w:rsidRPr="009B1AB6">
              <w:rPr>
                <w:rFonts w:ascii="Times New Roman" w:hAnsi="Times New Roman"/>
                <w:sz w:val="20"/>
              </w:rPr>
              <w:t>Notation externe</w:t>
            </w:r>
          </w:p>
        </w:tc>
        <w:tc>
          <w:tcPr>
            <w:tcW w:w="6237" w:type="dxa"/>
            <w:hideMark/>
          </w:tcPr>
          <w:p w14:paraId="12A1625F"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s’applique que pour les dérivés de gré à gré.</w:t>
            </w:r>
          </w:p>
          <w:p w14:paraId="54479347" w14:textId="7334EFCC" w:rsidR="00C94416" w:rsidRPr="009B1AB6" w:rsidRDefault="0095672C" w:rsidP="00950116">
            <w:pPr>
              <w:rPr>
                <w:rFonts w:ascii="Times New Roman" w:hAnsi="Times New Roman"/>
                <w:sz w:val="20"/>
              </w:rPr>
            </w:pPr>
            <w:r w:rsidRPr="009B1AB6">
              <w:rPr>
                <w:rFonts w:ascii="Times New Roman" w:hAnsi="Times New Roman"/>
                <w:sz w:val="20"/>
              </w:rPr>
              <w:t xml:space="preserve">Indiquer la notation de la contrepartie au dérivé à la date de déclaration, telle qu’émise par </w:t>
            </w:r>
            <w:r w:rsidR="00482CC5" w:rsidRPr="009B1AB6">
              <w:rPr>
                <w:rFonts w:ascii="Times New Roman" w:hAnsi="Times New Roman"/>
                <w:sz w:val="20"/>
              </w:rPr>
              <w:t>l’agence de notation</w:t>
            </w:r>
            <w:r w:rsidR="00D574F5" w:rsidRPr="009B1AB6">
              <w:rPr>
                <w:rFonts w:ascii="Times New Roman" w:hAnsi="Times New Roman"/>
                <w:sz w:val="20"/>
              </w:rPr>
              <w:t>.</w:t>
            </w:r>
          </w:p>
          <w:p w14:paraId="58E9F08B" w14:textId="77777777" w:rsidR="00C94416" w:rsidRPr="009B1AB6" w:rsidRDefault="00C94416" w:rsidP="00950116">
            <w:pPr>
              <w:rPr>
                <w:rFonts w:ascii="Times New Roman" w:hAnsi="Times New Roman"/>
                <w:sz w:val="20"/>
              </w:rPr>
            </w:pPr>
          </w:p>
          <w:p w14:paraId="63491301" w14:textId="19F1F8CE" w:rsidR="0095672C" w:rsidRPr="009B1AB6" w:rsidRDefault="00C94416" w:rsidP="00082D34">
            <w:pPr>
              <w:rPr>
                <w:rFonts w:ascii="Times New Roman" w:hAnsi="Times New Roman" w:cs="Times New Roman"/>
                <w:sz w:val="20"/>
                <w:szCs w:val="20"/>
              </w:rPr>
            </w:pPr>
            <w:r w:rsidRPr="009B1AB6">
              <w:rPr>
                <w:rFonts w:ascii="Times New Roman" w:hAnsi="Times New Roman"/>
                <w:sz w:val="20"/>
              </w:rPr>
              <w:t>Cette cellule doit rester vide si aucune notation n’a été attribuée à l’élément.</w:t>
            </w:r>
          </w:p>
        </w:tc>
      </w:tr>
      <w:tr w:rsidR="00467C0C" w:rsidRPr="009B1AB6" w14:paraId="1C0D275F" w14:textId="77777777" w:rsidTr="0044578D">
        <w:trPr>
          <w:trHeight w:val="629"/>
        </w:trPr>
        <w:tc>
          <w:tcPr>
            <w:tcW w:w="1223" w:type="dxa"/>
            <w:hideMark/>
          </w:tcPr>
          <w:p w14:paraId="716B251A" w14:textId="6D23DC03"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w:t>
            </w:r>
            <w:r w:rsidR="00467C0C" w:rsidRPr="009B1AB6">
              <w:rPr>
                <w:rFonts w:ascii="Times New Roman" w:hAnsi="Times New Roman"/>
                <w:sz w:val="20"/>
              </w:rPr>
              <w:t>340</w:t>
            </w:r>
          </w:p>
        </w:tc>
        <w:tc>
          <w:tcPr>
            <w:tcW w:w="1862" w:type="dxa"/>
            <w:hideMark/>
          </w:tcPr>
          <w:p w14:paraId="367B54A0" w14:textId="754D87C7" w:rsidR="0095672C" w:rsidRPr="009B1AB6" w:rsidRDefault="00482CC5" w:rsidP="00482CC5">
            <w:pPr>
              <w:ind w:right="149"/>
              <w:rPr>
                <w:rFonts w:ascii="Times New Roman" w:hAnsi="Times New Roman" w:cs="Times New Roman"/>
                <w:sz w:val="20"/>
                <w:szCs w:val="20"/>
              </w:rPr>
            </w:pPr>
            <w:r w:rsidRPr="009B1AB6">
              <w:rPr>
                <w:rFonts w:ascii="Times New Roman" w:hAnsi="Times New Roman"/>
                <w:sz w:val="20"/>
              </w:rPr>
              <w:t>Agence de notation</w:t>
            </w:r>
          </w:p>
        </w:tc>
        <w:tc>
          <w:tcPr>
            <w:tcW w:w="6237" w:type="dxa"/>
            <w:hideMark/>
          </w:tcPr>
          <w:p w14:paraId="346A5378" w14:textId="70801D86"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Identifier </w:t>
            </w:r>
            <w:r w:rsidR="00482CC5" w:rsidRPr="009B1AB6">
              <w:rPr>
                <w:rFonts w:ascii="Times New Roman" w:hAnsi="Times New Roman"/>
                <w:sz w:val="20"/>
              </w:rPr>
              <w:t>l’agence de notation</w:t>
            </w:r>
            <w:r w:rsidRPr="009B1AB6">
              <w:rPr>
                <w:rFonts w:ascii="Times New Roman" w:hAnsi="Times New Roman"/>
                <w:sz w:val="20"/>
              </w:rPr>
              <w:t xml:space="preserve"> qui attribue la notation externe</w:t>
            </w:r>
            <w:r w:rsidR="001E2E9D" w:rsidRPr="009B1AB6">
              <w:rPr>
                <w:rFonts w:ascii="Times New Roman" w:hAnsi="Times New Roman"/>
                <w:sz w:val="20"/>
              </w:rPr>
              <w:t>.</w:t>
            </w:r>
          </w:p>
          <w:p w14:paraId="6E10F829" w14:textId="28EBB868" w:rsidR="0095672C" w:rsidRPr="009B1AB6" w:rsidRDefault="00C94416" w:rsidP="00467C0C">
            <w:pPr>
              <w:spacing w:line="276" w:lineRule="auto"/>
              <w:rPr>
                <w:rFonts w:ascii="Times New Roman" w:hAnsi="Times New Roman" w:cs="Times New Roman"/>
                <w:sz w:val="20"/>
                <w:szCs w:val="20"/>
              </w:rPr>
            </w:pPr>
            <w:r w:rsidRPr="009B1AB6">
              <w:rPr>
                <w:rFonts w:ascii="Times New Roman" w:hAnsi="Times New Roman"/>
                <w:sz w:val="20"/>
              </w:rPr>
              <w:t>C</w:t>
            </w:r>
            <w:r w:rsidR="0095672C" w:rsidRPr="009B1AB6">
              <w:rPr>
                <w:rFonts w:ascii="Times New Roman" w:hAnsi="Times New Roman"/>
                <w:sz w:val="20"/>
              </w:rPr>
              <w:t>et élément</w:t>
            </w:r>
            <w:r w:rsidRPr="009B1AB6">
              <w:rPr>
                <w:rFonts w:ascii="Times New Roman" w:hAnsi="Times New Roman"/>
                <w:sz w:val="20"/>
              </w:rPr>
              <w:t xml:space="preserve"> doit être indiqué</w:t>
            </w:r>
            <w:r w:rsidR="0095672C" w:rsidRPr="009B1AB6">
              <w:rPr>
                <w:rFonts w:ascii="Times New Roman" w:hAnsi="Times New Roman"/>
                <w:sz w:val="20"/>
              </w:rPr>
              <w:t>, si une déclaration sous C0</w:t>
            </w:r>
            <w:r w:rsidR="00467C0C" w:rsidRPr="009B1AB6">
              <w:rPr>
                <w:rFonts w:ascii="Times New Roman" w:hAnsi="Times New Roman"/>
                <w:sz w:val="20"/>
              </w:rPr>
              <w:t>330 « Notation</w:t>
            </w:r>
            <w:r w:rsidR="0095672C" w:rsidRPr="009B1AB6">
              <w:rPr>
                <w:rFonts w:ascii="Times New Roman" w:hAnsi="Times New Roman"/>
                <w:sz w:val="20"/>
              </w:rPr>
              <w:t xml:space="preserve"> </w:t>
            </w:r>
            <w:r w:rsidR="00467C0C" w:rsidRPr="009B1AB6">
              <w:rPr>
                <w:rFonts w:ascii="Times New Roman" w:hAnsi="Times New Roman"/>
                <w:sz w:val="20"/>
              </w:rPr>
              <w:t>externe »</w:t>
            </w:r>
            <w:r w:rsidR="0095672C" w:rsidRPr="009B1AB6">
              <w:rPr>
                <w:rFonts w:ascii="Times New Roman" w:hAnsi="Times New Roman"/>
                <w:sz w:val="20"/>
              </w:rPr>
              <w:t xml:space="preserve"> est effectuée. </w:t>
            </w:r>
          </w:p>
        </w:tc>
      </w:tr>
      <w:tr w:rsidR="00467C0C" w:rsidRPr="009B1AB6" w14:paraId="5CD7D43E" w14:textId="77777777" w:rsidTr="0044578D">
        <w:trPr>
          <w:trHeight w:val="70"/>
        </w:trPr>
        <w:tc>
          <w:tcPr>
            <w:tcW w:w="1223" w:type="dxa"/>
            <w:hideMark/>
          </w:tcPr>
          <w:p w14:paraId="65A816CF" w14:textId="3E926779"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467C0C" w:rsidRPr="009B1AB6">
              <w:rPr>
                <w:rFonts w:ascii="Times New Roman" w:hAnsi="Times New Roman"/>
                <w:sz w:val="20"/>
              </w:rPr>
              <w:t>035</w:t>
            </w:r>
            <w:r w:rsidRPr="009B1AB6">
              <w:rPr>
                <w:rFonts w:ascii="Times New Roman" w:hAnsi="Times New Roman"/>
                <w:sz w:val="20"/>
              </w:rPr>
              <w:t>0</w:t>
            </w:r>
          </w:p>
        </w:tc>
        <w:tc>
          <w:tcPr>
            <w:tcW w:w="1862" w:type="dxa"/>
            <w:hideMark/>
          </w:tcPr>
          <w:p w14:paraId="7C7FF77C"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Groupe de la contrepartie</w:t>
            </w:r>
          </w:p>
        </w:tc>
        <w:tc>
          <w:tcPr>
            <w:tcW w:w="6237" w:type="dxa"/>
            <w:hideMark/>
          </w:tcPr>
          <w:p w14:paraId="54464CA7" w14:textId="77777777" w:rsidR="0095672C" w:rsidRPr="009B1AB6" w:rsidRDefault="0095672C" w:rsidP="00950116">
            <w:pPr>
              <w:spacing w:after="200" w:line="276" w:lineRule="auto"/>
              <w:rPr>
                <w:rFonts w:ascii="Times New Roman" w:eastAsia="Times New Roman" w:hAnsi="Times New Roman" w:cs="Times New Roman"/>
                <w:sz w:val="20"/>
                <w:szCs w:val="20"/>
              </w:rPr>
            </w:pPr>
            <w:bookmarkStart w:id="1" w:name="OLE_LINK1"/>
            <w:bookmarkStart w:id="2" w:name="OLE_LINK2"/>
            <w:r w:rsidRPr="009B1AB6">
              <w:rPr>
                <w:rFonts w:ascii="Times New Roman" w:hAnsi="Times New Roman"/>
                <w:sz w:val="20"/>
              </w:rPr>
              <w:t>Ne concerne que les contreparties contractuelles, autres que bourse ou contrepartie centrale, à des dérivés de gré à gré.</w:t>
            </w:r>
          </w:p>
          <w:bookmarkEnd w:id="1"/>
          <w:bookmarkEnd w:id="2"/>
          <w:p w14:paraId="27F77F35"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Nom de l’entité mère ultime de la contrepartie. Indiquer le nom de l’entité enregistré dans la base de données des identifiants d’entité juridique (LEI) s’il existe. À défaut, indiquer la dénomination légale.</w:t>
            </w:r>
          </w:p>
        </w:tc>
      </w:tr>
      <w:tr w:rsidR="00467C0C" w:rsidRPr="009B1AB6" w14:paraId="3E9CD680" w14:textId="77777777" w:rsidTr="0044578D">
        <w:trPr>
          <w:trHeight w:val="1192"/>
        </w:trPr>
        <w:tc>
          <w:tcPr>
            <w:tcW w:w="1223" w:type="dxa"/>
            <w:hideMark/>
          </w:tcPr>
          <w:p w14:paraId="5EF62D02" w14:textId="44B900F4"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C03</w:t>
            </w:r>
            <w:r w:rsidR="00467C0C" w:rsidRPr="009B1AB6">
              <w:rPr>
                <w:rFonts w:ascii="Times New Roman" w:hAnsi="Times New Roman"/>
                <w:sz w:val="20"/>
              </w:rPr>
              <w:t>6</w:t>
            </w:r>
            <w:r w:rsidRPr="009B1AB6">
              <w:rPr>
                <w:rFonts w:ascii="Times New Roman" w:hAnsi="Times New Roman"/>
                <w:sz w:val="20"/>
              </w:rPr>
              <w:t>0</w:t>
            </w:r>
          </w:p>
        </w:tc>
        <w:tc>
          <w:tcPr>
            <w:tcW w:w="1862" w:type="dxa"/>
            <w:hideMark/>
          </w:tcPr>
          <w:p w14:paraId="25298171"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Code d’identification du groupe de la contrepartie</w:t>
            </w:r>
          </w:p>
        </w:tc>
        <w:tc>
          <w:tcPr>
            <w:tcW w:w="6237" w:type="dxa"/>
            <w:hideMark/>
          </w:tcPr>
          <w:p w14:paraId="44578C1D"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concerne que les contreparties contractuelles, autres que bourse ou contrepartie centrale, à des dérivés de gré à gré.</w:t>
            </w:r>
          </w:p>
          <w:p w14:paraId="6DA719FC" w14:textId="10B4C269"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du groupe de la contrepartie en utilisant l’identifiant d’entité juridique (LEI) s’il existe. </w:t>
            </w:r>
            <w:r w:rsidR="00FE79E2" w:rsidRPr="009B1AB6">
              <w:rPr>
                <w:rFonts w:ascii="Times New Roman" w:hAnsi="Times New Roman" w:cs="Times New Roman"/>
                <w:sz w:val="20"/>
                <w:szCs w:val="20"/>
              </w:rPr>
              <w:br/>
            </w:r>
            <w:r w:rsidRPr="009B1AB6">
              <w:rPr>
                <w:rFonts w:ascii="Times New Roman" w:hAnsi="Times New Roman"/>
                <w:sz w:val="20"/>
              </w:rPr>
              <w:t>S’il n’existe pas, ne rien déclarer pour cet élément.</w:t>
            </w:r>
          </w:p>
        </w:tc>
      </w:tr>
      <w:tr w:rsidR="00467C0C" w:rsidRPr="009B1AB6" w14:paraId="0E099696" w14:textId="77777777" w:rsidTr="0044578D">
        <w:trPr>
          <w:trHeight w:val="558"/>
        </w:trPr>
        <w:tc>
          <w:tcPr>
            <w:tcW w:w="1223" w:type="dxa"/>
            <w:hideMark/>
          </w:tcPr>
          <w:p w14:paraId="21DDD361" w14:textId="289F6AD3"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467C0C" w:rsidRPr="009B1AB6">
              <w:rPr>
                <w:rFonts w:ascii="Times New Roman" w:hAnsi="Times New Roman"/>
                <w:sz w:val="20"/>
              </w:rPr>
              <w:t>037</w:t>
            </w:r>
            <w:r w:rsidRPr="009B1AB6">
              <w:rPr>
                <w:rFonts w:ascii="Times New Roman" w:hAnsi="Times New Roman"/>
                <w:sz w:val="20"/>
              </w:rPr>
              <w:t>0</w:t>
            </w:r>
          </w:p>
        </w:tc>
        <w:tc>
          <w:tcPr>
            <w:tcW w:w="1862" w:type="dxa"/>
            <w:hideMark/>
          </w:tcPr>
          <w:p w14:paraId="5602F2C6"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du groupe de la contrepartie</w:t>
            </w:r>
          </w:p>
        </w:tc>
        <w:tc>
          <w:tcPr>
            <w:tcW w:w="6237" w:type="dxa"/>
            <w:hideMark/>
          </w:tcPr>
          <w:p w14:paraId="4A287B28" w14:textId="4C235F1B"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467C0C" w:rsidRPr="009B1AB6">
              <w:rPr>
                <w:rFonts w:ascii="Times New Roman" w:hAnsi="Times New Roman"/>
                <w:sz w:val="20"/>
              </w:rPr>
              <w:t xml:space="preserve"> « code</w:t>
            </w:r>
            <w:r w:rsidRPr="009B1AB6">
              <w:rPr>
                <w:rFonts w:ascii="Times New Roman" w:hAnsi="Times New Roman"/>
                <w:sz w:val="20"/>
              </w:rPr>
              <w:t xml:space="preserve"> d’identification du groupe de la </w:t>
            </w:r>
            <w:r w:rsidR="00467C0C" w:rsidRPr="009B1AB6">
              <w:rPr>
                <w:rFonts w:ascii="Times New Roman" w:hAnsi="Times New Roman"/>
                <w:sz w:val="20"/>
              </w:rPr>
              <w:t>contrepartie »</w:t>
            </w:r>
            <w:r w:rsidRPr="009B1AB6">
              <w:rPr>
                <w:rFonts w:ascii="Times New Roman" w:hAnsi="Times New Roman"/>
                <w:sz w:val="20"/>
              </w:rPr>
              <w:t>.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 xml:space="preserve">1 – LEI </w:t>
            </w:r>
            <w:r w:rsidR="00FE79E2" w:rsidRPr="009B1AB6">
              <w:rPr>
                <w:rFonts w:ascii="Times New Roman" w:hAnsi="Times New Roman" w:cs="Times New Roman"/>
                <w:sz w:val="20"/>
                <w:szCs w:val="20"/>
              </w:rPr>
              <w:br/>
            </w:r>
            <w:r w:rsidRPr="009B1AB6">
              <w:rPr>
                <w:rFonts w:ascii="Times New Roman" w:hAnsi="Times New Roman"/>
                <w:sz w:val="20"/>
              </w:rPr>
              <w:t>9 – Aucun</w:t>
            </w:r>
          </w:p>
        </w:tc>
      </w:tr>
      <w:tr w:rsidR="00467C0C" w:rsidRPr="009B1AB6" w14:paraId="307DD42A" w14:textId="77777777" w:rsidTr="0044578D">
        <w:trPr>
          <w:trHeight w:val="70"/>
        </w:trPr>
        <w:tc>
          <w:tcPr>
            <w:tcW w:w="1223" w:type="dxa"/>
            <w:hideMark/>
          </w:tcPr>
          <w:p w14:paraId="20E29EEF" w14:textId="24FE689F"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467C0C" w:rsidRPr="009B1AB6">
              <w:rPr>
                <w:rFonts w:ascii="Times New Roman" w:hAnsi="Times New Roman"/>
                <w:sz w:val="20"/>
              </w:rPr>
              <w:t>038</w:t>
            </w:r>
            <w:r w:rsidRPr="009B1AB6">
              <w:rPr>
                <w:rFonts w:ascii="Times New Roman" w:hAnsi="Times New Roman"/>
                <w:sz w:val="20"/>
              </w:rPr>
              <w:t>0</w:t>
            </w:r>
          </w:p>
        </w:tc>
        <w:tc>
          <w:tcPr>
            <w:tcW w:w="1862" w:type="dxa"/>
            <w:hideMark/>
          </w:tcPr>
          <w:p w14:paraId="30F7F145"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Nom du contrat</w:t>
            </w:r>
          </w:p>
        </w:tc>
        <w:tc>
          <w:tcPr>
            <w:tcW w:w="6237" w:type="dxa"/>
            <w:hideMark/>
          </w:tcPr>
          <w:p w14:paraId="32EFB19E"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Indiquer le nom du contrat dérivé.</w:t>
            </w:r>
          </w:p>
        </w:tc>
      </w:tr>
      <w:tr w:rsidR="00467C0C" w:rsidRPr="009B1AB6" w14:paraId="2EF24822" w14:textId="77777777" w:rsidTr="0044578D">
        <w:trPr>
          <w:trHeight w:val="1204"/>
        </w:trPr>
        <w:tc>
          <w:tcPr>
            <w:tcW w:w="1223" w:type="dxa"/>
            <w:tcBorders>
              <w:top w:val="single" w:sz="4" w:space="0" w:color="auto"/>
              <w:left w:val="single" w:sz="4" w:space="0" w:color="auto"/>
              <w:bottom w:val="single" w:sz="4" w:space="0" w:color="auto"/>
              <w:right w:val="single" w:sz="4" w:space="0" w:color="auto"/>
            </w:tcBorders>
            <w:hideMark/>
          </w:tcPr>
          <w:p w14:paraId="664119F6" w14:textId="726EF36F"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C03</w:t>
            </w:r>
            <w:r w:rsidR="00467C0C" w:rsidRPr="009B1AB6">
              <w:rPr>
                <w:rFonts w:ascii="Times New Roman" w:hAnsi="Times New Roman"/>
                <w:sz w:val="20"/>
              </w:rPr>
              <w:t>9</w:t>
            </w:r>
            <w:r w:rsidRPr="009B1AB6">
              <w:rPr>
                <w:rFonts w:ascii="Times New Roman" w:hAnsi="Times New Roman"/>
                <w:sz w:val="20"/>
              </w:rPr>
              <w:t>0</w:t>
            </w:r>
          </w:p>
        </w:tc>
        <w:tc>
          <w:tcPr>
            <w:tcW w:w="1862" w:type="dxa"/>
            <w:tcBorders>
              <w:top w:val="single" w:sz="4" w:space="0" w:color="auto"/>
              <w:left w:val="single" w:sz="4" w:space="0" w:color="auto"/>
              <w:bottom w:val="single" w:sz="4" w:space="0" w:color="auto"/>
              <w:right w:val="single" w:sz="4" w:space="0" w:color="auto"/>
            </w:tcBorders>
            <w:hideMark/>
          </w:tcPr>
          <w:p w14:paraId="6A8DCFE0"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Monnaie</w:t>
            </w:r>
          </w:p>
        </w:tc>
        <w:tc>
          <w:tcPr>
            <w:tcW w:w="6237" w:type="dxa"/>
            <w:tcBorders>
              <w:top w:val="single" w:sz="4" w:space="0" w:color="auto"/>
              <w:left w:val="single" w:sz="4" w:space="0" w:color="auto"/>
              <w:bottom w:val="single" w:sz="4" w:space="0" w:color="auto"/>
              <w:right w:val="single" w:sz="4" w:space="0" w:color="auto"/>
            </w:tcBorders>
            <w:hideMark/>
          </w:tcPr>
          <w:p w14:paraId="5D6CB896"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 xml:space="preserve">Indiquer le code alphabétique ISO 4217 de la monnaie du dérivé, c’est-à-dire la monnaie du montant notionnel du dérivé (par exemple: USD pour une option ayant pour sous-jacent un montant exprimé dans cette monnaie, monnaie dans laquelle est contractuellement exprimé le montant notionnel d’un swap de change, etc.). </w:t>
            </w:r>
          </w:p>
        </w:tc>
      </w:tr>
      <w:tr w:rsidR="00467C0C" w:rsidRPr="009B1AB6" w14:paraId="2C18D0FE" w14:textId="77777777" w:rsidTr="0044578D">
        <w:trPr>
          <w:trHeight w:val="204"/>
        </w:trPr>
        <w:tc>
          <w:tcPr>
            <w:tcW w:w="1223" w:type="dxa"/>
            <w:tcBorders>
              <w:top w:val="single" w:sz="4" w:space="0" w:color="auto"/>
              <w:left w:val="single" w:sz="4" w:space="0" w:color="auto"/>
              <w:bottom w:val="nil"/>
              <w:right w:val="single" w:sz="4" w:space="0" w:color="auto"/>
            </w:tcBorders>
            <w:hideMark/>
          </w:tcPr>
          <w:p w14:paraId="1FC5FA93" w14:textId="6300D0B4"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w:t>
            </w:r>
            <w:r w:rsidR="00467C0C" w:rsidRPr="009B1AB6">
              <w:rPr>
                <w:rFonts w:ascii="Times New Roman" w:hAnsi="Times New Roman"/>
                <w:sz w:val="20"/>
              </w:rPr>
              <w:t>400</w:t>
            </w:r>
          </w:p>
        </w:tc>
        <w:tc>
          <w:tcPr>
            <w:tcW w:w="1862" w:type="dxa"/>
            <w:tcBorders>
              <w:top w:val="single" w:sz="4" w:space="0" w:color="auto"/>
              <w:left w:val="single" w:sz="4" w:space="0" w:color="auto"/>
              <w:bottom w:val="nil"/>
              <w:right w:val="single" w:sz="4" w:space="0" w:color="auto"/>
            </w:tcBorders>
            <w:hideMark/>
          </w:tcPr>
          <w:p w14:paraId="092A920D"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CIC</w:t>
            </w:r>
          </w:p>
        </w:tc>
        <w:tc>
          <w:tcPr>
            <w:tcW w:w="6237" w:type="dxa"/>
            <w:tcBorders>
              <w:top w:val="single" w:sz="4" w:space="0" w:color="auto"/>
              <w:left w:val="single" w:sz="4" w:space="0" w:color="auto"/>
              <w:bottom w:val="nil"/>
              <w:right w:val="single" w:sz="4" w:space="0" w:color="auto"/>
            </w:tcBorders>
            <w:hideMark/>
          </w:tcPr>
          <w:p w14:paraId="4131BC7D" w14:textId="0B04A6FB"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Code d’identification complémentaire utilisé pour classer les actifs, tel que présenté à l’annexe V</w:t>
            </w:r>
            <w:r w:rsidR="00467C0C" w:rsidRPr="009B1AB6">
              <w:rPr>
                <w:rFonts w:ascii="Times New Roman" w:hAnsi="Times New Roman"/>
                <w:sz w:val="20"/>
              </w:rPr>
              <w:t xml:space="preserve"> « Tableau</w:t>
            </w:r>
            <w:r w:rsidRPr="009B1AB6">
              <w:rPr>
                <w:rFonts w:ascii="Times New Roman" w:hAnsi="Times New Roman"/>
                <w:sz w:val="20"/>
              </w:rPr>
              <w:t xml:space="preserve"> des codes </w:t>
            </w:r>
            <w:r w:rsidR="00467C0C" w:rsidRPr="009B1AB6">
              <w:rPr>
                <w:rFonts w:ascii="Times New Roman" w:hAnsi="Times New Roman"/>
                <w:sz w:val="20"/>
              </w:rPr>
              <w:t>CIC »</w:t>
            </w:r>
            <w:r w:rsidRPr="009B1AB6">
              <w:rPr>
                <w:rFonts w:ascii="Times New Roman" w:hAnsi="Times New Roman"/>
                <w:sz w:val="20"/>
              </w:rPr>
              <w:t xml:space="preserve"> du </w:t>
            </w:r>
            <w:r w:rsidR="00035FBF" w:rsidRPr="009B1AB6">
              <w:rPr>
                <w:rFonts w:ascii="Times New Roman" w:hAnsi="Times New Roman"/>
                <w:sz w:val="20"/>
              </w:rPr>
              <w:t xml:space="preserve">Règlement d’exécution (UE) </w:t>
            </w:r>
            <w:r w:rsidR="000C4A9C" w:rsidRPr="009B1AB6">
              <w:rPr>
                <w:rFonts w:ascii="Times New Roman" w:hAnsi="Times New Roman"/>
                <w:sz w:val="20"/>
              </w:rPr>
              <w:t>2015/24</w:t>
            </w:r>
            <w:r w:rsidR="00035FBF" w:rsidRPr="009B1AB6">
              <w:rPr>
                <w:rFonts w:ascii="Times New Roman" w:hAnsi="Times New Roman"/>
                <w:sz w:val="20"/>
              </w:rPr>
              <w:t>50</w:t>
            </w:r>
            <w:r w:rsidRPr="009B1AB6">
              <w:rPr>
                <w:rFonts w:ascii="Times New Roman" w:hAnsi="Times New Roman"/>
                <w:sz w:val="20"/>
              </w:rPr>
              <w:t xml:space="preserve">. Lorsqu’elle classe un dérivé selon le tableau des codes CIC, </w:t>
            </w:r>
            <w:r w:rsidR="006D71BF" w:rsidRPr="009B1AB6">
              <w:rPr>
                <w:rFonts w:ascii="Times New Roman" w:hAnsi="Times New Roman"/>
                <w:sz w:val="20"/>
              </w:rPr>
              <w:t>l’O</w:t>
            </w:r>
            <w:r w:rsidR="00E358E2" w:rsidRPr="009B1AB6">
              <w:rPr>
                <w:rFonts w:ascii="Times New Roman" w:hAnsi="Times New Roman"/>
                <w:sz w:val="20"/>
              </w:rPr>
              <w:t xml:space="preserve">RPS </w:t>
            </w:r>
            <w:r w:rsidRPr="009B1AB6">
              <w:rPr>
                <w:rFonts w:ascii="Times New Roman" w:hAnsi="Times New Roman"/>
                <w:sz w:val="20"/>
              </w:rPr>
              <w:t>doit tenir compte du risque le plus représentatif auquel le dérivé est exposé.</w:t>
            </w:r>
          </w:p>
        </w:tc>
      </w:tr>
      <w:tr w:rsidR="00467C0C" w:rsidRPr="009B1AB6" w14:paraId="4CEE64E0" w14:textId="77777777" w:rsidTr="00C16BFC">
        <w:trPr>
          <w:trHeight w:val="699"/>
        </w:trPr>
        <w:tc>
          <w:tcPr>
            <w:tcW w:w="1223" w:type="dxa"/>
            <w:hideMark/>
          </w:tcPr>
          <w:p w14:paraId="4F1661FC" w14:textId="54314CA3"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w:t>
            </w:r>
            <w:r w:rsidR="00467C0C" w:rsidRPr="009B1AB6">
              <w:rPr>
                <w:rFonts w:ascii="Times New Roman" w:hAnsi="Times New Roman"/>
                <w:sz w:val="20"/>
              </w:rPr>
              <w:t>410</w:t>
            </w:r>
          </w:p>
        </w:tc>
        <w:tc>
          <w:tcPr>
            <w:tcW w:w="1862" w:type="dxa"/>
            <w:hideMark/>
          </w:tcPr>
          <w:p w14:paraId="28B9E5DA"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Valeur de déclenchement</w:t>
            </w:r>
          </w:p>
        </w:tc>
        <w:tc>
          <w:tcPr>
            <w:tcW w:w="6237" w:type="dxa"/>
            <w:hideMark/>
          </w:tcPr>
          <w:p w14:paraId="7EB3A5D9"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 xml:space="preserve">Prix de référence pour les </w:t>
            </w:r>
            <w:r w:rsidRPr="009B1AB6">
              <w:rPr>
                <w:rFonts w:ascii="Times New Roman" w:hAnsi="Times New Roman"/>
                <w:i/>
                <w:sz w:val="20"/>
              </w:rPr>
              <w:t>futures</w:t>
            </w:r>
            <w:r w:rsidRPr="009B1AB6">
              <w:rPr>
                <w:rFonts w:ascii="Times New Roman" w:hAnsi="Times New Roman"/>
                <w:sz w:val="20"/>
              </w:rPr>
              <w:t xml:space="preserve">, prix d’exercice pour les options (pour les obligations, le prix est un pourcentage du montant au pair), taux de change ou taux d’intérêt pour les </w:t>
            </w:r>
            <w:r w:rsidRPr="009B1AB6">
              <w:rPr>
                <w:rFonts w:ascii="Times New Roman" w:hAnsi="Times New Roman"/>
                <w:i/>
                <w:sz w:val="20"/>
              </w:rPr>
              <w:t>forwards</w:t>
            </w:r>
            <w:r w:rsidRPr="009B1AB6">
              <w:rPr>
                <w:rFonts w:ascii="Times New Roman" w:hAnsi="Times New Roman"/>
                <w:sz w:val="20"/>
              </w:rPr>
              <w:t>, etc.</w:t>
            </w:r>
            <w:r w:rsidR="00FE79E2" w:rsidRPr="009B1AB6">
              <w:rPr>
                <w:rFonts w:ascii="Times New Roman" w:hAnsi="Times New Roman" w:cs="Times New Roman"/>
                <w:sz w:val="20"/>
                <w:szCs w:val="20"/>
              </w:rPr>
              <w:br/>
            </w:r>
            <w:r w:rsidRPr="009B1AB6">
              <w:rPr>
                <w:rFonts w:ascii="Times New Roman" w:hAnsi="Times New Roman"/>
                <w:sz w:val="20"/>
              </w:rPr>
              <w:lastRenderedPageBreak/>
              <w:t xml:space="preserve">Non applicable à la catégorie CIC D3 «Contrats d’échange </w:t>
            </w:r>
            <w:r w:rsidRPr="009B1AB6">
              <w:rPr>
                <w:rFonts w:ascii="Times New Roman" w:hAnsi="Times New Roman"/>
                <w:i/>
                <w:sz w:val="20"/>
              </w:rPr>
              <w:t xml:space="preserve">(swaps) </w:t>
            </w:r>
            <w:r w:rsidRPr="009B1AB6">
              <w:rPr>
                <w:rFonts w:ascii="Times New Roman" w:hAnsi="Times New Roman"/>
                <w:sz w:val="20"/>
              </w:rPr>
              <w:t xml:space="preserve">de taux d’intérêt et de change» Ne rien déclarer pour la catégorie CIC F1 «Contrats d’échange </w:t>
            </w:r>
            <w:r w:rsidRPr="009B1AB6">
              <w:rPr>
                <w:rFonts w:ascii="Times New Roman" w:hAnsi="Times New Roman"/>
                <w:i/>
                <w:sz w:val="20"/>
              </w:rPr>
              <w:t xml:space="preserve">(swaps) </w:t>
            </w:r>
            <w:r w:rsidRPr="009B1AB6">
              <w:rPr>
                <w:rFonts w:ascii="Times New Roman" w:hAnsi="Times New Roman"/>
                <w:sz w:val="20"/>
              </w:rPr>
              <w:t>sur risque de crédit» si ce n’est pas possible</w:t>
            </w:r>
            <w:r w:rsidRPr="009B1AB6">
              <w:rPr>
                <w:rFonts w:ascii="Times New Roman" w:hAnsi="Times New Roman"/>
                <w:i/>
                <w:sz w:val="20"/>
              </w:rPr>
              <w:t>.</w:t>
            </w:r>
            <w:r w:rsidR="00FE79E2" w:rsidRPr="009B1AB6">
              <w:rPr>
                <w:rFonts w:ascii="Times New Roman" w:hAnsi="Times New Roman" w:cs="Times New Roman"/>
                <w:sz w:val="20"/>
                <w:szCs w:val="20"/>
              </w:rPr>
              <w:br/>
            </w:r>
            <w:r w:rsidRPr="009B1AB6">
              <w:rPr>
                <w:rFonts w:ascii="Times New Roman" w:hAnsi="Times New Roman"/>
                <w:sz w:val="20"/>
              </w:rPr>
              <w:t>S’il y a plusieurs valeurs de déclenchement dans la durée, déclarer la prochaine valeur de déclenchement qui interviendra.</w:t>
            </w:r>
            <w:r w:rsidR="00FE79E2" w:rsidRPr="009B1AB6">
              <w:rPr>
                <w:rFonts w:ascii="Times New Roman" w:hAnsi="Times New Roman" w:cs="Times New Roman"/>
                <w:sz w:val="20"/>
                <w:szCs w:val="20"/>
              </w:rPr>
              <w:br/>
            </w:r>
            <w:r w:rsidRPr="009B1AB6">
              <w:rPr>
                <w:rFonts w:ascii="Times New Roman" w:hAnsi="Times New Roman"/>
                <w:sz w:val="20"/>
              </w:rPr>
              <w:t>Lorsque le dérivé a une plage de valeurs de déclenchement, séparer les valeurs par une virgule «,» si la plage n’est pas continue et par un tiret «–» si elle est continue.</w:t>
            </w:r>
          </w:p>
        </w:tc>
      </w:tr>
      <w:tr w:rsidR="00467C0C" w:rsidRPr="009B1AB6" w14:paraId="5E408048" w14:textId="77777777" w:rsidTr="0044578D">
        <w:trPr>
          <w:trHeight w:val="2715"/>
        </w:trPr>
        <w:tc>
          <w:tcPr>
            <w:tcW w:w="1223" w:type="dxa"/>
            <w:hideMark/>
          </w:tcPr>
          <w:p w14:paraId="70A0C6B4" w14:textId="17095B2F"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lastRenderedPageBreak/>
              <w:t>C04</w:t>
            </w:r>
            <w:r w:rsidR="00467C0C" w:rsidRPr="009B1AB6">
              <w:rPr>
                <w:rFonts w:ascii="Times New Roman" w:hAnsi="Times New Roman"/>
                <w:sz w:val="20"/>
              </w:rPr>
              <w:t>2</w:t>
            </w:r>
            <w:r w:rsidRPr="009B1AB6">
              <w:rPr>
                <w:rFonts w:ascii="Times New Roman" w:hAnsi="Times New Roman"/>
                <w:sz w:val="20"/>
              </w:rPr>
              <w:t>0</w:t>
            </w:r>
          </w:p>
        </w:tc>
        <w:tc>
          <w:tcPr>
            <w:tcW w:w="1862" w:type="dxa"/>
            <w:hideMark/>
          </w:tcPr>
          <w:p w14:paraId="62F3E5B8"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Déclencheur du dénouement du contrat</w:t>
            </w:r>
          </w:p>
        </w:tc>
        <w:tc>
          <w:tcPr>
            <w:tcW w:w="6237" w:type="dxa"/>
            <w:hideMark/>
          </w:tcPr>
          <w:p w14:paraId="41C0A746"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Indiquer l’événement entraînant le dénouement du contrat (hors expiration ou conditions contractuelles normales).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1 – Faillite de l’entité sous-jacente ou de référence</w:t>
            </w:r>
            <w:r w:rsidR="00FE79E2" w:rsidRPr="009B1AB6">
              <w:rPr>
                <w:rFonts w:ascii="Times New Roman" w:hAnsi="Times New Roman" w:cs="Times New Roman"/>
                <w:sz w:val="20"/>
                <w:szCs w:val="20"/>
              </w:rPr>
              <w:br/>
            </w:r>
            <w:r w:rsidRPr="009B1AB6">
              <w:rPr>
                <w:rFonts w:ascii="Times New Roman" w:hAnsi="Times New Roman"/>
                <w:sz w:val="20"/>
              </w:rPr>
              <w:t>2 – Chute de la valeur de l’actif de référence sous-jacent</w:t>
            </w:r>
            <w:r w:rsidR="00FE79E2" w:rsidRPr="009B1AB6">
              <w:rPr>
                <w:rFonts w:ascii="Times New Roman" w:hAnsi="Times New Roman" w:cs="Times New Roman"/>
                <w:sz w:val="20"/>
                <w:szCs w:val="20"/>
              </w:rPr>
              <w:br/>
            </w:r>
            <w:r w:rsidRPr="009B1AB6">
              <w:rPr>
                <w:rFonts w:ascii="Times New Roman" w:hAnsi="Times New Roman"/>
                <w:sz w:val="20"/>
              </w:rPr>
              <w:t>3 – Dégradation de la notation de crédit des actifs sous-jacents ou de l’entité sous-jacente</w:t>
            </w:r>
            <w:r w:rsidR="00FE79E2" w:rsidRPr="009B1AB6">
              <w:rPr>
                <w:rFonts w:ascii="Times New Roman" w:hAnsi="Times New Roman" w:cs="Times New Roman"/>
                <w:sz w:val="20"/>
                <w:szCs w:val="20"/>
              </w:rPr>
              <w:br/>
            </w:r>
            <w:r w:rsidRPr="009B1AB6">
              <w:rPr>
                <w:rFonts w:ascii="Times New Roman" w:hAnsi="Times New Roman"/>
                <w:sz w:val="20"/>
              </w:rPr>
              <w:t>4 – Novation, c’est-à-dire le fait de remplacer une obligation au titre du dérivé par une nouvelle obligation, ou de remplacer une partie du dérivé par une nouvelle partie</w:t>
            </w:r>
            <w:r w:rsidR="00FE79E2" w:rsidRPr="009B1AB6">
              <w:rPr>
                <w:rFonts w:ascii="Times New Roman" w:hAnsi="Times New Roman" w:cs="Times New Roman"/>
                <w:sz w:val="20"/>
                <w:szCs w:val="20"/>
              </w:rPr>
              <w:br/>
            </w:r>
            <w:r w:rsidRPr="009B1AB6">
              <w:rPr>
                <w:rFonts w:ascii="Times New Roman" w:hAnsi="Times New Roman"/>
                <w:sz w:val="20"/>
              </w:rPr>
              <w:t>5 – Plusieurs événements ou une combinaison d’événements</w:t>
            </w:r>
            <w:r w:rsidR="00FE79E2" w:rsidRPr="009B1AB6">
              <w:rPr>
                <w:rFonts w:ascii="Times New Roman" w:hAnsi="Times New Roman" w:cs="Times New Roman"/>
                <w:sz w:val="20"/>
                <w:szCs w:val="20"/>
              </w:rPr>
              <w:br/>
            </w:r>
            <w:r w:rsidRPr="009B1AB6">
              <w:rPr>
                <w:rFonts w:ascii="Times New Roman" w:hAnsi="Times New Roman"/>
                <w:sz w:val="20"/>
              </w:rPr>
              <w:t>6 – Autre événement non couvert par les options précédentes</w:t>
            </w:r>
          </w:p>
          <w:p w14:paraId="16DE03B2" w14:textId="77777777" w:rsidR="0095672C" w:rsidRPr="009B1AB6" w:rsidRDefault="0095672C" w:rsidP="0044578D">
            <w:pPr>
              <w:tabs>
                <w:tab w:val="left" w:pos="2246"/>
              </w:tabs>
              <w:spacing w:line="276" w:lineRule="auto"/>
              <w:rPr>
                <w:rFonts w:ascii="Times New Roman" w:hAnsi="Times New Roman" w:cs="Times New Roman"/>
                <w:sz w:val="20"/>
                <w:szCs w:val="20"/>
              </w:rPr>
            </w:pPr>
            <w:r w:rsidRPr="009B1AB6">
              <w:rPr>
                <w:rFonts w:ascii="Times New Roman" w:hAnsi="Times New Roman"/>
                <w:sz w:val="20"/>
              </w:rPr>
              <w:t>9 – Pas de déclencheur du dénouement</w:t>
            </w:r>
            <w:r w:rsidRPr="009B1AB6">
              <w:tab/>
            </w:r>
          </w:p>
        </w:tc>
      </w:tr>
      <w:tr w:rsidR="00467C0C" w:rsidRPr="009B1AB6" w14:paraId="020E91FB" w14:textId="77777777" w:rsidTr="0044578D">
        <w:trPr>
          <w:trHeight w:val="705"/>
        </w:trPr>
        <w:tc>
          <w:tcPr>
            <w:tcW w:w="1223" w:type="dxa"/>
            <w:hideMark/>
          </w:tcPr>
          <w:p w14:paraId="6B8621F8" w14:textId="4F49E8DD" w:rsidR="0095672C" w:rsidRPr="009B1AB6" w:rsidRDefault="0095672C" w:rsidP="00467C0C">
            <w:pPr>
              <w:pStyle w:val="Sansinterligne"/>
              <w:rPr>
                <w:rFonts w:ascii="Times New Roman" w:hAnsi="Times New Roman" w:cs="Times New Roman"/>
                <w:sz w:val="20"/>
                <w:szCs w:val="20"/>
              </w:rPr>
            </w:pPr>
            <w:r w:rsidRPr="009B1AB6">
              <w:rPr>
                <w:rFonts w:ascii="Times New Roman" w:hAnsi="Times New Roman"/>
                <w:sz w:val="20"/>
              </w:rPr>
              <w:t>C04</w:t>
            </w:r>
            <w:r w:rsidR="00467C0C" w:rsidRPr="009B1AB6">
              <w:rPr>
                <w:rFonts w:ascii="Times New Roman" w:hAnsi="Times New Roman"/>
                <w:sz w:val="20"/>
              </w:rPr>
              <w:t>3</w:t>
            </w:r>
            <w:r w:rsidRPr="009B1AB6">
              <w:rPr>
                <w:rFonts w:ascii="Times New Roman" w:hAnsi="Times New Roman"/>
                <w:sz w:val="20"/>
              </w:rPr>
              <w:t>0</w:t>
            </w:r>
          </w:p>
        </w:tc>
        <w:tc>
          <w:tcPr>
            <w:tcW w:w="1862" w:type="dxa"/>
            <w:hideMark/>
          </w:tcPr>
          <w:p w14:paraId="13D222CE"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Monnaie fournie au titre du contrat d’échange</w:t>
            </w:r>
          </w:p>
        </w:tc>
        <w:tc>
          <w:tcPr>
            <w:tcW w:w="6237" w:type="dxa"/>
            <w:hideMark/>
          </w:tcPr>
          <w:p w14:paraId="7F8DE81D"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Indiquer le code alphabétique ISO 4217 de la monnaie dans laquelle est libellé le prix du contrat d’échange (uniquement pour les swaps de devises et les swaps de taux d’intérêt et de devises).</w:t>
            </w:r>
          </w:p>
        </w:tc>
      </w:tr>
      <w:tr w:rsidR="00467C0C" w:rsidRPr="009B1AB6" w14:paraId="4F569507" w14:textId="77777777" w:rsidTr="0044578D">
        <w:trPr>
          <w:trHeight w:val="720"/>
        </w:trPr>
        <w:tc>
          <w:tcPr>
            <w:tcW w:w="1223" w:type="dxa"/>
            <w:hideMark/>
          </w:tcPr>
          <w:p w14:paraId="0402FDF7" w14:textId="2D8CC604"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467C0C" w:rsidRPr="009B1AB6">
              <w:rPr>
                <w:rFonts w:ascii="Times New Roman" w:hAnsi="Times New Roman"/>
                <w:sz w:val="20"/>
              </w:rPr>
              <w:t>044</w:t>
            </w:r>
            <w:r w:rsidRPr="009B1AB6">
              <w:rPr>
                <w:rFonts w:ascii="Times New Roman" w:hAnsi="Times New Roman"/>
                <w:sz w:val="20"/>
              </w:rPr>
              <w:t>0</w:t>
            </w:r>
          </w:p>
        </w:tc>
        <w:tc>
          <w:tcPr>
            <w:tcW w:w="1862" w:type="dxa"/>
            <w:hideMark/>
          </w:tcPr>
          <w:p w14:paraId="01D58D8E"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Monnaie reçue au titre du contrat d’échange</w:t>
            </w:r>
          </w:p>
        </w:tc>
        <w:tc>
          <w:tcPr>
            <w:tcW w:w="6237" w:type="dxa"/>
            <w:hideMark/>
          </w:tcPr>
          <w:p w14:paraId="78A43A1E"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Indiquer le code alphabétique ISO 4217 de la monnaie dans laquelle est libellé le montant notionnel du contrat d’échange (uniquement pour les swaps de devises et les swaps de taux d’intérêt et de devises).</w:t>
            </w:r>
          </w:p>
        </w:tc>
      </w:tr>
      <w:tr w:rsidR="00467C0C" w:rsidRPr="009B1AB6" w14:paraId="1E04535B" w14:textId="77777777" w:rsidTr="0044578D">
        <w:trPr>
          <w:trHeight w:val="690"/>
        </w:trPr>
        <w:tc>
          <w:tcPr>
            <w:tcW w:w="1223" w:type="dxa"/>
            <w:hideMark/>
          </w:tcPr>
          <w:p w14:paraId="47A0086E" w14:textId="53A172C6"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467C0C" w:rsidRPr="009B1AB6">
              <w:rPr>
                <w:rFonts w:ascii="Times New Roman" w:hAnsi="Times New Roman"/>
                <w:sz w:val="20"/>
              </w:rPr>
              <w:t>045</w:t>
            </w:r>
            <w:r w:rsidRPr="009B1AB6">
              <w:rPr>
                <w:rFonts w:ascii="Times New Roman" w:hAnsi="Times New Roman"/>
                <w:sz w:val="20"/>
              </w:rPr>
              <w:t>0</w:t>
            </w:r>
          </w:p>
        </w:tc>
        <w:tc>
          <w:tcPr>
            <w:tcW w:w="1862" w:type="dxa"/>
            <w:hideMark/>
          </w:tcPr>
          <w:p w14:paraId="61704A76"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Date d’échéance</w:t>
            </w:r>
          </w:p>
        </w:tc>
        <w:tc>
          <w:tcPr>
            <w:tcW w:w="6237" w:type="dxa"/>
            <w:hideMark/>
          </w:tcPr>
          <w:p w14:paraId="2BE57D4A" w14:textId="77777777" w:rsidR="0095672C" w:rsidRPr="009B1AB6" w:rsidRDefault="0095672C" w:rsidP="0044578D">
            <w:pPr>
              <w:spacing w:line="276" w:lineRule="auto"/>
              <w:rPr>
                <w:rFonts w:ascii="Times New Roman" w:hAnsi="Times New Roman" w:cs="Times New Roman"/>
                <w:sz w:val="20"/>
                <w:szCs w:val="20"/>
              </w:rPr>
            </w:pPr>
            <w:r w:rsidRPr="009B1AB6">
              <w:rPr>
                <w:rFonts w:ascii="Times New Roman" w:hAnsi="Times New Roman"/>
                <w:sz w:val="20"/>
              </w:rPr>
              <w:t>Indiquer le code ISO 8601 (aaaa-mm-jj) de la date de clôture du contrat dérivé, telle que contractuellement définie: date d’échéance, date d’expiration des options (européennes ou américaines), etc.</w:t>
            </w:r>
          </w:p>
        </w:tc>
      </w:tr>
    </w:tbl>
    <w:p w14:paraId="41EFF423" w14:textId="77777777" w:rsidR="00BA6EA2" w:rsidRPr="009B1AB6" w:rsidRDefault="00BA6EA2">
      <w:pPr>
        <w:rPr>
          <w:rFonts w:ascii="Times New Roman" w:hAnsi="Times New Roman"/>
          <w:b/>
          <w:sz w:val="20"/>
        </w:rPr>
      </w:pPr>
    </w:p>
    <w:p w14:paraId="05276448" w14:textId="176BA986" w:rsidR="006D71BF" w:rsidRPr="009B1AB6" w:rsidRDefault="006D71BF" w:rsidP="00421BF6">
      <w:pPr>
        <w:ind w:left="-113"/>
        <w:rPr>
          <w:rFonts w:ascii="Times New Roman" w:hAnsi="Times New Roman"/>
          <w:b/>
          <w:sz w:val="20"/>
        </w:rPr>
      </w:pPr>
      <w:r w:rsidRPr="009B1AB6">
        <w:rPr>
          <w:rFonts w:ascii="Times New Roman" w:hAnsi="Times New Roman"/>
          <w:b/>
          <w:sz w:val="20"/>
        </w:rPr>
        <w:t>Tableau</w:t>
      </w:r>
      <w:r w:rsidR="004957AE" w:rsidRPr="009B1AB6">
        <w:rPr>
          <w:rFonts w:ascii="Times New Roman" w:hAnsi="Times New Roman"/>
          <w:b/>
          <w:sz w:val="20"/>
        </w:rPr>
        <w:t>x</w:t>
      </w:r>
      <w:r w:rsidRPr="009B1AB6">
        <w:rPr>
          <w:rFonts w:ascii="Times New Roman" w:hAnsi="Times New Roman"/>
          <w:b/>
          <w:sz w:val="20"/>
        </w:rPr>
        <w:t xml:space="preserve"> de l’état</w:t>
      </w:r>
    </w:p>
    <w:p w14:paraId="1B3F2932" w14:textId="33F654E6" w:rsidR="00BA6EA2" w:rsidRPr="009B1AB6" w:rsidRDefault="00630CE6" w:rsidP="00630CE6">
      <w:pPr>
        <w:spacing w:after="100" w:afterAutospacing="1"/>
        <w:ind w:left="568" w:hanging="851"/>
        <w:rPr>
          <w:rFonts w:ascii="Times New Roman" w:hAnsi="Times New Roman"/>
          <w:b/>
          <w:sz w:val="20"/>
        </w:rPr>
      </w:pPr>
      <w:r w:rsidRPr="009B1AB6">
        <w:rPr>
          <w:rFonts w:ascii="Times New Roman" w:hAnsi="Times New Roman"/>
          <w:b/>
          <w:noProof/>
          <w:sz w:val="20"/>
          <w:lang w:bidi="ar-SA"/>
        </w:rPr>
        <w:drawing>
          <wp:inline distT="0" distB="0" distL="0" distR="0" wp14:anchorId="0C23D6F8" wp14:editId="77D3C317">
            <wp:extent cx="5815368" cy="3038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63871" cy="3063818"/>
                    </a:xfrm>
                    <a:prstGeom prst="rect">
                      <a:avLst/>
                    </a:prstGeom>
                  </pic:spPr>
                </pic:pic>
              </a:graphicData>
            </a:graphic>
          </wp:inline>
        </w:drawing>
      </w:r>
      <w:r w:rsidR="00BA6EA2" w:rsidRPr="009B1AB6">
        <w:rPr>
          <w:rFonts w:ascii="Times New Roman" w:hAnsi="Times New Roman"/>
          <w:b/>
          <w:sz w:val="20"/>
        </w:rPr>
        <w:br w:type="page"/>
      </w:r>
    </w:p>
    <w:p w14:paraId="28D11FB9" w14:textId="6BE78171" w:rsidR="00CF4C83" w:rsidRPr="009B1AB6" w:rsidRDefault="00630CE6" w:rsidP="00CF4C83">
      <w:pPr>
        <w:ind w:left="-113"/>
        <w:rPr>
          <w:rFonts w:ascii="Times New Roman" w:hAnsi="Times New Roman"/>
          <w:b/>
          <w:sz w:val="20"/>
        </w:rPr>
      </w:pPr>
      <w:r w:rsidRPr="009B1AB6">
        <w:rPr>
          <w:rFonts w:ascii="Times New Roman" w:hAnsi="Times New Roman"/>
          <w:b/>
          <w:noProof/>
          <w:sz w:val="20"/>
          <w:lang w:bidi="ar-SA"/>
        </w:rPr>
        <w:lastRenderedPageBreak/>
        <w:drawing>
          <wp:inline distT="0" distB="0" distL="0" distR="0" wp14:anchorId="6404A02F" wp14:editId="428E65E3">
            <wp:extent cx="5731510" cy="2153920"/>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153920"/>
                    </a:xfrm>
                    <a:prstGeom prst="rect">
                      <a:avLst/>
                    </a:prstGeom>
                  </pic:spPr>
                </pic:pic>
              </a:graphicData>
            </a:graphic>
          </wp:inline>
        </w:drawing>
      </w:r>
    </w:p>
    <w:p w14:paraId="597FE2FA" w14:textId="79BAC63C" w:rsidR="0095672C" w:rsidRPr="009B1AB6" w:rsidRDefault="00940479">
      <w:pPr>
        <w:rPr>
          <w:rFonts w:ascii="Times New Roman" w:hAnsi="Times New Roman"/>
          <w:b/>
          <w:sz w:val="20"/>
        </w:rPr>
      </w:pPr>
      <w:r w:rsidRPr="009B1AB6">
        <w:rPr>
          <w:rFonts w:ascii="Times New Roman" w:hAnsi="Times New Roman"/>
          <w:b/>
          <w:sz w:val="20"/>
        </w:rPr>
        <w:t>RP.0</w:t>
      </w:r>
      <w:r w:rsidR="0095672C" w:rsidRPr="009B1AB6">
        <w:rPr>
          <w:rFonts w:ascii="Times New Roman" w:hAnsi="Times New Roman"/>
          <w:b/>
          <w:sz w:val="20"/>
        </w:rPr>
        <w:t>8.02</w:t>
      </w:r>
      <w:r w:rsidR="003071F2" w:rsidRPr="009B1AB6">
        <w:rPr>
          <w:rFonts w:ascii="Times New Roman" w:hAnsi="Times New Roman"/>
          <w:b/>
          <w:sz w:val="20"/>
        </w:rPr>
        <w:t>.01</w:t>
      </w:r>
      <w:r w:rsidR="0095672C" w:rsidRPr="009B1AB6">
        <w:rPr>
          <w:rFonts w:ascii="Times New Roman" w:hAnsi="Times New Roman"/>
          <w:b/>
          <w:sz w:val="20"/>
        </w:rPr>
        <w:t xml:space="preserve"> – Transactions sur produits dérivés </w:t>
      </w:r>
    </w:p>
    <w:p w14:paraId="1A337B5F" w14:textId="77777777" w:rsidR="0095672C" w:rsidRPr="009B1AB6" w:rsidRDefault="0095672C">
      <w:pPr>
        <w:rPr>
          <w:rFonts w:ascii="Times New Roman" w:hAnsi="Times New Roman"/>
          <w:b/>
          <w:sz w:val="20"/>
        </w:rPr>
      </w:pPr>
      <w:r w:rsidRPr="009B1AB6">
        <w:rPr>
          <w:rFonts w:ascii="Times New Roman" w:hAnsi="Times New Roman"/>
          <w:b/>
          <w:sz w:val="20"/>
        </w:rPr>
        <w:t>Observations générales</w:t>
      </w:r>
    </w:p>
    <w:p w14:paraId="3947361E" w14:textId="3F73721D"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 xml:space="preserve">Ce modèle contient une liste, élément par élément, des positions fermées sur des produits dérivés qui sont détenus directement par </w:t>
      </w:r>
      <w:r w:rsidR="006D71BF" w:rsidRPr="009B1AB6">
        <w:rPr>
          <w:rFonts w:ascii="Times New Roman" w:hAnsi="Times New Roman"/>
          <w:sz w:val="20"/>
        </w:rPr>
        <w:t>l’O</w:t>
      </w:r>
      <w:r w:rsidR="00482CC5" w:rsidRPr="009B1AB6">
        <w:rPr>
          <w:rFonts w:ascii="Times New Roman" w:hAnsi="Times New Roman"/>
          <w:sz w:val="20"/>
        </w:rPr>
        <w:t xml:space="preserve">RPS </w:t>
      </w:r>
      <w:r w:rsidRPr="009B1AB6">
        <w:rPr>
          <w:rFonts w:ascii="Times New Roman" w:hAnsi="Times New Roman"/>
          <w:sz w:val="20"/>
        </w:rPr>
        <w:t>(c’est-à-dire non</w:t>
      </w:r>
      <w:r w:rsidR="00317D7F" w:rsidRPr="009B1AB6">
        <w:rPr>
          <w:rFonts w:ascii="Times New Roman" w:hAnsi="Times New Roman"/>
          <w:sz w:val="20"/>
        </w:rPr>
        <w:t xml:space="preserve"> « par</w:t>
      </w:r>
      <w:r w:rsidRPr="009B1AB6">
        <w:rPr>
          <w:rFonts w:ascii="Times New Roman" w:hAnsi="Times New Roman"/>
          <w:sz w:val="20"/>
        </w:rPr>
        <w:t xml:space="preserve"> </w:t>
      </w:r>
      <w:r w:rsidR="00317D7F" w:rsidRPr="009B1AB6">
        <w:rPr>
          <w:rFonts w:ascii="Times New Roman" w:hAnsi="Times New Roman"/>
          <w:sz w:val="20"/>
        </w:rPr>
        <w:t>transparence »</w:t>
      </w:r>
      <w:r w:rsidRPr="009B1AB6">
        <w:rPr>
          <w:rFonts w:ascii="Times New Roman" w:hAnsi="Times New Roman"/>
          <w:sz w:val="20"/>
        </w:rPr>
        <w:t xml:space="preserve">). Lorsqu’un contrat reste ouvert, mais a été réduit, déclarer la partie fermée. </w:t>
      </w:r>
    </w:p>
    <w:p w14:paraId="5A3C1799" w14:textId="77777777" w:rsidR="0095672C" w:rsidRPr="009B1AB6" w:rsidRDefault="0095672C" w:rsidP="00950116">
      <w:pPr>
        <w:spacing w:before="240"/>
        <w:jc w:val="both"/>
        <w:rPr>
          <w:rFonts w:ascii="Times New Roman" w:hAnsi="Times New Roman" w:cs="Times New Roman"/>
          <w:bCs/>
          <w:sz w:val="20"/>
          <w:szCs w:val="20"/>
        </w:rPr>
      </w:pPr>
      <w:r w:rsidRPr="009B1AB6">
        <w:rPr>
          <w:rFonts w:ascii="Times New Roman" w:hAnsi="Times New Roman"/>
          <w:sz w:val="20"/>
        </w:rPr>
        <w:t>Les positions fermées sur dérivés sont des positions qui étaient ouvertes à un moment de la période de référence (c’est-à-dire au dernier trimestre si le modèle est présenté trimestriellement, ou au cours de l’année précédente si le modèle n’est présenté qu’une fois par an), mais qui ont été fermées avant la fin de la période de référence.</w:t>
      </w:r>
    </w:p>
    <w:p w14:paraId="4E622545" w14:textId="4054D162" w:rsidR="0095672C" w:rsidRPr="009B1AB6" w:rsidRDefault="0095672C" w:rsidP="00950116">
      <w:pPr>
        <w:spacing w:before="240"/>
        <w:jc w:val="both"/>
        <w:rPr>
          <w:rFonts w:ascii="Times New Roman" w:hAnsi="Times New Roman" w:cs="Times New Roman"/>
          <w:bCs/>
          <w:sz w:val="20"/>
          <w:szCs w:val="20"/>
        </w:rPr>
      </w:pPr>
      <w:r w:rsidRPr="009B1AB6">
        <w:rPr>
          <w:rFonts w:ascii="Times New Roman" w:hAnsi="Times New Roman"/>
          <w:sz w:val="20"/>
        </w:rPr>
        <w:t xml:space="preserve">En cas d’échanges fréquents sur un même dérivé, le dérivé peut faire l’objet d’une déclaration sur une base agrégée ou nette (avec indication des dates du premier et </w:t>
      </w:r>
      <w:r w:rsidR="00317D7F" w:rsidRPr="009B1AB6">
        <w:rPr>
          <w:rFonts w:ascii="Times New Roman" w:hAnsi="Times New Roman"/>
          <w:sz w:val="20"/>
        </w:rPr>
        <w:t>du dernier échange</w:t>
      </w:r>
      <w:r w:rsidRPr="009B1AB6">
        <w:rPr>
          <w:rFonts w:ascii="Times New Roman" w:hAnsi="Times New Roman"/>
          <w:sz w:val="20"/>
        </w:rPr>
        <w:t xml:space="preserve"> uniquement), pour autant que toutes les caractéristiques pertinentes soient communes et que l’instruction spécifique pour chaque élément à déclarer soit respectée.</w:t>
      </w:r>
    </w:p>
    <w:p w14:paraId="263C95FE" w14:textId="77777777" w:rsidR="0095672C" w:rsidRPr="009B1AB6" w:rsidRDefault="0095672C" w:rsidP="00950116">
      <w:pPr>
        <w:jc w:val="both"/>
        <w:rPr>
          <w:rFonts w:ascii="Times New Roman" w:hAnsi="Times New Roman" w:cs="Times New Roman"/>
          <w:bCs/>
          <w:sz w:val="20"/>
          <w:szCs w:val="20"/>
        </w:rPr>
      </w:pPr>
      <w:r w:rsidRPr="009B1AB6">
        <w:rPr>
          <w:rFonts w:ascii="Times New Roman" w:hAnsi="Times New Roman"/>
          <w:sz w:val="20"/>
        </w:rPr>
        <w:t>Les éléments déclarés doivent avoir une valeur positive, sauf indication contraire dans les instructions.</w:t>
      </w:r>
    </w:p>
    <w:p w14:paraId="7D530783" w14:textId="4DF3B2BE" w:rsidR="0095672C" w:rsidRPr="009B1AB6" w:rsidRDefault="0095672C" w:rsidP="00950116">
      <w:pPr>
        <w:spacing w:after="120"/>
        <w:jc w:val="both"/>
        <w:rPr>
          <w:rFonts w:ascii="Times New Roman" w:hAnsi="Times New Roman" w:cs="Times New Roman"/>
          <w:bCs/>
          <w:sz w:val="20"/>
          <w:szCs w:val="20"/>
        </w:rPr>
      </w:pPr>
      <w:r w:rsidRPr="009B1AB6">
        <w:rPr>
          <w:rFonts w:ascii="Times New Roman" w:hAnsi="Times New Roman"/>
          <w:sz w:val="20"/>
        </w:rPr>
        <w:t xml:space="preserve">Un dérivé est </w:t>
      </w:r>
      <w:r w:rsidR="00791304" w:rsidRPr="009B1AB6">
        <w:rPr>
          <w:rFonts w:ascii="Times New Roman" w:hAnsi="Times New Roman"/>
          <w:sz w:val="20"/>
        </w:rPr>
        <w:t xml:space="preserve">un </w:t>
      </w:r>
      <w:r w:rsidRPr="009B1AB6">
        <w:rPr>
          <w:rFonts w:ascii="Times New Roman" w:hAnsi="Times New Roman"/>
          <w:sz w:val="20"/>
        </w:rPr>
        <w:t>instrument financier ou un autre contrat présentant l’ensemble des trois caractéristiques suivantes:</w:t>
      </w:r>
    </w:p>
    <w:p w14:paraId="75542F69" w14:textId="5F4A062D" w:rsidR="0095672C" w:rsidRPr="009B1AB6" w:rsidRDefault="0095672C" w:rsidP="0044578D">
      <w:pPr>
        <w:pStyle w:val="Paragraphedeliste"/>
        <w:numPr>
          <w:ilvl w:val="0"/>
          <w:numId w:val="62"/>
        </w:numPr>
        <w:spacing w:after="200" w:line="276" w:lineRule="auto"/>
        <w:rPr>
          <w:bCs/>
          <w:sz w:val="20"/>
        </w:rPr>
      </w:pPr>
      <w:r w:rsidRPr="009B1AB6">
        <w:rPr>
          <w:sz w:val="20"/>
        </w:rPr>
        <w:t>sa valeur varie en fonction d’une variation d’un taux d’intérêt spécifié, du prix d’un instrument financier, du prix d’une marchandise, d’un cours de change, d’un indice de prix ou de taux, d’une notation de crédit ou d’un indice de crédit ou d’une autre variable, à condition que dans le cas d’une variable non financière, la variable ne soit pas spécifique à une des parties au contrat (parfois appelé le</w:t>
      </w:r>
      <w:r w:rsidR="00317D7F" w:rsidRPr="009B1AB6">
        <w:rPr>
          <w:sz w:val="20"/>
        </w:rPr>
        <w:t xml:space="preserve"> « sous</w:t>
      </w:r>
      <w:r w:rsidRPr="009B1AB6">
        <w:rPr>
          <w:sz w:val="20"/>
        </w:rPr>
        <w:t>-</w:t>
      </w:r>
      <w:r w:rsidR="00317D7F" w:rsidRPr="009B1AB6">
        <w:rPr>
          <w:sz w:val="20"/>
        </w:rPr>
        <w:t>jacent »</w:t>
      </w:r>
      <w:r w:rsidRPr="009B1AB6">
        <w:rPr>
          <w:sz w:val="20"/>
        </w:rPr>
        <w:t>);</w:t>
      </w:r>
    </w:p>
    <w:p w14:paraId="39ABD50B" w14:textId="77777777" w:rsidR="0095672C" w:rsidRPr="009B1AB6" w:rsidRDefault="0095672C" w:rsidP="0044578D">
      <w:pPr>
        <w:pStyle w:val="Paragraphedeliste"/>
        <w:numPr>
          <w:ilvl w:val="0"/>
          <w:numId w:val="62"/>
        </w:numPr>
        <w:spacing w:after="200" w:line="276" w:lineRule="auto"/>
        <w:rPr>
          <w:bCs/>
          <w:sz w:val="20"/>
        </w:rPr>
      </w:pPr>
      <w:r w:rsidRPr="009B1AB6">
        <w:rPr>
          <w:sz w:val="20"/>
        </w:rPr>
        <w:t>il ne requiert aucun placement net initial ou un placement net initial inférieur à celui qui serait nécessaire pour d’autres types de contrats dont on pourrait attendre des réactions similaires aux évolutions des conditions du marché;</w:t>
      </w:r>
    </w:p>
    <w:p w14:paraId="1018D141" w14:textId="77777777" w:rsidR="0095672C" w:rsidRPr="009B1AB6" w:rsidRDefault="0095672C" w:rsidP="0044578D">
      <w:pPr>
        <w:pStyle w:val="Paragraphedeliste"/>
        <w:numPr>
          <w:ilvl w:val="0"/>
          <w:numId w:val="62"/>
        </w:numPr>
        <w:spacing w:after="200" w:line="276" w:lineRule="auto"/>
        <w:rPr>
          <w:bCs/>
          <w:sz w:val="20"/>
        </w:rPr>
      </w:pPr>
      <w:r w:rsidRPr="009B1AB6">
        <w:rPr>
          <w:sz w:val="20"/>
        </w:rPr>
        <w:t>il est réglé à une date future.</w:t>
      </w:r>
    </w:p>
    <w:p w14:paraId="23205E51" w14:textId="3D890889"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Ce modèle se compose de deux tableaux:</w:t>
      </w:r>
      <w:r w:rsidR="00317D7F" w:rsidRPr="009B1AB6">
        <w:rPr>
          <w:rFonts w:ascii="Times New Roman" w:hAnsi="Times New Roman"/>
          <w:sz w:val="20"/>
        </w:rPr>
        <w:t xml:space="preserve"> « Informations</w:t>
      </w:r>
      <w:r w:rsidRPr="009B1AB6">
        <w:rPr>
          <w:rFonts w:ascii="Times New Roman" w:hAnsi="Times New Roman"/>
          <w:sz w:val="20"/>
        </w:rPr>
        <w:t xml:space="preserve"> sur les positions </w:t>
      </w:r>
      <w:r w:rsidR="00317D7F" w:rsidRPr="009B1AB6">
        <w:rPr>
          <w:rFonts w:ascii="Times New Roman" w:hAnsi="Times New Roman"/>
          <w:sz w:val="20"/>
        </w:rPr>
        <w:t>détenues »</w:t>
      </w:r>
      <w:r w:rsidRPr="009B1AB6">
        <w:rPr>
          <w:rFonts w:ascii="Times New Roman" w:hAnsi="Times New Roman"/>
          <w:sz w:val="20"/>
        </w:rPr>
        <w:t xml:space="preserve"> et</w:t>
      </w:r>
      <w:r w:rsidR="00317D7F" w:rsidRPr="009B1AB6">
        <w:rPr>
          <w:rFonts w:ascii="Times New Roman" w:hAnsi="Times New Roman"/>
          <w:sz w:val="20"/>
        </w:rPr>
        <w:t xml:space="preserve"> « Informations</w:t>
      </w:r>
      <w:r w:rsidRPr="009B1AB6">
        <w:rPr>
          <w:rFonts w:ascii="Times New Roman" w:hAnsi="Times New Roman"/>
          <w:sz w:val="20"/>
        </w:rPr>
        <w:t xml:space="preserve"> sur les </w:t>
      </w:r>
      <w:r w:rsidR="00317D7F" w:rsidRPr="009B1AB6">
        <w:rPr>
          <w:rFonts w:ascii="Times New Roman" w:hAnsi="Times New Roman"/>
          <w:sz w:val="20"/>
        </w:rPr>
        <w:t>dérivés »</w:t>
      </w:r>
      <w:r w:rsidRPr="009B1AB6">
        <w:rPr>
          <w:rFonts w:ascii="Times New Roman" w:hAnsi="Times New Roman"/>
          <w:sz w:val="20"/>
        </w:rPr>
        <w:t>.</w:t>
      </w:r>
    </w:p>
    <w:p w14:paraId="2BCF09A4" w14:textId="57EAEAB8"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Dans le tableau</w:t>
      </w:r>
      <w:r w:rsidR="00317D7F" w:rsidRPr="009B1AB6">
        <w:rPr>
          <w:rFonts w:ascii="Times New Roman" w:hAnsi="Times New Roman"/>
          <w:sz w:val="20"/>
        </w:rPr>
        <w:t xml:space="preserve"> « Informations</w:t>
      </w:r>
      <w:r w:rsidRPr="009B1AB6">
        <w:rPr>
          <w:rFonts w:ascii="Times New Roman" w:hAnsi="Times New Roman"/>
          <w:sz w:val="20"/>
        </w:rPr>
        <w:t xml:space="preserve"> sur les positions </w:t>
      </w:r>
      <w:r w:rsidR="00317D7F" w:rsidRPr="009B1AB6">
        <w:rPr>
          <w:rFonts w:ascii="Times New Roman" w:hAnsi="Times New Roman"/>
          <w:sz w:val="20"/>
        </w:rPr>
        <w:t>détenues »</w:t>
      </w:r>
      <w:r w:rsidRPr="009B1AB6">
        <w:rPr>
          <w:rFonts w:ascii="Times New Roman" w:hAnsi="Times New Roman"/>
          <w:sz w:val="20"/>
        </w:rPr>
        <w:t>, chaque dérivé doit être déclaré séparément, et il convient d’utiliser autant de lignes que nécessaire pour compléter dûment tous les éléments requis dans ce tableau. Si deux valeurs peuvent être attribuées à une variable pour un même dérivé, celui-ci doit être déclaré sur plus d’une ligne.</w:t>
      </w:r>
    </w:p>
    <w:p w14:paraId="40B1A59B" w14:textId="77777777"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t>En particulier, pour les dérivés comportant plus d’une paire de devises, il convient de scinder les composantes des paires et de les déclarer sur des lignes différentes.</w:t>
      </w:r>
    </w:p>
    <w:p w14:paraId="7A2AFAA8" w14:textId="5F42D9FF" w:rsidR="0095672C" w:rsidRPr="009B1AB6" w:rsidRDefault="0095672C" w:rsidP="00950116">
      <w:pPr>
        <w:jc w:val="both"/>
        <w:rPr>
          <w:rFonts w:ascii="Times New Roman" w:hAnsi="Times New Roman" w:cs="Times New Roman"/>
          <w:sz w:val="20"/>
          <w:szCs w:val="20"/>
        </w:rPr>
      </w:pPr>
      <w:r w:rsidRPr="009B1AB6">
        <w:rPr>
          <w:rFonts w:ascii="Times New Roman" w:hAnsi="Times New Roman"/>
          <w:sz w:val="20"/>
        </w:rPr>
        <w:lastRenderedPageBreak/>
        <w:t>Dans le tableau</w:t>
      </w:r>
      <w:r w:rsidR="00317D7F" w:rsidRPr="009B1AB6">
        <w:rPr>
          <w:rFonts w:ascii="Times New Roman" w:hAnsi="Times New Roman"/>
          <w:sz w:val="20"/>
        </w:rPr>
        <w:t xml:space="preserve"> « Informations</w:t>
      </w:r>
      <w:r w:rsidRPr="009B1AB6">
        <w:rPr>
          <w:rFonts w:ascii="Times New Roman" w:hAnsi="Times New Roman"/>
          <w:sz w:val="20"/>
        </w:rPr>
        <w:t xml:space="preserve"> sur les </w:t>
      </w:r>
      <w:r w:rsidR="00317D7F" w:rsidRPr="009B1AB6">
        <w:rPr>
          <w:rFonts w:ascii="Times New Roman" w:hAnsi="Times New Roman"/>
          <w:sz w:val="20"/>
        </w:rPr>
        <w:t>dérivés »</w:t>
      </w:r>
      <w:r w:rsidRPr="009B1AB6">
        <w:rPr>
          <w:rFonts w:ascii="Times New Roman" w:hAnsi="Times New Roman"/>
          <w:sz w:val="20"/>
        </w:rPr>
        <w:t>, il convient de déclarer chaque dérivé séparément, à raison d’une ligne par dérivé, en complétant toutes les variables requises dans ce tableau.</w:t>
      </w:r>
    </w:p>
    <w:tbl>
      <w:tblPr>
        <w:tblStyle w:val="Grilledutableau"/>
        <w:tblW w:w="9383" w:type="dxa"/>
        <w:tblLook w:val="04A0" w:firstRow="1" w:lastRow="0" w:firstColumn="1" w:lastColumn="0" w:noHBand="0" w:noVBand="1"/>
      </w:tblPr>
      <w:tblGrid>
        <w:gridCol w:w="1194"/>
        <w:gridCol w:w="2388"/>
        <w:gridCol w:w="5801"/>
      </w:tblGrid>
      <w:tr w:rsidR="0095672C" w:rsidRPr="009B1AB6" w14:paraId="30DCD8D8" w14:textId="77777777" w:rsidTr="00950116">
        <w:trPr>
          <w:trHeight w:val="423"/>
        </w:trPr>
        <w:tc>
          <w:tcPr>
            <w:tcW w:w="3582" w:type="dxa"/>
            <w:gridSpan w:val="2"/>
            <w:tcBorders>
              <w:top w:val="single" w:sz="4" w:space="0" w:color="auto"/>
              <w:left w:val="single" w:sz="4" w:space="0" w:color="auto"/>
              <w:bottom w:val="single" w:sz="4" w:space="0" w:color="auto"/>
              <w:right w:val="nil"/>
            </w:tcBorders>
          </w:tcPr>
          <w:p w14:paraId="5DDEE695" w14:textId="77777777" w:rsidR="0095672C" w:rsidRPr="009B1AB6" w:rsidRDefault="0095672C" w:rsidP="00950116">
            <w:pPr>
              <w:jc w:val="both"/>
              <w:rPr>
                <w:rFonts w:ascii="Times New Roman" w:hAnsi="Times New Roman" w:cs="Times New Roman"/>
                <w:b/>
                <w:sz w:val="20"/>
                <w:szCs w:val="20"/>
              </w:rPr>
            </w:pPr>
            <w:r w:rsidRPr="009B1AB6">
              <w:rPr>
                <w:rFonts w:ascii="Times New Roman" w:hAnsi="Times New Roman"/>
                <w:b/>
                <w:sz w:val="20"/>
              </w:rPr>
              <w:t>Informations sur les positions détenues</w:t>
            </w:r>
          </w:p>
          <w:p w14:paraId="4B40BD2B" w14:textId="77777777" w:rsidR="0095672C" w:rsidRPr="009B1AB6" w:rsidRDefault="0095672C" w:rsidP="00950116">
            <w:pPr>
              <w:rPr>
                <w:rFonts w:ascii="Times New Roman" w:hAnsi="Times New Roman" w:cs="Times New Roman"/>
                <w:sz w:val="20"/>
                <w:szCs w:val="20"/>
              </w:rPr>
            </w:pPr>
          </w:p>
        </w:tc>
        <w:tc>
          <w:tcPr>
            <w:tcW w:w="5801" w:type="dxa"/>
            <w:tcBorders>
              <w:top w:val="single" w:sz="4" w:space="0" w:color="auto"/>
              <w:left w:val="nil"/>
              <w:bottom w:val="single" w:sz="4" w:space="0" w:color="auto"/>
              <w:right w:val="single" w:sz="4" w:space="0" w:color="auto"/>
            </w:tcBorders>
          </w:tcPr>
          <w:p w14:paraId="0DA5E8B3" w14:textId="77777777" w:rsidR="0095672C" w:rsidRPr="009B1AB6" w:rsidRDefault="0095672C" w:rsidP="00950116">
            <w:pPr>
              <w:rPr>
                <w:rFonts w:ascii="Times New Roman" w:hAnsi="Times New Roman" w:cs="Times New Roman"/>
                <w:sz w:val="20"/>
                <w:szCs w:val="20"/>
              </w:rPr>
            </w:pPr>
          </w:p>
        </w:tc>
      </w:tr>
      <w:tr w:rsidR="0095672C" w:rsidRPr="009B1AB6" w14:paraId="1702E5F0" w14:textId="77777777" w:rsidTr="00950116">
        <w:trPr>
          <w:trHeight w:val="204"/>
        </w:trPr>
        <w:tc>
          <w:tcPr>
            <w:tcW w:w="1194" w:type="dxa"/>
            <w:tcBorders>
              <w:bottom w:val="single" w:sz="4" w:space="0" w:color="auto"/>
            </w:tcBorders>
            <w:noWrap/>
            <w:vAlign w:val="center"/>
            <w:hideMark/>
          </w:tcPr>
          <w:p w14:paraId="2377AAB1" w14:textId="77777777" w:rsidR="0095672C" w:rsidRPr="009B1AB6" w:rsidRDefault="0095672C">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14:paraId="40DC0212" w14:textId="77777777" w:rsidR="0095672C" w:rsidRPr="009B1AB6" w:rsidRDefault="0095672C">
            <w:pPr>
              <w:spacing w:after="200" w:line="276" w:lineRule="auto"/>
              <w:jc w:val="center"/>
              <w:rPr>
                <w:rFonts w:ascii="Times New Roman" w:hAnsi="Times New Roman" w:cs="Times New Roman"/>
                <w:b/>
                <w:bCs/>
                <w:sz w:val="20"/>
                <w:szCs w:val="20"/>
              </w:rPr>
            </w:pPr>
            <w:r w:rsidRPr="009B1AB6">
              <w:rPr>
                <w:rFonts w:ascii="Times New Roman" w:hAnsi="Times New Roman"/>
                <w:b/>
                <w:sz w:val="20"/>
              </w:rPr>
              <w:t>ÉLÉMENT À DÉCLARER</w:t>
            </w:r>
          </w:p>
        </w:tc>
        <w:tc>
          <w:tcPr>
            <w:tcW w:w="5801" w:type="dxa"/>
            <w:tcBorders>
              <w:bottom w:val="single" w:sz="4" w:space="0" w:color="auto"/>
            </w:tcBorders>
            <w:vAlign w:val="center"/>
            <w:hideMark/>
          </w:tcPr>
          <w:p w14:paraId="5348481A" w14:textId="77777777" w:rsidR="0095672C" w:rsidRPr="009B1AB6" w:rsidRDefault="0095672C">
            <w:pPr>
              <w:spacing w:after="200" w:line="276" w:lineRule="auto"/>
              <w:jc w:val="center"/>
              <w:rPr>
                <w:rFonts w:ascii="Times New Roman" w:hAnsi="Times New Roman" w:cs="Times New Roman"/>
                <w:b/>
                <w:bCs/>
                <w:sz w:val="20"/>
                <w:szCs w:val="20"/>
              </w:rPr>
            </w:pPr>
            <w:r w:rsidRPr="009B1AB6">
              <w:rPr>
                <w:rFonts w:ascii="Times New Roman" w:hAnsi="Times New Roman"/>
                <w:b/>
                <w:sz w:val="20"/>
              </w:rPr>
              <w:t>INSTRUCTIONS</w:t>
            </w:r>
          </w:p>
        </w:tc>
      </w:tr>
      <w:tr w:rsidR="0095672C" w:rsidRPr="009B1AB6" w14:paraId="03125BA8" w14:textId="77777777" w:rsidTr="00950116">
        <w:trPr>
          <w:trHeight w:val="1575"/>
        </w:trPr>
        <w:tc>
          <w:tcPr>
            <w:tcW w:w="1194" w:type="dxa"/>
            <w:tcBorders>
              <w:top w:val="single" w:sz="4" w:space="0" w:color="auto"/>
            </w:tcBorders>
            <w:hideMark/>
          </w:tcPr>
          <w:p w14:paraId="653BEF84" w14:textId="7E663A49"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t>C00</w:t>
            </w:r>
            <w:r w:rsidR="006B5EDA" w:rsidRPr="009B1AB6">
              <w:rPr>
                <w:rFonts w:ascii="Times New Roman" w:hAnsi="Times New Roman"/>
                <w:sz w:val="20"/>
              </w:rPr>
              <w:t>1</w:t>
            </w:r>
            <w:r w:rsidRPr="009B1AB6">
              <w:rPr>
                <w:rFonts w:ascii="Times New Roman" w:hAnsi="Times New Roman"/>
                <w:sz w:val="20"/>
              </w:rPr>
              <w:t>0</w:t>
            </w:r>
          </w:p>
        </w:tc>
        <w:tc>
          <w:tcPr>
            <w:tcW w:w="2388" w:type="dxa"/>
            <w:tcBorders>
              <w:top w:val="single" w:sz="4" w:space="0" w:color="auto"/>
            </w:tcBorders>
            <w:hideMark/>
          </w:tcPr>
          <w:p w14:paraId="47609828"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Code d’identification du dérivé</w:t>
            </w:r>
          </w:p>
        </w:tc>
        <w:tc>
          <w:tcPr>
            <w:tcW w:w="5801" w:type="dxa"/>
            <w:tcBorders>
              <w:top w:val="single" w:sz="4" w:space="0" w:color="auto"/>
            </w:tcBorders>
            <w:hideMark/>
          </w:tcPr>
          <w:p w14:paraId="5FBA2460" w14:textId="2455729A" w:rsidR="0095672C" w:rsidRPr="009B1AB6" w:rsidRDefault="0095672C" w:rsidP="00482CC5">
            <w:pPr>
              <w:spacing w:after="200"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du dérivé, par ordre de priorité suivant: </w:t>
            </w:r>
            <w:r w:rsidR="00FE79E2" w:rsidRPr="009B1AB6">
              <w:rPr>
                <w:rFonts w:ascii="Times New Roman" w:hAnsi="Times New Roman" w:cs="Times New Roman"/>
                <w:sz w:val="20"/>
                <w:szCs w:val="20"/>
              </w:rPr>
              <w:br/>
            </w:r>
            <w:r w:rsidRPr="009B1AB6">
              <w:rPr>
                <w:rFonts w:ascii="Times New Roman" w:hAnsi="Times New Roman"/>
                <w:sz w:val="20"/>
              </w:rPr>
              <w:t xml:space="preserve">  – code ISIN de l’ISO 6166 si disponible</w:t>
            </w:r>
            <w:r w:rsidR="00FE79E2" w:rsidRPr="009B1AB6">
              <w:rPr>
                <w:rFonts w:ascii="Times New Roman" w:hAnsi="Times New Roman" w:cs="Times New Roman"/>
                <w:sz w:val="20"/>
                <w:szCs w:val="20"/>
              </w:rPr>
              <w:br/>
            </w:r>
            <w:r w:rsidRPr="009B1AB6">
              <w:rPr>
                <w:rFonts w:ascii="Times New Roman" w:hAnsi="Times New Roman"/>
                <w:sz w:val="20"/>
              </w:rPr>
              <w:t xml:space="preserve">  – autres codes reconnus (tels que CUSIP, Bloomberg Ticker, Reuters RIC)</w:t>
            </w:r>
            <w:r w:rsidR="00FE79E2" w:rsidRPr="009B1AB6">
              <w:rPr>
                <w:rFonts w:ascii="Times New Roman" w:hAnsi="Times New Roman" w:cs="Times New Roman"/>
                <w:sz w:val="20"/>
                <w:szCs w:val="20"/>
              </w:rPr>
              <w:br/>
            </w:r>
            <w:r w:rsidRPr="009B1AB6">
              <w:rPr>
                <w:rFonts w:ascii="Times New Roman" w:hAnsi="Times New Roman"/>
                <w:sz w:val="20"/>
              </w:rPr>
              <w:t xml:space="preserve">  – code attribué par </w:t>
            </w:r>
            <w:r w:rsidR="006D71BF" w:rsidRPr="009B1AB6">
              <w:rPr>
                <w:rFonts w:ascii="Times New Roman" w:hAnsi="Times New Roman"/>
                <w:sz w:val="20"/>
              </w:rPr>
              <w:t>l’O</w:t>
            </w:r>
            <w:r w:rsidR="00482CC5" w:rsidRPr="009B1AB6">
              <w:rPr>
                <w:rFonts w:ascii="Times New Roman" w:hAnsi="Times New Roman"/>
                <w:sz w:val="20"/>
              </w:rPr>
              <w:t>RPS</w:t>
            </w:r>
            <w:r w:rsidRPr="009B1AB6">
              <w:rPr>
                <w:rFonts w:ascii="Times New Roman" w:hAnsi="Times New Roman"/>
                <w:sz w:val="20"/>
              </w:rPr>
              <w:t>, lorsque les options ci-dessus ne sont pas disponibles, qui doit rester constant dans le temps</w:t>
            </w:r>
          </w:p>
        </w:tc>
      </w:tr>
      <w:tr w:rsidR="0095672C" w:rsidRPr="009B1AB6" w14:paraId="4DE4E2EA" w14:textId="77777777" w:rsidTr="00950116">
        <w:trPr>
          <w:trHeight w:val="1485"/>
        </w:trPr>
        <w:tc>
          <w:tcPr>
            <w:tcW w:w="1194" w:type="dxa"/>
            <w:hideMark/>
          </w:tcPr>
          <w:p w14:paraId="7252FB45" w14:textId="1A9D1C0D"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t>C00</w:t>
            </w:r>
            <w:r w:rsidR="006B5EDA" w:rsidRPr="009B1AB6">
              <w:rPr>
                <w:rFonts w:ascii="Times New Roman" w:hAnsi="Times New Roman"/>
                <w:sz w:val="20"/>
              </w:rPr>
              <w:t>2</w:t>
            </w:r>
            <w:r w:rsidRPr="009B1AB6">
              <w:rPr>
                <w:rFonts w:ascii="Times New Roman" w:hAnsi="Times New Roman"/>
                <w:sz w:val="20"/>
              </w:rPr>
              <w:t>0</w:t>
            </w:r>
          </w:p>
        </w:tc>
        <w:tc>
          <w:tcPr>
            <w:tcW w:w="2388" w:type="dxa"/>
            <w:hideMark/>
          </w:tcPr>
          <w:p w14:paraId="747E6B98"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du dérivé</w:t>
            </w:r>
          </w:p>
        </w:tc>
        <w:tc>
          <w:tcPr>
            <w:tcW w:w="5801" w:type="dxa"/>
            <w:hideMark/>
          </w:tcPr>
          <w:p w14:paraId="30F29BC8" w14:textId="68FB20ED"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317D7F" w:rsidRPr="009B1AB6">
              <w:rPr>
                <w:rFonts w:ascii="Times New Roman" w:hAnsi="Times New Roman"/>
                <w:sz w:val="20"/>
              </w:rPr>
              <w:t xml:space="preserve"> « code</w:t>
            </w:r>
            <w:r w:rsidRPr="009B1AB6">
              <w:rPr>
                <w:rFonts w:ascii="Times New Roman" w:hAnsi="Times New Roman"/>
                <w:sz w:val="20"/>
              </w:rPr>
              <w:t xml:space="preserve"> d’identification du </w:t>
            </w:r>
            <w:r w:rsidR="00317D7F" w:rsidRPr="009B1AB6">
              <w:rPr>
                <w:rFonts w:ascii="Times New Roman" w:hAnsi="Times New Roman"/>
                <w:sz w:val="20"/>
              </w:rPr>
              <w:t>dérivé »</w:t>
            </w:r>
            <w:r w:rsidRPr="009B1AB6">
              <w:rPr>
                <w:rFonts w:ascii="Times New Roman" w:hAnsi="Times New Roman"/>
                <w:sz w:val="20"/>
              </w:rPr>
              <w:t>. Choisir impérativement l’une des options suivantes:</w:t>
            </w:r>
          </w:p>
          <w:p w14:paraId="664F2158" w14:textId="191CF12D" w:rsidR="0095672C" w:rsidRPr="009B1AB6" w:rsidRDefault="00791304" w:rsidP="00950116">
            <w:pPr>
              <w:rPr>
                <w:rFonts w:ascii="Times New Roman" w:hAnsi="Times New Roman" w:cs="Times New Roman"/>
                <w:sz w:val="20"/>
                <w:szCs w:val="20"/>
              </w:rPr>
            </w:pPr>
            <w:r w:rsidRPr="009B1AB6">
              <w:rPr>
                <w:rFonts w:ascii="Times New Roman" w:hAnsi="Times New Roman"/>
                <w:sz w:val="20"/>
              </w:rPr>
              <w:t xml:space="preserve">1 </w:t>
            </w:r>
            <w:r w:rsidR="0095672C" w:rsidRPr="009B1AB6">
              <w:rPr>
                <w:rFonts w:ascii="Times New Roman" w:hAnsi="Times New Roman"/>
                <w:sz w:val="20"/>
              </w:rPr>
              <w:t>– code ISIN de l’ISO 6166</w:t>
            </w:r>
          </w:p>
          <w:p w14:paraId="04BF1712"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2 – code CUSIP (Committee on Uniform Securities Identification Procedures): numéro attribué par le CUSIP Service Bureau pour les entreprises américaines et canadiennes</w:t>
            </w:r>
          </w:p>
          <w:p w14:paraId="31E4C8CF"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3 – SEDOL (Stock Exchange Daily Official List pour la bourse de Londres)</w:t>
            </w:r>
          </w:p>
          <w:p w14:paraId="30F87AAD"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4 – WKN (Wertpapier Kenn-Nummer, le numéro d’identification alphanumérique allemand)</w:t>
            </w:r>
          </w:p>
          <w:p w14:paraId="478711A5"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5 – Bloomberg Ticker (code à lettres Bloomberg d’identification des titres d’une société)</w:t>
            </w:r>
          </w:p>
          <w:p w14:paraId="23BCB5C5"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6 – BBGID (Bloomberg Global ID)</w:t>
            </w:r>
          </w:p>
          <w:p w14:paraId="1995FD57"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7 – Reuters RIC (Reuters Instrument Code)</w:t>
            </w:r>
          </w:p>
          <w:p w14:paraId="2A24C3FB"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8 – FIGI (Financial Instrument Global Identifier)</w:t>
            </w:r>
          </w:p>
          <w:p w14:paraId="5F7F31B3"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9 – Autre code attribué par un membre de l’Association des agences nationales de codification</w:t>
            </w:r>
          </w:p>
          <w:p w14:paraId="2DA27EBD" w14:textId="5A1399FF" w:rsidR="0095672C" w:rsidRPr="009B1AB6" w:rsidRDefault="0095672C" w:rsidP="00482CC5">
            <w:pPr>
              <w:spacing w:line="276" w:lineRule="auto"/>
              <w:rPr>
                <w:rFonts w:ascii="Times New Roman" w:hAnsi="Times New Roman" w:cs="Times New Roman"/>
                <w:sz w:val="20"/>
                <w:szCs w:val="20"/>
              </w:rPr>
            </w:pPr>
            <w:r w:rsidRPr="009B1AB6">
              <w:rPr>
                <w:rFonts w:ascii="Times New Roman" w:hAnsi="Times New Roman"/>
                <w:sz w:val="20"/>
              </w:rPr>
              <w:t xml:space="preserve">99 – Code attribué par </w:t>
            </w:r>
            <w:r w:rsidR="006D71BF" w:rsidRPr="009B1AB6">
              <w:rPr>
                <w:rFonts w:ascii="Times New Roman" w:hAnsi="Times New Roman"/>
                <w:sz w:val="20"/>
              </w:rPr>
              <w:t>l’O</w:t>
            </w:r>
            <w:r w:rsidR="00482CC5" w:rsidRPr="009B1AB6">
              <w:rPr>
                <w:rFonts w:ascii="Times New Roman" w:hAnsi="Times New Roman"/>
                <w:sz w:val="20"/>
              </w:rPr>
              <w:t xml:space="preserve">RPS </w:t>
            </w:r>
          </w:p>
        </w:tc>
      </w:tr>
      <w:tr w:rsidR="0095672C" w:rsidRPr="009B1AB6" w14:paraId="56DACF8E" w14:textId="77777777" w:rsidTr="0044578D">
        <w:trPr>
          <w:trHeight w:val="1824"/>
        </w:trPr>
        <w:tc>
          <w:tcPr>
            <w:tcW w:w="1194" w:type="dxa"/>
            <w:hideMark/>
          </w:tcPr>
          <w:p w14:paraId="60E20512" w14:textId="497E93CB" w:rsidR="0095672C" w:rsidRPr="009B1AB6" w:rsidRDefault="0095672C" w:rsidP="006B5EDA">
            <w:pPr>
              <w:pStyle w:val="Sansinterligne"/>
              <w:rPr>
                <w:rFonts w:ascii="Times New Roman" w:hAnsi="Times New Roman"/>
              </w:rPr>
            </w:pPr>
            <w:r w:rsidRPr="009B1AB6">
              <w:rPr>
                <w:rFonts w:ascii="Times New Roman" w:hAnsi="Times New Roman"/>
                <w:sz w:val="20"/>
              </w:rPr>
              <w:t>C00</w:t>
            </w:r>
            <w:r w:rsidR="006B5EDA" w:rsidRPr="009B1AB6">
              <w:rPr>
                <w:rFonts w:ascii="Times New Roman" w:hAnsi="Times New Roman"/>
                <w:sz w:val="20"/>
              </w:rPr>
              <w:t>30</w:t>
            </w:r>
          </w:p>
        </w:tc>
        <w:tc>
          <w:tcPr>
            <w:tcW w:w="2388" w:type="dxa"/>
            <w:hideMark/>
          </w:tcPr>
          <w:p w14:paraId="59E96A1D"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Portefeuille</w:t>
            </w:r>
            <w:r w:rsidR="00482CC5" w:rsidRPr="009B1AB6">
              <w:rPr>
                <w:rFonts w:ascii="Times New Roman" w:hAnsi="Times New Roman"/>
                <w:sz w:val="20"/>
              </w:rPr>
              <w:t xml:space="preserve"> concerné</w:t>
            </w:r>
          </w:p>
        </w:tc>
        <w:tc>
          <w:tcPr>
            <w:tcW w:w="5801" w:type="dxa"/>
            <w:hideMark/>
          </w:tcPr>
          <w:p w14:paraId="6A98CDEC" w14:textId="77777777" w:rsidR="00482CC5" w:rsidRPr="009B1AB6" w:rsidRDefault="00482CC5" w:rsidP="00482CC5">
            <w:pPr>
              <w:rPr>
                <w:rFonts w:ascii="Times New Roman" w:hAnsi="Times New Roman"/>
                <w:sz w:val="20"/>
              </w:rPr>
            </w:pPr>
            <w:r w:rsidRPr="009B1AB6">
              <w:rPr>
                <w:rFonts w:ascii="Times New Roman" w:hAnsi="Times New Roman"/>
                <w:sz w:val="20"/>
              </w:rPr>
              <w:t>Choisir impérativement l’une des options suivantes:</w:t>
            </w:r>
          </w:p>
          <w:p w14:paraId="0320CC73" w14:textId="77777777" w:rsidR="00482CC5" w:rsidRPr="009B1AB6" w:rsidRDefault="00482CC5" w:rsidP="00482CC5">
            <w:pPr>
              <w:rPr>
                <w:rFonts w:ascii="Times New Roman" w:hAnsi="Times New Roman"/>
                <w:sz w:val="20"/>
              </w:rPr>
            </w:pPr>
            <w:r w:rsidRPr="009B1AB6">
              <w:rPr>
                <w:rFonts w:ascii="Times New Roman" w:hAnsi="Times New Roman"/>
                <w:sz w:val="20"/>
              </w:rPr>
              <w:t>1 – Comptabilité générale hors contrats à capital variable</w:t>
            </w:r>
          </w:p>
          <w:p w14:paraId="1C5018F8" w14:textId="77777777" w:rsidR="00482CC5" w:rsidRPr="009B1AB6" w:rsidRDefault="00482CC5" w:rsidP="00482CC5">
            <w:pPr>
              <w:rPr>
                <w:rFonts w:ascii="Times New Roman" w:hAnsi="Times New Roman"/>
                <w:sz w:val="20"/>
              </w:rPr>
            </w:pPr>
            <w:r w:rsidRPr="009B1AB6">
              <w:rPr>
                <w:rFonts w:ascii="Times New Roman" w:hAnsi="Times New Roman"/>
                <w:sz w:val="20"/>
              </w:rPr>
              <w:t>2 – Contrats à capital variable de la comptabilité générale</w:t>
            </w:r>
          </w:p>
          <w:p w14:paraId="47DA969F" w14:textId="77777777" w:rsidR="00482CC5" w:rsidRPr="009B1AB6" w:rsidRDefault="00482CC5" w:rsidP="00482CC5">
            <w:pPr>
              <w:tabs>
                <w:tab w:val="left" w:pos="1800"/>
              </w:tabs>
              <w:rPr>
                <w:rFonts w:ascii="Times New Roman" w:hAnsi="Times New Roman"/>
                <w:sz w:val="20"/>
              </w:rPr>
            </w:pPr>
            <w:r w:rsidRPr="009B1AB6">
              <w:rPr>
                <w:rFonts w:ascii="Times New Roman" w:hAnsi="Times New Roman"/>
                <w:sz w:val="20"/>
              </w:rPr>
              <w:t>3 – Branche 26</w:t>
            </w:r>
            <w:r w:rsidRPr="009B1AB6">
              <w:rPr>
                <w:rFonts w:ascii="Times New Roman" w:hAnsi="Times New Roman"/>
                <w:sz w:val="20"/>
              </w:rPr>
              <w:tab/>
            </w:r>
          </w:p>
          <w:p w14:paraId="27D128E8" w14:textId="77777777" w:rsidR="00482CC5" w:rsidRPr="009B1AB6" w:rsidRDefault="00482CC5" w:rsidP="00482CC5">
            <w:pPr>
              <w:rPr>
                <w:rFonts w:ascii="Times New Roman" w:hAnsi="Times New Roman"/>
                <w:sz w:val="20"/>
              </w:rPr>
            </w:pPr>
            <w:r w:rsidRPr="009B1AB6">
              <w:rPr>
                <w:rFonts w:ascii="Times New Roman" w:hAnsi="Times New Roman"/>
                <w:sz w:val="20"/>
              </w:rPr>
              <w:t>4 – Eurocroissance</w:t>
            </w:r>
          </w:p>
          <w:p w14:paraId="1E1B0946" w14:textId="77777777" w:rsidR="00482CC5" w:rsidRPr="009B1AB6" w:rsidRDefault="00482CC5" w:rsidP="00482CC5">
            <w:pPr>
              <w:rPr>
                <w:rFonts w:ascii="Times New Roman" w:hAnsi="Times New Roman"/>
                <w:sz w:val="20"/>
              </w:rPr>
            </w:pPr>
            <w:r w:rsidRPr="009B1AB6">
              <w:rPr>
                <w:rFonts w:ascii="Times New Roman" w:hAnsi="Times New Roman"/>
                <w:sz w:val="20"/>
              </w:rPr>
              <w:t>5 – Autre comptabilité auxiliaire d'affectation correspondant à des contrats à capital variable</w:t>
            </w:r>
          </w:p>
          <w:p w14:paraId="1358F5CF" w14:textId="52D49AC6" w:rsidR="0095672C" w:rsidRPr="009B1AB6" w:rsidRDefault="00482CC5">
            <w:pPr>
              <w:spacing w:after="200" w:line="276" w:lineRule="auto"/>
              <w:rPr>
                <w:rFonts w:ascii="Times New Roman" w:hAnsi="Times New Roman" w:cs="Times New Roman"/>
                <w:sz w:val="20"/>
                <w:szCs w:val="20"/>
              </w:rPr>
            </w:pPr>
            <w:r w:rsidRPr="009B1AB6">
              <w:rPr>
                <w:rFonts w:ascii="Times New Roman" w:hAnsi="Times New Roman"/>
                <w:sz w:val="20"/>
              </w:rPr>
              <w:t>6 - Autre comptabilité auxiliaire d'affectation.</w:t>
            </w:r>
          </w:p>
        </w:tc>
      </w:tr>
      <w:tr w:rsidR="0095672C" w:rsidRPr="009B1AB6" w14:paraId="1497E73F" w14:textId="77777777" w:rsidTr="00950116">
        <w:trPr>
          <w:trHeight w:val="1515"/>
        </w:trPr>
        <w:tc>
          <w:tcPr>
            <w:tcW w:w="1194" w:type="dxa"/>
            <w:hideMark/>
          </w:tcPr>
          <w:p w14:paraId="23594DC2" w14:textId="31CCBE7B"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t>C00</w:t>
            </w:r>
            <w:r w:rsidR="006B5EDA" w:rsidRPr="009B1AB6">
              <w:rPr>
                <w:rFonts w:ascii="Times New Roman" w:hAnsi="Times New Roman"/>
                <w:sz w:val="20"/>
              </w:rPr>
              <w:t>40</w:t>
            </w:r>
          </w:p>
        </w:tc>
        <w:tc>
          <w:tcPr>
            <w:tcW w:w="2388" w:type="dxa"/>
            <w:hideMark/>
          </w:tcPr>
          <w:p w14:paraId="3408D6C8" w14:textId="2F9A5F7D" w:rsidR="0095672C" w:rsidRPr="009B1AB6" w:rsidRDefault="0095672C" w:rsidP="00B62424">
            <w:pPr>
              <w:spacing w:after="200" w:line="276" w:lineRule="auto"/>
              <w:rPr>
                <w:rFonts w:ascii="Times New Roman" w:hAnsi="Times New Roman" w:cs="Times New Roman"/>
                <w:sz w:val="20"/>
                <w:szCs w:val="20"/>
              </w:rPr>
            </w:pPr>
            <w:r w:rsidRPr="009B1AB6">
              <w:rPr>
                <w:rFonts w:ascii="Times New Roman" w:hAnsi="Times New Roman"/>
                <w:sz w:val="20"/>
              </w:rPr>
              <w:t xml:space="preserve">Numéro </w:t>
            </w:r>
            <w:r w:rsidR="00B62424" w:rsidRPr="009B1AB6">
              <w:rPr>
                <w:rFonts w:ascii="Times New Roman" w:hAnsi="Times New Roman"/>
                <w:sz w:val="20"/>
              </w:rPr>
              <w:t>de la comptabilité auxiliaire d’affectation</w:t>
            </w:r>
          </w:p>
        </w:tc>
        <w:tc>
          <w:tcPr>
            <w:tcW w:w="5801" w:type="dxa"/>
            <w:hideMark/>
          </w:tcPr>
          <w:p w14:paraId="52247F30" w14:textId="504E01B2"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 xml:space="preserve">Applicable aux dérivés détenus dans </w:t>
            </w:r>
            <w:r w:rsidR="00482CC5" w:rsidRPr="009B1AB6">
              <w:rPr>
                <w:rFonts w:ascii="Times New Roman" w:hAnsi="Times New Roman"/>
                <w:sz w:val="20"/>
              </w:rPr>
              <w:t>une comptabilité auxiliaire d’affectation</w:t>
            </w:r>
            <w:r w:rsidRPr="009B1AB6">
              <w:rPr>
                <w:rFonts w:ascii="Times New Roman" w:hAnsi="Times New Roman"/>
                <w:sz w:val="20"/>
              </w:rPr>
              <w:t xml:space="preserve"> ou un autre fonds interne (au sens du marché national).</w:t>
            </w:r>
          </w:p>
          <w:p w14:paraId="5D3027AE" w14:textId="77777777" w:rsidR="0095672C" w:rsidRPr="009B1AB6" w:rsidRDefault="0095672C" w:rsidP="00950116">
            <w:pPr>
              <w:rPr>
                <w:rFonts w:ascii="Times New Roman" w:hAnsi="Times New Roman" w:cs="Times New Roman"/>
                <w:sz w:val="20"/>
                <w:szCs w:val="20"/>
              </w:rPr>
            </w:pPr>
          </w:p>
          <w:p w14:paraId="1B6F36D9" w14:textId="1A266F92" w:rsidR="0095672C" w:rsidRPr="009B1AB6" w:rsidRDefault="0095672C" w:rsidP="00F820E5">
            <w:pPr>
              <w:spacing w:after="200" w:line="276" w:lineRule="auto"/>
              <w:rPr>
                <w:rFonts w:ascii="Times New Roman" w:hAnsi="Times New Roman" w:cs="Times New Roman"/>
                <w:sz w:val="20"/>
                <w:szCs w:val="20"/>
              </w:rPr>
            </w:pPr>
            <w:r w:rsidRPr="009B1AB6">
              <w:rPr>
                <w:rFonts w:ascii="Times New Roman" w:hAnsi="Times New Roman"/>
                <w:sz w:val="20"/>
              </w:rPr>
              <w:t xml:space="preserve">Numéro unique assigné par </w:t>
            </w:r>
            <w:r w:rsidR="006D71BF" w:rsidRPr="009B1AB6">
              <w:rPr>
                <w:rFonts w:ascii="Times New Roman" w:hAnsi="Times New Roman"/>
                <w:sz w:val="20"/>
              </w:rPr>
              <w:t>l’O</w:t>
            </w:r>
            <w:r w:rsidR="00482CC5" w:rsidRPr="009B1AB6">
              <w:rPr>
                <w:rFonts w:ascii="Times New Roman" w:hAnsi="Times New Roman"/>
                <w:sz w:val="20"/>
              </w:rPr>
              <w:t xml:space="preserve">RPS </w:t>
            </w:r>
            <w:r w:rsidRPr="009B1AB6">
              <w:rPr>
                <w:rFonts w:ascii="Times New Roman" w:hAnsi="Times New Roman"/>
                <w:sz w:val="20"/>
              </w:rPr>
              <w:t xml:space="preserve">à chaque </w:t>
            </w:r>
            <w:r w:rsidR="00482CC5" w:rsidRPr="009B1AB6">
              <w:rPr>
                <w:rFonts w:ascii="Times New Roman" w:hAnsi="Times New Roman"/>
                <w:sz w:val="20"/>
              </w:rPr>
              <w:t>comptabilité auxiliaire d’affectation</w:t>
            </w:r>
            <w:r w:rsidRPr="009B1AB6">
              <w:rPr>
                <w:rFonts w:ascii="Times New Roman" w:hAnsi="Times New Roman"/>
                <w:sz w:val="20"/>
              </w:rPr>
              <w:t xml:space="preserve">. Ce numéro doit rester constant dans le temps et permettre d’identifier </w:t>
            </w:r>
            <w:r w:rsidR="00F820E5" w:rsidRPr="009B1AB6">
              <w:rPr>
                <w:rFonts w:ascii="Times New Roman" w:hAnsi="Times New Roman"/>
                <w:sz w:val="20"/>
              </w:rPr>
              <w:t>la comptabilité auxiliaire d’affectation</w:t>
            </w:r>
            <w:r w:rsidRPr="009B1AB6">
              <w:rPr>
                <w:rFonts w:ascii="Times New Roman" w:hAnsi="Times New Roman"/>
                <w:sz w:val="20"/>
              </w:rPr>
              <w:t xml:space="preserve"> dans les autres modèles. Il ne peut pas être réutilisé</w:t>
            </w:r>
            <w:r w:rsidR="00F820E5" w:rsidRPr="009B1AB6">
              <w:rPr>
                <w:rFonts w:ascii="Times New Roman" w:hAnsi="Times New Roman"/>
                <w:sz w:val="20"/>
              </w:rPr>
              <w:t xml:space="preserve"> </w:t>
            </w:r>
            <w:r w:rsidRPr="009B1AB6">
              <w:rPr>
                <w:rFonts w:ascii="Times New Roman" w:hAnsi="Times New Roman"/>
                <w:sz w:val="20"/>
              </w:rPr>
              <w:t>pour un</w:t>
            </w:r>
            <w:r w:rsidR="00F820E5" w:rsidRPr="009B1AB6">
              <w:rPr>
                <w:rFonts w:ascii="Times New Roman" w:hAnsi="Times New Roman"/>
                <w:sz w:val="20"/>
              </w:rPr>
              <w:t xml:space="preserve">e </w:t>
            </w:r>
            <w:r w:rsidRPr="009B1AB6">
              <w:rPr>
                <w:rFonts w:ascii="Times New Roman" w:hAnsi="Times New Roman"/>
                <w:sz w:val="20"/>
              </w:rPr>
              <w:t xml:space="preserve">autre </w:t>
            </w:r>
            <w:r w:rsidR="00F820E5" w:rsidRPr="009B1AB6">
              <w:rPr>
                <w:rFonts w:ascii="Times New Roman" w:hAnsi="Times New Roman"/>
                <w:sz w:val="20"/>
              </w:rPr>
              <w:t>comptabilité auxiliaire d’affectation</w:t>
            </w:r>
            <w:r w:rsidRPr="009B1AB6">
              <w:rPr>
                <w:rFonts w:ascii="Times New Roman" w:hAnsi="Times New Roman"/>
                <w:sz w:val="20"/>
              </w:rPr>
              <w:t xml:space="preserve">. </w:t>
            </w:r>
          </w:p>
        </w:tc>
      </w:tr>
      <w:tr w:rsidR="0095672C" w:rsidRPr="009B1AB6" w14:paraId="12487100" w14:textId="77777777" w:rsidTr="00950116">
        <w:trPr>
          <w:trHeight w:val="1054"/>
        </w:trPr>
        <w:tc>
          <w:tcPr>
            <w:tcW w:w="1194" w:type="dxa"/>
            <w:hideMark/>
          </w:tcPr>
          <w:p w14:paraId="228F0925" w14:textId="15FE8FE1"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lastRenderedPageBreak/>
              <w:t>C00</w:t>
            </w:r>
            <w:r w:rsidR="006B5EDA" w:rsidRPr="009B1AB6">
              <w:rPr>
                <w:rFonts w:ascii="Times New Roman" w:hAnsi="Times New Roman"/>
                <w:sz w:val="20"/>
              </w:rPr>
              <w:t>5</w:t>
            </w:r>
            <w:r w:rsidRPr="009B1AB6">
              <w:rPr>
                <w:rFonts w:ascii="Times New Roman" w:hAnsi="Times New Roman"/>
                <w:sz w:val="20"/>
              </w:rPr>
              <w:t>0</w:t>
            </w:r>
          </w:p>
        </w:tc>
        <w:tc>
          <w:tcPr>
            <w:tcW w:w="2388" w:type="dxa"/>
            <w:hideMark/>
          </w:tcPr>
          <w:p w14:paraId="645E9F3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Dérivés détenus en représentation de contrats en unités de compte et indexés </w:t>
            </w:r>
          </w:p>
        </w:tc>
        <w:tc>
          <w:tcPr>
            <w:tcW w:w="5801" w:type="dxa"/>
            <w:hideMark/>
          </w:tcPr>
          <w:p w14:paraId="1D0DF0F9"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Identifier les dérivés détenus en représentation de contrats en unités de compte et indexés.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1 – Contrats en unités de compte ou indexés</w:t>
            </w:r>
          </w:p>
          <w:p w14:paraId="3AE22F96"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2 – Pas de contrat en unités de compte ou indexé</w:t>
            </w:r>
          </w:p>
        </w:tc>
      </w:tr>
      <w:tr w:rsidR="0095672C" w:rsidRPr="009B1AB6" w14:paraId="48B27C98" w14:textId="77777777" w:rsidTr="00950116">
        <w:trPr>
          <w:trHeight w:val="509"/>
        </w:trPr>
        <w:tc>
          <w:tcPr>
            <w:tcW w:w="1194" w:type="dxa"/>
            <w:vMerge w:val="restart"/>
            <w:hideMark/>
          </w:tcPr>
          <w:p w14:paraId="0023C8DF" w14:textId="0E82BCF8"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6B5EDA" w:rsidRPr="009B1AB6">
              <w:rPr>
                <w:rFonts w:ascii="Times New Roman" w:hAnsi="Times New Roman"/>
                <w:sz w:val="20"/>
              </w:rPr>
              <w:t>006</w:t>
            </w:r>
            <w:r w:rsidRPr="009B1AB6">
              <w:rPr>
                <w:rFonts w:ascii="Times New Roman" w:hAnsi="Times New Roman"/>
                <w:sz w:val="20"/>
              </w:rPr>
              <w:t>0</w:t>
            </w:r>
          </w:p>
        </w:tc>
        <w:tc>
          <w:tcPr>
            <w:tcW w:w="2388" w:type="dxa"/>
            <w:vMerge w:val="restart"/>
            <w:hideMark/>
          </w:tcPr>
          <w:p w14:paraId="77DDCB81"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Instrument sous-jacent au dérivé</w:t>
            </w:r>
          </w:p>
        </w:tc>
        <w:tc>
          <w:tcPr>
            <w:tcW w:w="5801" w:type="dxa"/>
            <w:vMerge w:val="restart"/>
            <w:hideMark/>
          </w:tcPr>
          <w:p w14:paraId="12D5126C" w14:textId="04498F09"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Code d’identification de l’instrument (actif ou passif) sous-jacent au contrat dérivé. Cet élément n’est à déclarer que pour les dérivés ayant un ou plusieurs instruments sous-jacents dans le portefeuille </w:t>
            </w:r>
            <w:r w:rsidR="006D71BF" w:rsidRPr="009B1AB6">
              <w:rPr>
                <w:rFonts w:ascii="Times New Roman" w:hAnsi="Times New Roman"/>
                <w:sz w:val="20"/>
              </w:rPr>
              <w:t>de l’O</w:t>
            </w:r>
            <w:r w:rsidR="00E358E2" w:rsidRPr="009B1AB6">
              <w:rPr>
                <w:rFonts w:ascii="Times New Roman" w:hAnsi="Times New Roman"/>
                <w:sz w:val="20"/>
              </w:rPr>
              <w:t>RPS</w:t>
            </w:r>
            <w:r w:rsidRPr="009B1AB6">
              <w:rPr>
                <w:rFonts w:ascii="Times New Roman" w:hAnsi="Times New Roman"/>
                <w:sz w:val="20"/>
              </w:rPr>
              <w:t xml:space="preserve">. Un indice est considéré comme un instrument unique et doit être déclaré. </w:t>
            </w:r>
          </w:p>
          <w:p w14:paraId="13307328" w14:textId="29E9348F" w:rsidR="0095672C" w:rsidRPr="009B1AB6" w:rsidRDefault="0095672C" w:rsidP="00950116">
            <w:pPr>
              <w:spacing w:before="120" w:after="120"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de l’instrument sous-jacent au dérivé, par ordre de priorité suivant: </w:t>
            </w:r>
            <w:r w:rsidR="00FE79E2" w:rsidRPr="009B1AB6">
              <w:rPr>
                <w:rFonts w:ascii="Times New Roman" w:hAnsi="Times New Roman" w:cs="Times New Roman"/>
                <w:sz w:val="20"/>
                <w:szCs w:val="20"/>
              </w:rPr>
              <w:br/>
            </w:r>
            <w:r w:rsidRPr="009B1AB6">
              <w:rPr>
                <w:rFonts w:ascii="Times New Roman" w:hAnsi="Times New Roman"/>
                <w:sz w:val="20"/>
              </w:rPr>
              <w:t xml:space="preserve">  – code ISIN de l’ISO 6166 si disponible</w:t>
            </w:r>
            <w:r w:rsidR="00FE79E2" w:rsidRPr="009B1AB6">
              <w:rPr>
                <w:rFonts w:ascii="Times New Roman" w:hAnsi="Times New Roman" w:cs="Times New Roman"/>
                <w:sz w:val="20"/>
                <w:szCs w:val="20"/>
              </w:rPr>
              <w:br/>
            </w:r>
            <w:r w:rsidRPr="009B1AB6">
              <w:rPr>
                <w:rFonts w:ascii="Times New Roman" w:hAnsi="Times New Roman"/>
                <w:sz w:val="20"/>
              </w:rPr>
              <w:t xml:space="preserve">  – autres codes reconnus (tels que CUSIP, Bloomberg Ticker, Reuters RIC)</w:t>
            </w:r>
            <w:r w:rsidR="00FE79E2" w:rsidRPr="009B1AB6">
              <w:rPr>
                <w:rFonts w:ascii="Times New Roman" w:hAnsi="Times New Roman" w:cs="Times New Roman"/>
                <w:sz w:val="20"/>
                <w:szCs w:val="20"/>
              </w:rPr>
              <w:br/>
            </w:r>
            <w:r w:rsidRPr="009B1AB6">
              <w:rPr>
                <w:rFonts w:ascii="Times New Roman" w:hAnsi="Times New Roman"/>
                <w:sz w:val="20"/>
              </w:rPr>
              <w:t xml:space="preserve">  – code attribué par </w:t>
            </w:r>
            <w:r w:rsidR="006D71BF" w:rsidRPr="009B1AB6">
              <w:rPr>
                <w:rFonts w:ascii="Times New Roman" w:hAnsi="Times New Roman"/>
                <w:sz w:val="20"/>
              </w:rPr>
              <w:t>l’O</w:t>
            </w:r>
            <w:r w:rsidR="00E358E2" w:rsidRPr="009B1AB6">
              <w:rPr>
                <w:rFonts w:ascii="Times New Roman" w:hAnsi="Times New Roman"/>
                <w:sz w:val="20"/>
              </w:rPr>
              <w:t>RPS</w:t>
            </w:r>
            <w:r w:rsidRPr="009B1AB6">
              <w:rPr>
                <w:rFonts w:ascii="Times New Roman" w:hAnsi="Times New Roman"/>
                <w:sz w:val="20"/>
              </w:rPr>
              <w:t>, lorsque les options ci-dessus ne sont pas disponibles, qui doit rester constant dans le temps</w:t>
            </w:r>
          </w:p>
          <w:p w14:paraId="44BE88AB" w14:textId="0E777A3B" w:rsidR="0095672C" w:rsidRPr="009B1AB6" w:rsidRDefault="0072092D" w:rsidP="00950116">
            <w:pPr>
              <w:spacing w:before="120" w:after="120" w:line="276" w:lineRule="auto"/>
              <w:rPr>
                <w:rFonts w:ascii="Times New Roman" w:hAnsi="Times New Roman" w:cs="Times New Roman"/>
                <w:sz w:val="20"/>
                <w:szCs w:val="20"/>
              </w:rPr>
            </w:pPr>
            <w:r w:rsidRPr="009B1AB6">
              <w:rPr>
                <w:rFonts w:ascii="Times New Roman" w:hAnsi="Times New Roman"/>
                <w:sz w:val="20"/>
              </w:rPr>
              <w:t>–</w:t>
            </w:r>
            <w:r w:rsidR="00317D7F" w:rsidRPr="009B1AB6">
              <w:rPr>
                <w:rFonts w:ascii="Times New Roman" w:hAnsi="Times New Roman"/>
                <w:sz w:val="20"/>
              </w:rPr>
              <w:t xml:space="preserve"> « actifs</w:t>
            </w:r>
            <w:r w:rsidRPr="009B1AB6">
              <w:rPr>
                <w:rFonts w:ascii="Times New Roman" w:hAnsi="Times New Roman"/>
                <w:sz w:val="20"/>
              </w:rPr>
              <w:t xml:space="preserve">/passifs </w:t>
            </w:r>
            <w:r w:rsidR="00317D7F" w:rsidRPr="009B1AB6">
              <w:rPr>
                <w:rFonts w:ascii="Times New Roman" w:hAnsi="Times New Roman"/>
                <w:sz w:val="20"/>
              </w:rPr>
              <w:t>multiples »</w:t>
            </w:r>
            <w:r w:rsidRPr="009B1AB6">
              <w:rPr>
                <w:rFonts w:ascii="Times New Roman" w:hAnsi="Times New Roman"/>
                <w:sz w:val="20"/>
              </w:rPr>
              <w:t>, s’il y a plusieurs actifs ou passifs sous-jacents</w:t>
            </w:r>
          </w:p>
          <w:p w14:paraId="5C8DD85E"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Lorsque le sous-jacent est un indice, déclarer le code de l’indice.</w:t>
            </w:r>
          </w:p>
        </w:tc>
      </w:tr>
      <w:tr w:rsidR="0095672C" w:rsidRPr="009B1AB6" w14:paraId="16B970BA" w14:textId="77777777" w:rsidTr="00950116">
        <w:trPr>
          <w:trHeight w:val="509"/>
        </w:trPr>
        <w:tc>
          <w:tcPr>
            <w:tcW w:w="1194" w:type="dxa"/>
            <w:vMerge/>
            <w:hideMark/>
          </w:tcPr>
          <w:p w14:paraId="0262A305" w14:textId="77777777" w:rsidR="0095672C" w:rsidRPr="009B1AB6" w:rsidRDefault="0095672C" w:rsidP="00950116">
            <w:pPr>
              <w:pStyle w:val="Sansinterligne"/>
              <w:rPr>
                <w:rFonts w:ascii="Times New Roman" w:hAnsi="Times New Roman" w:cs="Times New Roman"/>
                <w:sz w:val="20"/>
                <w:szCs w:val="20"/>
              </w:rPr>
            </w:pPr>
          </w:p>
        </w:tc>
        <w:tc>
          <w:tcPr>
            <w:tcW w:w="2388" w:type="dxa"/>
            <w:vMerge/>
            <w:hideMark/>
          </w:tcPr>
          <w:p w14:paraId="1D14BB74" w14:textId="77777777" w:rsidR="0095672C" w:rsidRPr="009B1AB6" w:rsidRDefault="0095672C" w:rsidP="00950116">
            <w:pPr>
              <w:spacing w:after="200" w:line="276" w:lineRule="auto"/>
              <w:rPr>
                <w:rFonts w:ascii="Times New Roman" w:hAnsi="Times New Roman" w:cs="Times New Roman"/>
                <w:sz w:val="20"/>
                <w:szCs w:val="20"/>
              </w:rPr>
            </w:pPr>
          </w:p>
        </w:tc>
        <w:tc>
          <w:tcPr>
            <w:tcW w:w="5801" w:type="dxa"/>
            <w:vMerge/>
            <w:hideMark/>
          </w:tcPr>
          <w:p w14:paraId="3F68134E" w14:textId="77777777" w:rsidR="0095672C" w:rsidRPr="009B1AB6" w:rsidRDefault="0095672C" w:rsidP="00950116">
            <w:pPr>
              <w:spacing w:after="200" w:line="276" w:lineRule="auto"/>
              <w:rPr>
                <w:rFonts w:ascii="Times New Roman" w:hAnsi="Times New Roman" w:cs="Times New Roman"/>
                <w:sz w:val="20"/>
                <w:szCs w:val="20"/>
              </w:rPr>
            </w:pPr>
          </w:p>
        </w:tc>
      </w:tr>
      <w:tr w:rsidR="0095672C" w:rsidRPr="009B1AB6" w14:paraId="099C7621" w14:textId="77777777" w:rsidTr="00950116">
        <w:trPr>
          <w:trHeight w:val="2280"/>
        </w:trPr>
        <w:tc>
          <w:tcPr>
            <w:tcW w:w="1194" w:type="dxa"/>
          </w:tcPr>
          <w:p w14:paraId="63265DCB" w14:textId="1731171D"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t>C0</w:t>
            </w:r>
            <w:r w:rsidR="006B5EDA" w:rsidRPr="009B1AB6">
              <w:rPr>
                <w:rFonts w:ascii="Times New Roman" w:hAnsi="Times New Roman"/>
                <w:sz w:val="20"/>
              </w:rPr>
              <w:t>070</w:t>
            </w:r>
          </w:p>
        </w:tc>
        <w:tc>
          <w:tcPr>
            <w:tcW w:w="2388" w:type="dxa"/>
          </w:tcPr>
          <w:p w14:paraId="51E926DC"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Type de code d’identification de l’actif ou du passif sous-jacent au dérivé</w:t>
            </w:r>
          </w:p>
        </w:tc>
        <w:tc>
          <w:tcPr>
            <w:tcW w:w="5801" w:type="dxa"/>
          </w:tcPr>
          <w:p w14:paraId="7884B842" w14:textId="16B85408"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317D7F" w:rsidRPr="009B1AB6">
              <w:rPr>
                <w:rFonts w:ascii="Times New Roman" w:hAnsi="Times New Roman"/>
                <w:sz w:val="20"/>
              </w:rPr>
              <w:t xml:space="preserve"> « Instrument</w:t>
            </w:r>
            <w:r w:rsidRPr="009B1AB6">
              <w:rPr>
                <w:rFonts w:ascii="Times New Roman" w:hAnsi="Times New Roman"/>
                <w:sz w:val="20"/>
              </w:rPr>
              <w:t xml:space="preserve"> sous-jacent au </w:t>
            </w:r>
            <w:r w:rsidR="00317D7F" w:rsidRPr="009B1AB6">
              <w:rPr>
                <w:rFonts w:ascii="Times New Roman" w:hAnsi="Times New Roman"/>
                <w:sz w:val="20"/>
              </w:rPr>
              <w:t>dérivé »</w:t>
            </w:r>
            <w:r w:rsidRPr="009B1AB6">
              <w:rPr>
                <w:rFonts w:ascii="Times New Roman" w:hAnsi="Times New Roman"/>
                <w:sz w:val="20"/>
              </w:rPr>
              <w:t>. Choisir impérativement l’une des options suivantes:</w:t>
            </w:r>
            <w:r w:rsidR="00FE79E2" w:rsidRPr="009B1AB6">
              <w:rPr>
                <w:rFonts w:ascii="Times New Roman" w:hAnsi="Times New Roman" w:cs="Times New Roman"/>
                <w:sz w:val="20"/>
                <w:szCs w:val="20"/>
              </w:rPr>
              <w:br/>
            </w:r>
            <w:r w:rsidR="00791304" w:rsidRPr="009B1AB6">
              <w:rPr>
                <w:rFonts w:ascii="Times New Roman" w:hAnsi="Times New Roman"/>
                <w:sz w:val="20"/>
              </w:rPr>
              <w:t xml:space="preserve">1 </w:t>
            </w:r>
            <w:r w:rsidRPr="009B1AB6">
              <w:rPr>
                <w:rFonts w:ascii="Times New Roman" w:hAnsi="Times New Roman"/>
                <w:sz w:val="20"/>
              </w:rPr>
              <w:t>– code ISIN de l’ISO 6166</w:t>
            </w:r>
          </w:p>
          <w:p w14:paraId="169DC33A"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2 – code CUSIP (Committee on Uniform Securities Identification Procedures): numéro attribué par le CUSIP Service Bureau pour les entreprises américaines et canadiennes</w:t>
            </w:r>
          </w:p>
          <w:p w14:paraId="3D57364D"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3 – SEDOL (Stock Exchange Daily Official List pour la bourse de Londres)</w:t>
            </w:r>
          </w:p>
          <w:p w14:paraId="55CB0495"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4 – WKN (Wertpapier Kenn-Nummer, le numéro d’identification alphanumérique allemand)</w:t>
            </w:r>
          </w:p>
          <w:p w14:paraId="687BB572"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5 – Bloomberg Ticker (code à lettres Bloomberg d’identification des titres d’une société)</w:t>
            </w:r>
          </w:p>
          <w:p w14:paraId="6CECD723"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6 – BBGID (Bloomberg Global ID)</w:t>
            </w:r>
          </w:p>
          <w:p w14:paraId="55065C2A"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7 – Reuters RIC (Reuters Instrument Code)</w:t>
            </w:r>
          </w:p>
          <w:p w14:paraId="700A9A3C"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8 – FIGI (Financial Instrument Global Identifier)</w:t>
            </w:r>
          </w:p>
          <w:p w14:paraId="61CBEDF9"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9 – Autre code attribué par un membre de l’Association des agences nationales de codification</w:t>
            </w:r>
          </w:p>
          <w:p w14:paraId="67756529" w14:textId="3B8218D2"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 xml:space="preserve">99 – Code attribué par </w:t>
            </w:r>
            <w:r w:rsidR="006D71BF" w:rsidRPr="009B1AB6">
              <w:rPr>
                <w:rFonts w:ascii="Times New Roman" w:hAnsi="Times New Roman"/>
                <w:sz w:val="20"/>
              </w:rPr>
              <w:t>l’O</w:t>
            </w:r>
            <w:r w:rsidR="00482CC5" w:rsidRPr="009B1AB6">
              <w:rPr>
                <w:rFonts w:ascii="Times New Roman" w:hAnsi="Times New Roman"/>
                <w:sz w:val="20"/>
              </w:rPr>
              <w:t xml:space="preserve">RPS </w:t>
            </w:r>
          </w:p>
          <w:p w14:paraId="1DB6D1D4"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Ne rien déclarer pour les dérivés ayant pour sous-jacent plus d’un actif ou d’un passif.</w:t>
            </w:r>
          </w:p>
        </w:tc>
      </w:tr>
      <w:tr w:rsidR="0095672C" w:rsidRPr="009B1AB6" w14:paraId="5D4404D0" w14:textId="77777777" w:rsidTr="00950116">
        <w:trPr>
          <w:trHeight w:val="913"/>
        </w:trPr>
        <w:tc>
          <w:tcPr>
            <w:tcW w:w="1194" w:type="dxa"/>
            <w:hideMark/>
          </w:tcPr>
          <w:p w14:paraId="526C87BC" w14:textId="29E42980"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t>C0</w:t>
            </w:r>
            <w:r w:rsidR="006B5EDA" w:rsidRPr="009B1AB6">
              <w:rPr>
                <w:rFonts w:ascii="Times New Roman" w:hAnsi="Times New Roman"/>
                <w:sz w:val="20"/>
              </w:rPr>
              <w:t>080</w:t>
            </w:r>
          </w:p>
        </w:tc>
        <w:tc>
          <w:tcPr>
            <w:tcW w:w="2388" w:type="dxa"/>
            <w:hideMark/>
          </w:tcPr>
          <w:p w14:paraId="28A01688"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Utilisation du dérivé</w:t>
            </w:r>
          </w:p>
        </w:tc>
        <w:tc>
          <w:tcPr>
            <w:tcW w:w="5801" w:type="dxa"/>
            <w:hideMark/>
          </w:tcPr>
          <w:p w14:paraId="208D341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Décrire ce pour quoi le dérivé est utilisé (micro- ou macro-couverture, gestion efficace de portefeuille). </w:t>
            </w:r>
          </w:p>
          <w:p w14:paraId="6413A07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On parle de micro-couverture dans le cas de dérivés couvrant un instrument financier unique (actif ou passif), une transaction prévue ou un autre engagement. </w:t>
            </w:r>
          </w:p>
          <w:p w14:paraId="600077E2"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On parle de macro-couverture dans le cas de dérivés couvrant un ensemble d’instruments financiers (actifs ou passifs), de transactions prévues ou d’autres engagements.</w:t>
            </w:r>
          </w:p>
          <w:p w14:paraId="0D03F3D8" w14:textId="02C894EC"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lastRenderedPageBreak/>
              <w:t>On entend généralement par</w:t>
            </w:r>
            <w:r w:rsidR="00317D7F" w:rsidRPr="009B1AB6">
              <w:rPr>
                <w:rFonts w:ascii="Times New Roman" w:hAnsi="Times New Roman"/>
                <w:sz w:val="20"/>
              </w:rPr>
              <w:t xml:space="preserve"> « gestion</w:t>
            </w:r>
            <w:r w:rsidRPr="009B1AB6">
              <w:rPr>
                <w:rFonts w:ascii="Times New Roman" w:hAnsi="Times New Roman"/>
                <w:sz w:val="20"/>
              </w:rPr>
              <w:t xml:space="preserve"> efficace de </w:t>
            </w:r>
            <w:r w:rsidR="00317D7F" w:rsidRPr="009B1AB6">
              <w:rPr>
                <w:rFonts w:ascii="Times New Roman" w:hAnsi="Times New Roman"/>
                <w:sz w:val="20"/>
              </w:rPr>
              <w:t>portefeuille »</w:t>
            </w:r>
            <w:r w:rsidRPr="009B1AB6">
              <w:rPr>
                <w:rFonts w:ascii="Times New Roman" w:hAnsi="Times New Roman"/>
                <w:sz w:val="20"/>
              </w:rPr>
              <w:t xml:space="preserve"> des opérations par lesquelles le gestionnaire s’efforce d’améliorer les revenus générés par un portefeuille en échangeant un schéma de (faibles) flux de trésorerie par un autre à plus haute valeur, en utilisant à cet effet un dérivé ou un ensemble de dérivés, ce qui lui permet de ne pas modifier la composition du portefeuille d’actifs, d’investir un montant moins important et de supporter moins de coûts de transaction. </w:t>
            </w:r>
          </w:p>
          <w:p w14:paraId="3B40B873" w14:textId="77777777" w:rsidR="00791304" w:rsidRPr="009B1AB6" w:rsidRDefault="0095672C" w:rsidP="0044578D">
            <w:pPr>
              <w:spacing w:line="276" w:lineRule="auto"/>
              <w:rPr>
                <w:rFonts w:ascii="Times New Roman" w:hAnsi="Times New Roman"/>
                <w:sz w:val="20"/>
              </w:rPr>
            </w:pPr>
            <w:r w:rsidRPr="009B1AB6">
              <w:rPr>
                <w:rFonts w:ascii="Times New Roman" w:hAnsi="Times New Roman"/>
                <w:sz w:val="20"/>
              </w:rPr>
              <w:t>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1 – Micro-couverture</w:t>
            </w:r>
            <w:r w:rsidR="00FE79E2" w:rsidRPr="009B1AB6">
              <w:rPr>
                <w:rFonts w:ascii="Times New Roman" w:hAnsi="Times New Roman" w:cs="Times New Roman"/>
                <w:sz w:val="20"/>
                <w:szCs w:val="20"/>
              </w:rPr>
              <w:br/>
            </w:r>
            <w:r w:rsidRPr="009B1AB6">
              <w:rPr>
                <w:rFonts w:ascii="Times New Roman" w:hAnsi="Times New Roman"/>
                <w:sz w:val="20"/>
              </w:rPr>
              <w:t>2 – Macro-couverture</w:t>
            </w:r>
          </w:p>
          <w:p w14:paraId="1A662FC9" w14:textId="714BD588" w:rsidR="0095672C" w:rsidRPr="009B1AB6" w:rsidRDefault="00791304" w:rsidP="0044578D">
            <w:pPr>
              <w:spacing w:line="276" w:lineRule="auto"/>
              <w:rPr>
                <w:rFonts w:ascii="Times New Roman" w:hAnsi="Times New Roman" w:cs="Times New Roman"/>
                <w:sz w:val="20"/>
                <w:szCs w:val="20"/>
              </w:rPr>
            </w:pPr>
            <w:r w:rsidRPr="009B1AB6">
              <w:rPr>
                <w:rFonts w:ascii="Times New Roman" w:hAnsi="Times New Roman"/>
                <w:sz w:val="20"/>
              </w:rPr>
              <w:t>3 – gestion efficace du portefeuille</w:t>
            </w:r>
            <w:r w:rsidR="00FE79E2" w:rsidRPr="009B1AB6">
              <w:rPr>
                <w:rFonts w:ascii="Times New Roman" w:hAnsi="Times New Roman" w:cs="Times New Roman"/>
                <w:sz w:val="20"/>
                <w:szCs w:val="20"/>
              </w:rPr>
              <w:br/>
            </w:r>
          </w:p>
        </w:tc>
      </w:tr>
      <w:tr w:rsidR="0095672C" w:rsidRPr="009B1AB6" w14:paraId="355535FE" w14:textId="77777777" w:rsidTr="00950116">
        <w:trPr>
          <w:trHeight w:val="1860"/>
        </w:trPr>
        <w:tc>
          <w:tcPr>
            <w:tcW w:w="1194" w:type="dxa"/>
            <w:hideMark/>
          </w:tcPr>
          <w:p w14:paraId="157994C1" w14:textId="42AF5C55"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lastRenderedPageBreak/>
              <w:t>C0</w:t>
            </w:r>
            <w:r w:rsidR="006B5EDA" w:rsidRPr="009B1AB6">
              <w:rPr>
                <w:rFonts w:ascii="Times New Roman" w:hAnsi="Times New Roman"/>
                <w:sz w:val="20"/>
              </w:rPr>
              <w:t>090</w:t>
            </w:r>
          </w:p>
        </w:tc>
        <w:tc>
          <w:tcPr>
            <w:tcW w:w="2388" w:type="dxa"/>
            <w:hideMark/>
          </w:tcPr>
          <w:p w14:paraId="744C66E2"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notionnel du dérivé</w:t>
            </w:r>
          </w:p>
        </w:tc>
        <w:tc>
          <w:tcPr>
            <w:tcW w:w="5801" w:type="dxa"/>
            <w:hideMark/>
          </w:tcPr>
          <w:p w14:paraId="3213E3D7"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Le montant couvert ou exposé au dérivé. </w:t>
            </w:r>
          </w:p>
          <w:p w14:paraId="40186CC6"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Pour les contrats à terme standardisés </w:t>
            </w:r>
            <w:r w:rsidRPr="009B1AB6">
              <w:rPr>
                <w:rFonts w:ascii="Times New Roman" w:hAnsi="Times New Roman"/>
                <w:i/>
                <w:sz w:val="20"/>
              </w:rPr>
              <w:t xml:space="preserve">(futures) </w:t>
            </w:r>
            <w:r w:rsidRPr="009B1AB6">
              <w:rPr>
                <w:rFonts w:ascii="Times New Roman" w:hAnsi="Times New Roman"/>
                <w:sz w:val="20"/>
              </w:rPr>
              <w:t xml:space="preserve">et les options, correspond à la taille du contrat multiplié par la valeur de déclenchement et par le nombre de contrats déclarés sur cette ligne. Pour les contrats d’échange </w:t>
            </w:r>
            <w:r w:rsidRPr="009B1AB6">
              <w:rPr>
                <w:rFonts w:ascii="Times New Roman" w:hAnsi="Times New Roman"/>
                <w:i/>
                <w:sz w:val="20"/>
              </w:rPr>
              <w:t>(swaps)</w:t>
            </w:r>
            <w:r w:rsidRPr="009B1AB6">
              <w:rPr>
                <w:rFonts w:ascii="Times New Roman" w:hAnsi="Times New Roman"/>
                <w:sz w:val="20"/>
              </w:rPr>
              <w:t xml:space="preserve"> et les contrats à terme de gré à gré </w:t>
            </w:r>
            <w:r w:rsidRPr="009B1AB6">
              <w:rPr>
                <w:rFonts w:ascii="Times New Roman" w:hAnsi="Times New Roman"/>
                <w:i/>
                <w:sz w:val="20"/>
              </w:rPr>
              <w:t>(forwards)</w:t>
            </w:r>
            <w:r w:rsidRPr="009B1AB6">
              <w:rPr>
                <w:rFonts w:ascii="Times New Roman" w:hAnsi="Times New Roman"/>
                <w:sz w:val="20"/>
              </w:rPr>
              <w:t>, correspond au montant contractuel des contrats déclarés sur cette ligne.</w:t>
            </w:r>
          </w:p>
          <w:p w14:paraId="0411AE37"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Le montant notionnel est le montant qui est couvert/investi (lorsqu’il ne s’agit pas de couvrir des risques). Si plusieurs échanges ont lieu, doit correspondre au montant net à la date de déclaration.</w:t>
            </w:r>
          </w:p>
        </w:tc>
      </w:tr>
      <w:tr w:rsidR="0095672C" w:rsidRPr="009B1AB6" w14:paraId="5665FC04" w14:textId="77777777" w:rsidTr="00083C22">
        <w:trPr>
          <w:trHeight w:val="841"/>
        </w:trPr>
        <w:tc>
          <w:tcPr>
            <w:tcW w:w="1194" w:type="dxa"/>
            <w:hideMark/>
          </w:tcPr>
          <w:p w14:paraId="21052C17" w14:textId="1B32B622" w:rsidR="0095672C" w:rsidRPr="009B1AB6" w:rsidRDefault="0095672C" w:rsidP="006B5EDA">
            <w:pPr>
              <w:pStyle w:val="Sansinterligne"/>
              <w:rPr>
                <w:rFonts w:ascii="Times New Roman" w:hAnsi="Times New Roman" w:cs="Times New Roman"/>
                <w:sz w:val="20"/>
                <w:szCs w:val="20"/>
              </w:rPr>
            </w:pPr>
            <w:r w:rsidRPr="009B1AB6">
              <w:rPr>
                <w:rFonts w:ascii="Times New Roman" w:hAnsi="Times New Roman"/>
                <w:sz w:val="20"/>
              </w:rPr>
              <w:t>C01</w:t>
            </w:r>
            <w:r w:rsidR="006B5EDA" w:rsidRPr="009B1AB6">
              <w:rPr>
                <w:rFonts w:ascii="Times New Roman" w:hAnsi="Times New Roman"/>
                <w:sz w:val="20"/>
              </w:rPr>
              <w:t>00</w:t>
            </w:r>
          </w:p>
        </w:tc>
        <w:tc>
          <w:tcPr>
            <w:tcW w:w="2388" w:type="dxa"/>
            <w:hideMark/>
          </w:tcPr>
          <w:p w14:paraId="5E792786"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Positions acheteur/vendeur</w:t>
            </w:r>
          </w:p>
        </w:tc>
        <w:tc>
          <w:tcPr>
            <w:tcW w:w="5801" w:type="dxa"/>
            <w:hideMark/>
          </w:tcPr>
          <w:p w14:paraId="68EE3038"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Ne concerne que les contrats à terme standardisés, les options, les dérivés de crédit et les contrats d’échange (swaps de devises, swaps de crédit et swaps de valeurs mobilières). </w:t>
            </w:r>
          </w:p>
          <w:p w14:paraId="14BCCDCE"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Indiquer si le contrat dérivé a été acheté ou vendu. </w:t>
            </w:r>
          </w:p>
          <w:p w14:paraId="2A301C2C"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Pour les contrats d’échange, la position acheteur ou vendeur est définie par rapport à la valeur mobilière ou au montant notionnel et aux flux d’échange. </w:t>
            </w:r>
          </w:p>
          <w:p w14:paraId="12B590A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Le vendeur d’un swap possède le titre ou le montant notionnel au début du contrat et s’engage à livrer ce titre ou ce montant notionnel, y compris, s’il y a lieu, toute autre sortie de trésorerie liée au contrat, pendant la durée de validité de celui-ci.</w:t>
            </w:r>
          </w:p>
          <w:p w14:paraId="5A7A9016"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L’acheteur d’un swap possèdera le titre ou le montant notionnel à l’échéance du contrat, mais recevra ce titre ou ce montant notionnel, y compris, s’il y a lieu, toute autre entrée de trésorerie liée au contrat, pendant la durée de validité de celui-ci.</w:t>
            </w:r>
          </w:p>
          <w:p w14:paraId="2AF671C9"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Choisir impérativement l’une des options suivantes, excepté pour les swaps de taux d’intérêt:</w:t>
            </w:r>
            <w:r w:rsidR="00FE79E2" w:rsidRPr="009B1AB6">
              <w:rPr>
                <w:rFonts w:ascii="Times New Roman" w:hAnsi="Times New Roman" w:cs="Times New Roman"/>
                <w:sz w:val="20"/>
                <w:szCs w:val="20"/>
              </w:rPr>
              <w:br/>
            </w:r>
            <w:r w:rsidRPr="009B1AB6">
              <w:rPr>
                <w:rFonts w:ascii="Times New Roman" w:hAnsi="Times New Roman"/>
                <w:sz w:val="20"/>
              </w:rPr>
              <w:t xml:space="preserve">1 – Position acheteur </w:t>
            </w:r>
            <w:r w:rsidR="00FE79E2" w:rsidRPr="009B1AB6">
              <w:rPr>
                <w:rFonts w:ascii="Times New Roman" w:hAnsi="Times New Roman" w:cs="Times New Roman"/>
                <w:sz w:val="20"/>
                <w:szCs w:val="20"/>
              </w:rPr>
              <w:br/>
            </w:r>
            <w:r w:rsidRPr="009B1AB6">
              <w:rPr>
                <w:rFonts w:ascii="Times New Roman" w:hAnsi="Times New Roman"/>
                <w:sz w:val="20"/>
              </w:rPr>
              <w:t>2 – Position vendeur</w:t>
            </w:r>
          </w:p>
          <w:p w14:paraId="4B780509"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Pour les swaps de taux d’intérêt,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 xml:space="preserve">3 – FX–FL: Fixe contre variable </w:t>
            </w:r>
            <w:r w:rsidR="00FE79E2" w:rsidRPr="009B1AB6">
              <w:rPr>
                <w:rFonts w:ascii="Times New Roman" w:hAnsi="Times New Roman" w:cs="Times New Roman"/>
                <w:sz w:val="20"/>
                <w:szCs w:val="20"/>
              </w:rPr>
              <w:br/>
            </w:r>
            <w:r w:rsidRPr="009B1AB6">
              <w:rPr>
                <w:rFonts w:ascii="Times New Roman" w:hAnsi="Times New Roman"/>
                <w:sz w:val="20"/>
              </w:rPr>
              <w:lastRenderedPageBreak/>
              <w:t xml:space="preserve">4 – FX–FX: Fixe contre fixe </w:t>
            </w:r>
            <w:r w:rsidR="00FE79E2" w:rsidRPr="009B1AB6">
              <w:rPr>
                <w:rFonts w:ascii="Times New Roman" w:hAnsi="Times New Roman" w:cs="Times New Roman"/>
                <w:sz w:val="20"/>
                <w:szCs w:val="20"/>
              </w:rPr>
              <w:br/>
            </w:r>
            <w:r w:rsidRPr="009B1AB6">
              <w:rPr>
                <w:rFonts w:ascii="Times New Roman" w:hAnsi="Times New Roman"/>
                <w:sz w:val="20"/>
              </w:rPr>
              <w:t>5 – FL–FX: Variable contre fixe</w:t>
            </w:r>
            <w:r w:rsidR="00FE79E2" w:rsidRPr="009B1AB6">
              <w:rPr>
                <w:rFonts w:ascii="Times New Roman" w:hAnsi="Times New Roman" w:cs="Times New Roman"/>
                <w:sz w:val="20"/>
                <w:szCs w:val="20"/>
              </w:rPr>
              <w:br/>
            </w:r>
            <w:r w:rsidRPr="009B1AB6">
              <w:rPr>
                <w:rFonts w:ascii="Times New Roman" w:hAnsi="Times New Roman"/>
                <w:sz w:val="20"/>
              </w:rPr>
              <w:t>6 – FL–FL: Variable contre variable</w:t>
            </w:r>
          </w:p>
        </w:tc>
      </w:tr>
      <w:tr w:rsidR="0095672C" w:rsidRPr="009B1AB6" w14:paraId="1AEA11B5" w14:textId="77777777" w:rsidTr="00950116">
        <w:trPr>
          <w:trHeight w:val="737"/>
        </w:trPr>
        <w:tc>
          <w:tcPr>
            <w:tcW w:w="1194" w:type="dxa"/>
            <w:hideMark/>
          </w:tcPr>
          <w:p w14:paraId="218205D0" w14:textId="082CF002"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lastRenderedPageBreak/>
              <w:t>C01</w:t>
            </w:r>
            <w:r w:rsidR="00812CB9" w:rsidRPr="009B1AB6">
              <w:rPr>
                <w:rFonts w:ascii="Times New Roman" w:hAnsi="Times New Roman"/>
                <w:sz w:val="20"/>
              </w:rPr>
              <w:t>1</w:t>
            </w:r>
            <w:r w:rsidRPr="009B1AB6">
              <w:rPr>
                <w:rFonts w:ascii="Times New Roman" w:hAnsi="Times New Roman"/>
                <w:sz w:val="20"/>
              </w:rPr>
              <w:t>0</w:t>
            </w:r>
          </w:p>
        </w:tc>
        <w:tc>
          <w:tcPr>
            <w:tcW w:w="2388" w:type="dxa"/>
            <w:hideMark/>
          </w:tcPr>
          <w:p w14:paraId="1425C6A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Prime versée à ce jour</w:t>
            </w:r>
          </w:p>
        </w:tc>
        <w:tc>
          <w:tcPr>
            <w:tcW w:w="5801" w:type="dxa"/>
            <w:hideMark/>
          </w:tcPr>
          <w:p w14:paraId="08435A41"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Le paiement effectué pour des options et les montants de prime initiale et périodique payés pour des contrats d’échange depuis le début (en cas d’achat). </w:t>
            </w:r>
          </w:p>
        </w:tc>
      </w:tr>
      <w:tr w:rsidR="0095672C" w:rsidRPr="009B1AB6" w14:paraId="623607DE" w14:textId="77777777" w:rsidTr="00950116">
        <w:trPr>
          <w:trHeight w:val="705"/>
        </w:trPr>
        <w:tc>
          <w:tcPr>
            <w:tcW w:w="1194" w:type="dxa"/>
          </w:tcPr>
          <w:p w14:paraId="20B61908" w14:textId="4D600F76" w:rsidR="0095672C" w:rsidRPr="009B1AB6" w:rsidRDefault="0095672C" w:rsidP="00950116">
            <w:pPr>
              <w:pStyle w:val="Sansinterligne"/>
              <w:rPr>
                <w:rFonts w:ascii="Times New Roman" w:hAnsi="Times New Roman" w:cs="Times New Roman"/>
                <w:sz w:val="20"/>
                <w:szCs w:val="20"/>
              </w:rPr>
            </w:pPr>
            <w:r w:rsidRPr="009B1AB6">
              <w:rPr>
                <w:rFonts w:ascii="Times New Roman" w:hAnsi="Times New Roman"/>
                <w:sz w:val="20"/>
              </w:rPr>
              <w:t>C</w:t>
            </w:r>
            <w:r w:rsidR="00812CB9" w:rsidRPr="009B1AB6">
              <w:rPr>
                <w:rFonts w:ascii="Times New Roman" w:hAnsi="Times New Roman"/>
                <w:sz w:val="20"/>
              </w:rPr>
              <w:t>012</w:t>
            </w:r>
            <w:r w:rsidRPr="009B1AB6">
              <w:rPr>
                <w:rFonts w:ascii="Times New Roman" w:hAnsi="Times New Roman"/>
                <w:sz w:val="20"/>
              </w:rPr>
              <w:t>0</w:t>
            </w:r>
          </w:p>
        </w:tc>
        <w:tc>
          <w:tcPr>
            <w:tcW w:w="2388" w:type="dxa"/>
          </w:tcPr>
          <w:p w14:paraId="04EB1E4D"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Prime reçue à ce jour</w:t>
            </w:r>
          </w:p>
        </w:tc>
        <w:tc>
          <w:tcPr>
            <w:tcW w:w="5801" w:type="dxa"/>
          </w:tcPr>
          <w:p w14:paraId="4AF63402"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Le paiement reçu pour des options et les montants de prime initiale et périodique reçus pour des contrats d’échange depuis le début (en cas de vente).</w:t>
            </w:r>
          </w:p>
        </w:tc>
      </w:tr>
      <w:tr w:rsidR="0095672C" w:rsidRPr="009B1AB6" w14:paraId="4A52D09C" w14:textId="77777777" w:rsidTr="00950116">
        <w:trPr>
          <w:trHeight w:val="487"/>
        </w:trPr>
        <w:tc>
          <w:tcPr>
            <w:tcW w:w="1194" w:type="dxa"/>
            <w:hideMark/>
          </w:tcPr>
          <w:p w14:paraId="4DD8B301" w14:textId="5A2A7DB5"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C01</w:t>
            </w:r>
            <w:r w:rsidR="00812CB9" w:rsidRPr="009B1AB6">
              <w:rPr>
                <w:rFonts w:ascii="Times New Roman" w:hAnsi="Times New Roman"/>
                <w:sz w:val="20"/>
              </w:rPr>
              <w:t>3</w:t>
            </w:r>
            <w:r w:rsidRPr="009B1AB6">
              <w:rPr>
                <w:rFonts w:ascii="Times New Roman" w:hAnsi="Times New Roman"/>
                <w:sz w:val="20"/>
              </w:rPr>
              <w:t>0</w:t>
            </w:r>
          </w:p>
        </w:tc>
        <w:tc>
          <w:tcPr>
            <w:tcW w:w="2388" w:type="dxa"/>
            <w:hideMark/>
          </w:tcPr>
          <w:p w14:paraId="0D5801A9"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Gains et pertes à ce jour</w:t>
            </w:r>
          </w:p>
        </w:tc>
        <w:tc>
          <w:tcPr>
            <w:tcW w:w="5801" w:type="dxa"/>
            <w:hideMark/>
          </w:tcPr>
          <w:p w14:paraId="04447123"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des gains et pertes ayant découlé du dérivé depuis le début, réalisées à la date de clôture/d’échéance. Correspond à la différence de valeur (prix) entre la date de vente et la date d’acquisition.</w:t>
            </w:r>
          </w:p>
          <w:p w14:paraId="50B4FCC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Ce montant peut être positif (profit) ou négatif (perte). </w:t>
            </w:r>
          </w:p>
        </w:tc>
      </w:tr>
      <w:tr w:rsidR="0095672C" w:rsidRPr="009B1AB6" w14:paraId="57D9D45C" w14:textId="77777777" w:rsidTr="00950116">
        <w:trPr>
          <w:trHeight w:val="1410"/>
        </w:trPr>
        <w:tc>
          <w:tcPr>
            <w:tcW w:w="1194" w:type="dxa"/>
            <w:hideMark/>
          </w:tcPr>
          <w:p w14:paraId="6619DAD8" w14:textId="587D0243"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C01</w:t>
            </w:r>
            <w:r w:rsidR="00812CB9" w:rsidRPr="009B1AB6">
              <w:rPr>
                <w:rFonts w:ascii="Times New Roman" w:hAnsi="Times New Roman"/>
                <w:sz w:val="20"/>
              </w:rPr>
              <w:t>4</w:t>
            </w:r>
            <w:r w:rsidRPr="009B1AB6">
              <w:rPr>
                <w:rFonts w:ascii="Times New Roman" w:hAnsi="Times New Roman"/>
                <w:sz w:val="20"/>
              </w:rPr>
              <w:t>0</w:t>
            </w:r>
          </w:p>
        </w:tc>
        <w:tc>
          <w:tcPr>
            <w:tcW w:w="2388" w:type="dxa"/>
            <w:hideMark/>
          </w:tcPr>
          <w:p w14:paraId="08ED7913"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Nombre de contrats</w:t>
            </w:r>
          </w:p>
        </w:tc>
        <w:tc>
          <w:tcPr>
            <w:tcW w:w="5801" w:type="dxa"/>
            <w:hideMark/>
          </w:tcPr>
          <w:p w14:paraId="194A70E6"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Nombre de contrats dérivés similaires déclarés sur la même ligne. Pour les contrats dérivés de gré à gré, déclarer, par exemple, «1» pour un contrat d’échange ou «10» pour dix contrats d’échange présentant les mêmes caractéristiques.</w:t>
            </w:r>
            <w:r w:rsidR="00FE79E2" w:rsidRPr="009B1AB6">
              <w:rPr>
                <w:rFonts w:ascii="Times New Roman" w:hAnsi="Times New Roman" w:cs="Times New Roman"/>
                <w:sz w:val="20"/>
                <w:szCs w:val="20"/>
              </w:rPr>
              <w:br/>
            </w:r>
            <w:r w:rsidRPr="009B1AB6">
              <w:rPr>
                <w:rFonts w:ascii="Times New Roman" w:hAnsi="Times New Roman"/>
                <w:sz w:val="20"/>
              </w:rPr>
              <w:t>Le nombre de contrats doit être celui des contrats conclus, mais clôturés à la date de déclaration.</w:t>
            </w:r>
          </w:p>
        </w:tc>
      </w:tr>
      <w:tr w:rsidR="0095672C" w:rsidRPr="009B1AB6" w14:paraId="23013549" w14:textId="77777777" w:rsidTr="00950116">
        <w:trPr>
          <w:trHeight w:val="1140"/>
        </w:trPr>
        <w:tc>
          <w:tcPr>
            <w:tcW w:w="1194" w:type="dxa"/>
            <w:hideMark/>
          </w:tcPr>
          <w:p w14:paraId="5AB4BF16" w14:textId="1E4CB4D0"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C01</w:t>
            </w:r>
            <w:r w:rsidR="00812CB9" w:rsidRPr="009B1AB6">
              <w:rPr>
                <w:rFonts w:ascii="Times New Roman" w:hAnsi="Times New Roman"/>
                <w:sz w:val="20"/>
              </w:rPr>
              <w:t>5</w:t>
            </w:r>
            <w:r w:rsidRPr="009B1AB6">
              <w:rPr>
                <w:rFonts w:ascii="Times New Roman" w:hAnsi="Times New Roman"/>
                <w:sz w:val="20"/>
              </w:rPr>
              <w:t>0</w:t>
            </w:r>
          </w:p>
        </w:tc>
        <w:tc>
          <w:tcPr>
            <w:tcW w:w="2388" w:type="dxa"/>
            <w:hideMark/>
          </w:tcPr>
          <w:p w14:paraId="63139DE2"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Taille du contrat</w:t>
            </w:r>
          </w:p>
        </w:tc>
        <w:tc>
          <w:tcPr>
            <w:tcW w:w="5801" w:type="dxa"/>
            <w:hideMark/>
          </w:tcPr>
          <w:p w14:paraId="029CE0B7"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Nombre d’actifs sous-jacents au contrat; par exemple, pour les contrats à terme standardisés sur actions </w:t>
            </w:r>
            <w:r w:rsidRPr="009B1AB6">
              <w:rPr>
                <w:rFonts w:ascii="Times New Roman" w:hAnsi="Times New Roman"/>
                <w:i/>
                <w:sz w:val="20"/>
              </w:rPr>
              <w:t>(equity futures)</w:t>
            </w:r>
            <w:r w:rsidRPr="009B1AB6">
              <w:rPr>
                <w:rFonts w:ascii="Times New Roman" w:hAnsi="Times New Roman"/>
                <w:sz w:val="20"/>
              </w:rPr>
              <w:t xml:space="preserve">, correspond au nombre d’actions à livrer par contrat dérivé à l’échéance et, pour les contrats à terme standardisés sur obligations </w:t>
            </w:r>
            <w:r w:rsidRPr="009B1AB6">
              <w:rPr>
                <w:rFonts w:ascii="Times New Roman" w:hAnsi="Times New Roman"/>
                <w:i/>
                <w:sz w:val="20"/>
              </w:rPr>
              <w:t>(bond futures)</w:t>
            </w:r>
            <w:r w:rsidRPr="009B1AB6">
              <w:rPr>
                <w:rFonts w:ascii="Times New Roman" w:hAnsi="Times New Roman"/>
                <w:sz w:val="20"/>
              </w:rPr>
              <w:t>, au montant de référence sous-jacent à chaque contrat</w:t>
            </w:r>
            <w:r w:rsidRPr="009B1AB6">
              <w:rPr>
                <w:rFonts w:ascii="Times New Roman" w:hAnsi="Times New Roman"/>
                <w:i/>
                <w:sz w:val="20"/>
              </w:rPr>
              <w:t>.</w:t>
            </w:r>
            <w:r w:rsidR="00FE79E2" w:rsidRPr="009B1AB6">
              <w:rPr>
                <w:rFonts w:ascii="Times New Roman" w:hAnsi="Times New Roman" w:cs="Times New Roman"/>
                <w:sz w:val="20"/>
                <w:szCs w:val="20"/>
              </w:rPr>
              <w:br/>
            </w:r>
            <w:r w:rsidRPr="009B1AB6">
              <w:rPr>
                <w:rFonts w:ascii="Times New Roman" w:hAnsi="Times New Roman"/>
                <w:sz w:val="20"/>
              </w:rPr>
              <w:t>La manière dont la taille du contrat est définie varie en fonction du type d’instrument. Pour les contrats à terme standardisés sur actions, il est commun de définir la taille du contrat en fonction du nombre d’actions sous-jacentes au contrat.</w:t>
            </w:r>
          </w:p>
          <w:p w14:paraId="57657863"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Pour les contrats à terme standardisés sur obligations, c’est le montant obligataire nominal qui est déterminant.</w:t>
            </w:r>
          </w:p>
          <w:p w14:paraId="6AC858BD"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concerne que les contrats à terme standardisés et les options.</w:t>
            </w:r>
          </w:p>
        </w:tc>
      </w:tr>
      <w:tr w:rsidR="0095672C" w:rsidRPr="009B1AB6" w14:paraId="49FB6C71" w14:textId="77777777" w:rsidTr="00950116">
        <w:trPr>
          <w:trHeight w:val="570"/>
        </w:trPr>
        <w:tc>
          <w:tcPr>
            <w:tcW w:w="1194" w:type="dxa"/>
            <w:hideMark/>
          </w:tcPr>
          <w:p w14:paraId="0065F748" w14:textId="34E2208C"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C01</w:t>
            </w:r>
            <w:r w:rsidR="00812CB9" w:rsidRPr="009B1AB6">
              <w:rPr>
                <w:rFonts w:ascii="Times New Roman" w:hAnsi="Times New Roman"/>
                <w:sz w:val="20"/>
              </w:rPr>
              <w:t>6</w:t>
            </w:r>
            <w:r w:rsidRPr="009B1AB6">
              <w:rPr>
                <w:rFonts w:ascii="Times New Roman" w:hAnsi="Times New Roman"/>
                <w:sz w:val="20"/>
              </w:rPr>
              <w:t>0</w:t>
            </w:r>
          </w:p>
        </w:tc>
        <w:tc>
          <w:tcPr>
            <w:tcW w:w="2388" w:type="dxa"/>
            <w:hideMark/>
          </w:tcPr>
          <w:p w14:paraId="62CC3CC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Perte maximale en cas d’événement de dénouement</w:t>
            </w:r>
          </w:p>
        </w:tc>
        <w:tc>
          <w:tcPr>
            <w:tcW w:w="5801" w:type="dxa"/>
            <w:hideMark/>
          </w:tcPr>
          <w:p w14:paraId="50438969" w14:textId="668A7B26"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Indiquer le montant maximal des pertes si un événement de dénouement devait survenir. Applicable à la catégorie CIC F</w:t>
            </w:r>
            <w:r w:rsidR="00482CC5" w:rsidRPr="009B1AB6">
              <w:rPr>
                <w:rFonts w:ascii="Times New Roman" w:hAnsi="Times New Roman"/>
                <w:sz w:val="20"/>
              </w:rPr>
              <w:t xml:space="preserve"> (dérivés de crédit).</w:t>
            </w:r>
          </w:p>
        </w:tc>
      </w:tr>
      <w:tr w:rsidR="0095672C" w:rsidRPr="009B1AB6" w14:paraId="2A3B2581" w14:textId="77777777" w:rsidTr="00950116">
        <w:trPr>
          <w:trHeight w:val="855"/>
        </w:trPr>
        <w:tc>
          <w:tcPr>
            <w:tcW w:w="1194" w:type="dxa"/>
            <w:hideMark/>
          </w:tcPr>
          <w:p w14:paraId="4D7C0916" w14:textId="3FF3D06D"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w:t>
            </w:r>
            <w:r w:rsidR="00812CB9" w:rsidRPr="009B1AB6">
              <w:rPr>
                <w:rFonts w:ascii="Times New Roman" w:hAnsi="Times New Roman"/>
                <w:sz w:val="20"/>
              </w:rPr>
              <w:t>170</w:t>
            </w:r>
          </w:p>
        </w:tc>
        <w:tc>
          <w:tcPr>
            <w:tcW w:w="2388" w:type="dxa"/>
            <w:hideMark/>
          </w:tcPr>
          <w:p w14:paraId="2A756942"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Flux financiers sortants liés au contrat d’échange</w:t>
            </w:r>
          </w:p>
        </w:tc>
        <w:tc>
          <w:tcPr>
            <w:tcW w:w="5801" w:type="dxa"/>
            <w:hideMark/>
          </w:tcPr>
          <w:p w14:paraId="7553E1C3"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livré en exécution du contrat d’échange (à l’exclusion des primes), au cours de la période de référence. Correspond aux intérêts payés pour les swaps de taux d’intérêt et aux montants livrés pour les swaps de devises, les swaps de crédit, les swaps sur rendement total et autres swaps.</w:t>
            </w:r>
          </w:p>
          <w:p w14:paraId="2E08FF69" w14:textId="0887FAE0" w:rsidR="0095672C" w:rsidRPr="009B1AB6" w:rsidRDefault="0095672C" w:rsidP="00812CB9">
            <w:pPr>
              <w:rPr>
                <w:rFonts w:ascii="Times New Roman" w:hAnsi="Times New Roman" w:cs="Times New Roman"/>
                <w:sz w:val="20"/>
                <w:szCs w:val="20"/>
              </w:rPr>
            </w:pPr>
            <w:r w:rsidRPr="009B1AB6">
              <w:rPr>
                <w:rFonts w:ascii="Times New Roman" w:hAnsi="Times New Roman"/>
                <w:sz w:val="20"/>
              </w:rPr>
              <w:t>Dans les cas où le règlement est effectué sur une base nette, ne déclarer que l’un des éléments C0</w:t>
            </w:r>
            <w:r w:rsidR="00812CB9" w:rsidRPr="009B1AB6">
              <w:rPr>
                <w:rFonts w:ascii="Times New Roman" w:hAnsi="Times New Roman"/>
                <w:sz w:val="20"/>
              </w:rPr>
              <w:t>170</w:t>
            </w:r>
            <w:r w:rsidRPr="009B1AB6">
              <w:rPr>
                <w:rFonts w:ascii="Times New Roman" w:hAnsi="Times New Roman"/>
                <w:sz w:val="20"/>
              </w:rPr>
              <w:t xml:space="preserve"> et C0</w:t>
            </w:r>
            <w:r w:rsidR="00812CB9" w:rsidRPr="009B1AB6">
              <w:rPr>
                <w:rFonts w:ascii="Times New Roman" w:hAnsi="Times New Roman"/>
                <w:sz w:val="20"/>
              </w:rPr>
              <w:t>180</w:t>
            </w:r>
            <w:r w:rsidRPr="009B1AB6">
              <w:rPr>
                <w:rFonts w:ascii="Times New Roman" w:hAnsi="Times New Roman"/>
                <w:sz w:val="20"/>
              </w:rPr>
              <w:t>.</w:t>
            </w:r>
          </w:p>
        </w:tc>
      </w:tr>
      <w:tr w:rsidR="0095672C" w:rsidRPr="009B1AB6" w14:paraId="2374D2A1" w14:textId="77777777" w:rsidTr="00950116">
        <w:trPr>
          <w:trHeight w:val="855"/>
        </w:trPr>
        <w:tc>
          <w:tcPr>
            <w:tcW w:w="1194" w:type="dxa"/>
            <w:hideMark/>
          </w:tcPr>
          <w:p w14:paraId="3A1A8ED8" w14:textId="0BCDB5F9"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lastRenderedPageBreak/>
              <w:t>C0</w:t>
            </w:r>
            <w:r w:rsidR="00812CB9" w:rsidRPr="009B1AB6">
              <w:rPr>
                <w:rFonts w:ascii="Times New Roman" w:hAnsi="Times New Roman"/>
                <w:sz w:val="20"/>
              </w:rPr>
              <w:t>180</w:t>
            </w:r>
          </w:p>
        </w:tc>
        <w:tc>
          <w:tcPr>
            <w:tcW w:w="2388" w:type="dxa"/>
            <w:hideMark/>
          </w:tcPr>
          <w:p w14:paraId="27E6CB2A"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des entrées de trésorerie liées au contrat d’échange</w:t>
            </w:r>
          </w:p>
        </w:tc>
        <w:tc>
          <w:tcPr>
            <w:tcW w:w="5801" w:type="dxa"/>
            <w:hideMark/>
          </w:tcPr>
          <w:p w14:paraId="5C0CC3CD"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Montant reçu en exécution du contrat d’échange (à l’exclusion des primes), au cours de la période de référence. Correspond aux intérêts reçus pour les swaps de taux d’intérêt et aux montants reçus pour les swaps de devises, les swaps de crédit, les swaps sur rendement total et autres swaps.</w:t>
            </w:r>
          </w:p>
          <w:p w14:paraId="70C07C7E" w14:textId="6782EB64" w:rsidR="0095672C" w:rsidRPr="009B1AB6" w:rsidRDefault="0095672C" w:rsidP="00812CB9">
            <w:pPr>
              <w:rPr>
                <w:rFonts w:ascii="Times New Roman" w:hAnsi="Times New Roman" w:cs="Times New Roman"/>
                <w:sz w:val="20"/>
                <w:szCs w:val="20"/>
              </w:rPr>
            </w:pPr>
            <w:r w:rsidRPr="009B1AB6">
              <w:rPr>
                <w:rFonts w:ascii="Times New Roman" w:hAnsi="Times New Roman"/>
                <w:sz w:val="20"/>
              </w:rPr>
              <w:t>Dans les cas où le règlement est effectué sur une base nette, ne déclarer que l’un des éléments C0</w:t>
            </w:r>
            <w:r w:rsidR="00812CB9" w:rsidRPr="009B1AB6">
              <w:rPr>
                <w:rFonts w:ascii="Times New Roman" w:hAnsi="Times New Roman"/>
                <w:sz w:val="20"/>
              </w:rPr>
              <w:t>170</w:t>
            </w:r>
            <w:r w:rsidRPr="009B1AB6">
              <w:rPr>
                <w:rFonts w:ascii="Times New Roman" w:hAnsi="Times New Roman"/>
                <w:sz w:val="20"/>
              </w:rPr>
              <w:t xml:space="preserve"> et C</w:t>
            </w:r>
            <w:r w:rsidR="00F01D50" w:rsidRPr="009B1AB6">
              <w:rPr>
                <w:rFonts w:ascii="Times New Roman" w:hAnsi="Times New Roman"/>
                <w:sz w:val="20"/>
              </w:rPr>
              <w:t>0</w:t>
            </w:r>
            <w:r w:rsidR="00812CB9" w:rsidRPr="009B1AB6">
              <w:rPr>
                <w:rFonts w:ascii="Times New Roman" w:hAnsi="Times New Roman"/>
                <w:sz w:val="20"/>
              </w:rPr>
              <w:t>180</w:t>
            </w:r>
            <w:r w:rsidRPr="009B1AB6">
              <w:rPr>
                <w:rFonts w:ascii="Times New Roman" w:hAnsi="Times New Roman"/>
                <w:sz w:val="20"/>
              </w:rPr>
              <w:t>.</w:t>
            </w:r>
          </w:p>
        </w:tc>
      </w:tr>
      <w:tr w:rsidR="0095672C" w:rsidRPr="009B1AB6" w14:paraId="1CC02757" w14:textId="77777777" w:rsidTr="00950116">
        <w:trPr>
          <w:trHeight w:val="346"/>
        </w:trPr>
        <w:tc>
          <w:tcPr>
            <w:tcW w:w="1194" w:type="dxa"/>
            <w:hideMark/>
          </w:tcPr>
          <w:p w14:paraId="53C130D8" w14:textId="09B25B7A"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w:t>
            </w:r>
            <w:r w:rsidR="00812CB9" w:rsidRPr="009B1AB6">
              <w:rPr>
                <w:rFonts w:ascii="Times New Roman" w:hAnsi="Times New Roman"/>
                <w:sz w:val="20"/>
              </w:rPr>
              <w:t>190</w:t>
            </w:r>
          </w:p>
        </w:tc>
        <w:tc>
          <w:tcPr>
            <w:tcW w:w="2388" w:type="dxa"/>
            <w:hideMark/>
          </w:tcPr>
          <w:p w14:paraId="357BBDD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Date initiale</w:t>
            </w:r>
          </w:p>
        </w:tc>
        <w:tc>
          <w:tcPr>
            <w:tcW w:w="5801" w:type="dxa"/>
            <w:hideMark/>
          </w:tcPr>
          <w:p w14:paraId="672DAB41"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Indiquer le code ISO 8601 (aaaa-mm-jj) de la date à laquelle les obligations prévues au contrat prennent effet. </w:t>
            </w:r>
            <w:r w:rsidR="00FE79E2" w:rsidRPr="009B1AB6">
              <w:rPr>
                <w:rFonts w:ascii="Times New Roman" w:hAnsi="Times New Roman" w:cs="Times New Roman"/>
                <w:sz w:val="20"/>
                <w:szCs w:val="20"/>
              </w:rPr>
              <w:br/>
            </w:r>
            <w:r w:rsidRPr="009B1AB6">
              <w:rPr>
                <w:rFonts w:ascii="Times New Roman" w:hAnsi="Times New Roman"/>
                <w:sz w:val="20"/>
              </w:rPr>
              <w:t>Lorsqu’il y a plusieurs dates pour un même dérivé, déclarer uniquement la date du premier échange et n’employer qu’une ligne par dérivé (non une ligne différente pour chaque échange) reflétant le montant global investi dans ce dérivé compte tenu des différentes dates d’échange.</w:t>
            </w:r>
          </w:p>
          <w:p w14:paraId="5E0FBC85"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En cas de novation, la date de novation devient la date d’échange pour ce dérivé.</w:t>
            </w:r>
          </w:p>
        </w:tc>
      </w:tr>
      <w:tr w:rsidR="0095672C" w:rsidRPr="009B1AB6" w14:paraId="5B1839D1" w14:textId="77777777" w:rsidTr="00950116">
        <w:trPr>
          <w:trHeight w:val="570"/>
        </w:trPr>
        <w:tc>
          <w:tcPr>
            <w:tcW w:w="1194" w:type="dxa"/>
            <w:hideMark/>
          </w:tcPr>
          <w:p w14:paraId="12B1F319" w14:textId="6AEF98A8"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w:t>
            </w:r>
            <w:r w:rsidR="00812CB9" w:rsidRPr="009B1AB6">
              <w:rPr>
                <w:rFonts w:ascii="Times New Roman" w:hAnsi="Times New Roman"/>
                <w:sz w:val="20"/>
              </w:rPr>
              <w:t>200</w:t>
            </w:r>
          </w:p>
        </w:tc>
        <w:tc>
          <w:tcPr>
            <w:tcW w:w="2388" w:type="dxa"/>
            <w:hideMark/>
          </w:tcPr>
          <w:p w14:paraId="4FC7CC4A" w14:textId="39EA7120" w:rsidR="0095672C" w:rsidRPr="009B1AB6" w:rsidRDefault="0095672C" w:rsidP="00482CC5">
            <w:pPr>
              <w:spacing w:after="200" w:line="276" w:lineRule="auto"/>
              <w:rPr>
                <w:rFonts w:ascii="Times New Roman" w:hAnsi="Times New Roman" w:cs="Times New Roman"/>
                <w:sz w:val="20"/>
                <w:szCs w:val="20"/>
              </w:rPr>
            </w:pPr>
            <w:r w:rsidRPr="009B1AB6">
              <w:rPr>
                <w:rFonts w:ascii="Times New Roman" w:hAnsi="Times New Roman"/>
                <w:sz w:val="20"/>
              </w:rPr>
              <w:t xml:space="preserve">Valeur </w:t>
            </w:r>
            <w:r w:rsidR="00482CC5" w:rsidRPr="009B1AB6">
              <w:rPr>
                <w:rFonts w:ascii="Times New Roman" w:hAnsi="Times New Roman"/>
                <w:sz w:val="20"/>
              </w:rPr>
              <w:t>de réalisation</w:t>
            </w:r>
          </w:p>
        </w:tc>
        <w:tc>
          <w:tcPr>
            <w:tcW w:w="5801" w:type="dxa"/>
            <w:hideMark/>
          </w:tcPr>
          <w:p w14:paraId="3EF5144A" w14:textId="6CB90E92" w:rsidR="0095672C" w:rsidRPr="009B1AB6" w:rsidRDefault="00482CC5" w:rsidP="00DB7C64">
            <w:pPr>
              <w:rPr>
                <w:rFonts w:ascii="Times New Roman" w:hAnsi="Times New Roman" w:cs="Times New Roman"/>
                <w:sz w:val="20"/>
                <w:szCs w:val="20"/>
              </w:rPr>
            </w:pPr>
            <w:r w:rsidRPr="009B1AB6">
              <w:rPr>
                <w:rFonts w:ascii="Times New Roman" w:hAnsi="Times New Roman"/>
                <w:sz w:val="20"/>
              </w:rPr>
              <w:t>Indiquer la valeur de réalisation. Une valeur numérique est attendue.</w:t>
            </w:r>
          </w:p>
        </w:tc>
      </w:tr>
    </w:tbl>
    <w:p w14:paraId="1F73D5DE" w14:textId="77777777" w:rsidR="00D409C6" w:rsidRPr="009B1AB6" w:rsidRDefault="00D409C6" w:rsidP="00950116">
      <w:pPr>
        <w:spacing w:before="120" w:after="120"/>
        <w:rPr>
          <w:rFonts w:ascii="Times New Roman" w:hAnsi="Times New Roman"/>
          <w:b/>
          <w:sz w:val="20"/>
        </w:rPr>
      </w:pPr>
    </w:p>
    <w:p w14:paraId="4B6EE616" w14:textId="39E070CD" w:rsidR="0095672C" w:rsidRPr="009B1AB6" w:rsidRDefault="0095672C" w:rsidP="00950116">
      <w:pPr>
        <w:spacing w:before="120" w:after="120"/>
        <w:rPr>
          <w:rFonts w:ascii="Times New Roman" w:hAnsi="Times New Roman"/>
          <w:b/>
          <w:sz w:val="20"/>
        </w:rPr>
      </w:pPr>
      <w:r w:rsidRPr="009B1AB6">
        <w:rPr>
          <w:rFonts w:ascii="Times New Roman" w:hAnsi="Times New Roman"/>
          <w:b/>
          <w:sz w:val="20"/>
        </w:rPr>
        <w:t>Informations sur les dérivés</w:t>
      </w:r>
    </w:p>
    <w:p w14:paraId="7254496D" w14:textId="77777777" w:rsidR="00D409C6" w:rsidRPr="009B1AB6" w:rsidRDefault="00D409C6" w:rsidP="00950116">
      <w:pPr>
        <w:spacing w:before="120" w:after="120"/>
        <w:rPr>
          <w:rFonts w:ascii="Times New Roman" w:hAnsi="Times New Roman" w:cs="Times New Roman"/>
          <w:b/>
          <w:sz w:val="20"/>
          <w:szCs w:val="20"/>
        </w:rPr>
      </w:pPr>
    </w:p>
    <w:tbl>
      <w:tblPr>
        <w:tblStyle w:val="Grilledutableau"/>
        <w:tblW w:w="9322" w:type="dxa"/>
        <w:tblLook w:val="04A0" w:firstRow="1" w:lastRow="0" w:firstColumn="1" w:lastColumn="0" w:noHBand="0" w:noVBand="1"/>
      </w:tblPr>
      <w:tblGrid>
        <w:gridCol w:w="1194"/>
        <w:gridCol w:w="2320"/>
        <w:gridCol w:w="5808"/>
      </w:tblGrid>
      <w:tr w:rsidR="0095672C" w:rsidRPr="009B1AB6" w14:paraId="036465EB" w14:textId="77777777" w:rsidTr="00950116">
        <w:trPr>
          <w:trHeight w:val="327"/>
        </w:trPr>
        <w:tc>
          <w:tcPr>
            <w:tcW w:w="1194" w:type="dxa"/>
          </w:tcPr>
          <w:p w14:paraId="787DA7B1" w14:textId="77777777" w:rsidR="0095672C" w:rsidRPr="009B1AB6" w:rsidRDefault="0095672C" w:rsidP="00950116">
            <w:pPr>
              <w:rPr>
                <w:rFonts w:ascii="Times New Roman" w:hAnsi="Times New Roman" w:cs="Times New Roman"/>
                <w:b/>
                <w:sz w:val="20"/>
                <w:szCs w:val="20"/>
              </w:rPr>
            </w:pPr>
          </w:p>
        </w:tc>
        <w:tc>
          <w:tcPr>
            <w:tcW w:w="2320" w:type="dxa"/>
          </w:tcPr>
          <w:p w14:paraId="07971901" w14:textId="77777777" w:rsidR="0095672C" w:rsidRPr="009B1AB6" w:rsidRDefault="0095672C" w:rsidP="00950116">
            <w:pPr>
              <w:jc w:val="center"/>
              <w:rPr>
                <w:rFonts w:ascii="Times New Roman" w:hAnsi="Times New Roman" w:cs="Times New Roman"/>
                <w:b/>
                <w:sz w:val="20"/>
                <w:szCs w:val="20"/>
              </w:rPr>
            </w:pPr>
            <w:r w:rsidRPr="009B1AB6">
              <w:rPr>
                <w:rFonts w:ascii="Times New Roman" w:hAnsi="Times New Roman"/>
                <w:b/>
                <w:sz w:val="20"/>
              </w:rPr>
              <w:t>ÉLÉMENT À DÉCLARER</w:t>
            </w:r>
          </w:p>
        </w:tc>
        <w:tc>
          <w:tcPr>
            <w:tcW w:w="5808" w:type="dxa"/>
          </w:tcPr>
          <w:p w14:paraId="4AA6FDD3" w14:textId="77777777" w:rsidR="0095672C" w:rsidRPr="009B1AB6" w:rsidRDefault="0095672C" w:rsidP="00950116">
            <w:pPr>
              <w:jc w:val="center"/>
              <w:rPr>
                <w:rFonts w:ascii="Times New Roman" w:hAnsi="Times New Roman" w:cs="Times New Roman"/>
                <w:b/>
                <w:sz w:val="20"/>
                <w:szCs w:val="20"/>
              </w:rPr>
            </w:pPr>
            <w:r w:rsidRPr="009B1AB6">
              <w:rPr>
                <w:rFonts w:ascii="Times New Roman" w:hAnsi="Times New Roman"/>
                <w:b/>
                <w:sz w:val="20"/>
              </w:rPr>
              <w:t>INSTRUCTIONS</w:t>
            </w:r>
          </w:p>
        </w:tc>
      </w:tr>
      <w:tr w:rsidR="0095672C" w:rsidRPr="009B1AB6" w14:paraId="0E533B57" w14:textId="77777777" w:rsidTr="00950116">
        <w:trPr>
          <w:trHeight w:val="1575"/>
        </w:trPr>
        <w:tc>
          <w:tcPr>
            <w:tcW w:w="1194" w:type="dxa"/>
            <w:hideMark/>
          </w:tcPr>
          <w:p w14:paraId="3DA688D1" w14:textId="60B6E60C"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C00</w:t>
            </w:r>
            <w:r w:rsidR="00812CB9" w:rsidRPr="009B1AB6">
              <w:rPr>
                <w:rFonts w:ascii="Times New Roman" w:hAnsi="Times New Roman"/>
                <w:sz w:val="20"/>
              </w:rPr>
              <w:t>1</w:t>
            </w:r>
            <w:r w:rsidRPr="009B1AB6">
              <w:rPr>
                <w:rFonts w:ascii="Times New Roman" w:hAnsi="Times New Roman"/>
                <w:sz w:val="20"/>
              </w:rPr>
              <w:t>0</w:t>
            </w:r>
          </w:p>
        </w:tc>
        <w:tc>
          <w:tcPr>
            <w:tcW w:w="2320" w:type="dxa"/>
            <w:hideMark/>
          </w:tcPr>
          <w:p w14:paraId="38DB865A"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Code d’identification du dérivé</w:t>
            </w:r>
          </w:p>
        </w:tc>
        <w:tc>
          <w:tcPr>
            <w:tcW w:w="5808" w:type="dxa"/>
            <w:hideMark/>
          </w:tcPr>
          <w:p w14:paraId="58BE0F06" w14:textId="6A130EA8" w:rsidR="0095672C" w:rsidRPr="009B1AB6" w:rsidRDefault="0095672C" w:rsidP="00482CC5">
            <w:pPr>
              <w:spacing w:after="200"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du dérivé, par ordre de priorité suivant: </w:t>
            </w:r>
            <w:r w:rsidR="00FE79E2" w:rsidRPr="009B1AB6">
              <w:rPr>
                <w:rFonts w:ascii="Times New Roman" w:hAnsi="Times New Roman" w:cs="Times New Roman"/>
                <w:sz w:val="20"/>
                <w:szCs w:val="20"/>
              </w:rPr>
              <w:br/>
            </w:r>
            <w:r w:rsidRPr="009B1AB6">
              <w:rPr>
                <w:rFonts w:ascii="Times New Roman" w:hAnsi="Times New Roman"/>
                <w:sz w:val="20"/>
              </w:rPr>
              <w:t xml:space="preserve">  – code ISIN de l’ISO 6166 si disponible</w:t>
            </w:r>
            <w:r w:rsidR="00FE79E2" w:rsidRPr="009B1AB6">
              <w:rPr>
                <w:rFonts w:ascii="Times New Roman" w:hAnsi="Times New Roman" w:cs="Times New Roman"/>
                <w:sz w:val="20"/>
                <w:szCs w:val="20"/>
              </w:rPr>
              <w:br/>
            </w:r>
            <w:r w:rsidRPr="009B1AB6">
              <w:rPr>
                <w:rFonts w:ascii="Times New Roman" w:hAnsi="Times New Roman"/>
                <w:sz w:val="20"/>
              </w:rPr>
              <w:t xml:space="preserve">  – autres codes reconnus (tels que CUSIP, Bloomberg Ticker, Reuters RIC)</w:t>
            </w:r>
            <w:r w:rsidR="00FE79E2" w:rsidRPr="009B1AB6">
              <w:rPr>
                <w:rFonts w:ascii="Times New Roman" w:hAnsi="Times New Roman" w:cs="Times New Roman"/>
                <w:sz w:val="20"/>
                <w:szCs w:val="20"/>
              </w:rPr>
              <w:br/>
            </w:r>
            <w:r w:rsidRPr="009B1AB6">
              <w:rPr>
                <w:rFonts w:ascii="Times New Roman" w:hAnsi="Times New Roman"/>
                <w:sz w:val="20"/>
              </w:rPr>
              <w:t xml:space="preserve">  – code attribué par </w:t>
            </w:r>
            <w:r w:rsidR="006D71BF" w:rsidRPr="009B1AB6">
              <w:rPr>
                <w:rFonts w:ascii="Times New Roman" w:hAnsi="Times New Roman"/>
                <w:sz w:val="20"/>
              </w:rPr>
              <w:t>l’O</w:t>
            </w:r>
            <w:r w:rsidR="00482CC5" w:rsidRPr="009B1AB6">
              <w:rPr>
                <w:rFonts w:ascii="Times New Roman" w:hAnsi="Times New Roman"/>
                <w:sz w:val="20"/>
              </w:rPr>
              <w:t>RPS</w:t>
            </w:r>
            <w:r w:rsidRPr="009B1AB6">
              <w:rPr>
                <w:rFonts w:ascii="Times New Roman" w:hAnsi="Times New Roman"/>
                <w:sz w:val="20"/>
              </w:rPr>
              <w:t>, lorsque les options ci-dessus ne sont pas disponibles, qui doit rester constant dans le temps</w:t>
            </w:r>
          </w:p>
        </w:tc>
      </w:tr>
      <w:tr w:rsidR="0095672C" w:rsidRPr="009B1AB6" w14:paraId="5C7A9F23" w14:textId="77777777" w:rsidTr="00950116">
        <w:trPr>
          <w:trHeight w:val="1485"/>
        </w:trPr>
        <w:tc>
          <w:tcPr>
            <w:tcW w:w="1194" w:type="dxa"/>
            <w:hideMark/>
          </w:tcPr>
          <w:p w14:paraId="2A182A22" w14:textId="2F4DA4DD"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C00</w:t>
            </w:r>
            <w:r w:rsidR="00812CB9" w:rsidRPr="009B1AB6">
              <w:rPr>
                <w:rFonts w:ascii="Times New Roman" w:hAnsi="Times New Roman"/>
                <w:sz w:val="20"/>
              </w:rPr>
              <w:t>2</w:t>
            </w:r>
            <w:r w:rsidRPr="009B1AB6">
              <w:rPr>
                <w:rFonts w:ascii="Times New Roman" w:hAnsi="Times New Roman"/>
                <w:sz w:val="20"/>
              </w:rPr>
              <w:t>0</w:t>
            </w:r>
          </w:p>
        </w:tc>
        <w:tc>
          <w:tcPr>
            <w:tcW w:w="2320" w:type="dxa"/>
            <w:hideMark/>
          </w:tcPr>
          <w:p w14:paraId="7C1536A9"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du dérivé</w:t>
            </w:r>
          </w:p>
        </w:tc>
        <w:tc>
          <w:tcPr>
            <w:tcW w:w="5808" w:type="dxa"/>
            <w:hideMark/>
          </w:tcPr>
          <w:p w14:paraId="54DEE934" w14:textId="65A27675"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317D7F" w:rsidRPr="009B1AB6">
              <w:rPr>
                <w:rFonts w:ascii="Times New Roman" w:hAnsi="Times New Roman"/>
                <w:sz w:val="20"/>
              </w:rPr>
              <w:t xml:space="preserve"> « code</w:t>
            </w:r>
            <w:r w:rsidRPr="009B1AB6">
              <w:rPr>
                <w:rFonts w:ascii="Times New Roman" w:hAnsi="Times New Roman"/>
                <w:sz w:val="20"/>
              </w:rPr>
              <w:t xml:space="preserve"> d’identification du </w:t>
            </w:r>
            <w:r w:rsidR="00317D7F" w:rsidRPr="009B1AB6">
              <w:rPr>
                <w:rFonts w:ascii="Times New Roman" w:hAnsi="Times New Roman"/>
                <w:sz w:val="20"/>
              </w:rPr>
              <w:t>dérivé »</w:t>
            </w:r>
            <w:r w:rsidRPr="009B1AB6">
              <w:rPr>
                <w:rFonts w:ascii="Times New Roman" w:hAnsi="Times New Roman"/>
                <w:sz w:val="20"/>
              </w:rPr>
              <w:t>. Choisir impérativement l’une des options suivantes:</w:t>
            </w:r>
          </w:p>
          <w:p w14:paraId="06A55AD1" w14:textId="054BB341" w:rsidR="0095672C" w:rsidRPr="009B1AB6" w:rsidRDefault="00791304" w:rsidP="00950116">
            <w:pPr>
              <w:rPr>
                <w:rFonts w:ascii="Times New Roman" w:hAnsi="Times New Roman" w:cs="Times New Roman"/>
                <w:sz w:val="20"/>
                <w:szCs w:val="20"/>
              </w:rPr>
            </w:pPr>
            <w:r w:rsidRPr="009B1AB6">
              <w:rPr>
                <w:rFonts w:ascii="Times New Roman" w:hAnsi="Times New Roman"/>
                <w:sz w:val="20"/>
              </w:rPr>
              <w:t xml:space="preserve">1 </w:t>
            </w:r>
            <w:r w:rsidR="0095672C" w:rsidRPr="009B1AB6">
              <w:rPr>
                <w:rFonts w:ascii="Times New Roman" w:hAnsi="Times New Roman"/>
                <w:sz w:val="20"/>
              </w:rPr>
              <w:t>– code ISIN de l’ISO 6166</w:t>
            </w:r>
          </w:p>
          <w:p w14:paraId="1099BF1F"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2 – code CUSIP (Committee on Uniform Securities Identification Procedures): numéro attribué par le CUSIP Service Bureau pour les entreprises américaines et canadiennes</w:t>
            </w:r>
          </w:p>
          <w:p w14:paraId="7545CEC4"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3 – SEDOL (Stock Exchange Daily Official List pour la bourse de Londres)</w:t>
            </w:r>
          </w:p>
          <w:p w14:paraId="121A327D"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4 – WKN (Wertpapier Kenn-Nummer, le numéro d’identification alphanumérique allemand)</w:t>
            </w:r>
          </w:p>
          <w:p w14:paraId="120F8D80"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5 – Bloomberg Ticker (code à lettres Bloomberg d’identification des titres d’une société)</w:t>
            </w:r>
          </w:p>
          <w:p w14:paraId="79B421CB"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6 – BBGID (Bloomberg Global ID)</w:t>
            </w:r>
          </w:p>
          <w:p w14:paraId="0E814EBA"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7 – Reuters RIC (Reuters Instrument Code)</w:t>
            </w:r>
          </w:p>
          <w:p w14:paraId="11B5F14B"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8 – FIGI (Financial Instrument Global Identifier)</w:t>
            </w:r>
          </w:p>
          <w:p w14:paraId="0BF674CF"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9 – Autre code attribué par un membre de l’Association des agences nationales de codification</w:t>
            </w:r>
          </w:p>
          <w:p w14:paraId="08EBE346" w14:textId="2C189E50" w:rsidR="0095672C" w:rsidRPr="009B1AB6" w:rsidRDefault="0095672C" w:rsidP="00482CC5">
            <w:pPr>
              <w:spacing w:line="276" w:lineRule="auto"/>
              <w:rPr>
                <w:rFonts w:ascii="Times New Roman" w:hAnsi="Times New Roman" w:cs="Times New Roman"/>
                <w:sz w:val="20"/>
                <w:szCs w:val="20"/>
              </w:rPr>
            </w:pPr>
            <w:r w:rsidRPr="009B1AB6">
              <w:rPr>
                <w:rFonts w:ascii="Times New Roman" w:hAnsi="Times New Roman"/>
                <w:sz w:val="20"/>
              </w:rPr>
              <w:t xml:space="preserve">99 – Code attribué par </w:t>
            </w:r>
            <w:r w:rsidR="006D71BF" w:rsidRPr="009B1AB6">
              <w:rPr>
                <w:rFonts w:ascii="Times New Roman" w:hAnsi="Times New Roman"/>
                <w:sz w:val="20"/>
              </w:rPr>
              <w:t>l’O</w:t>
            </w:r>
            <w:r w:rsidR="00482CC5" w:rsidRPr="009B1AB6">
              <w:rPr>
                <w:rFonts w:ascii="Times New Roman" w:hAnsi="Times New Roman"/>
                <w:sz w:val="20"/>
              </w:rPr>
              <w:t xml:space="preserve">RPS </w:t>
            </w:r>
          </w:p>
        </w:tc>
      </w:tr>
      <w:tr w:rsidR="0095672C" w:rsidRPr="009B1AB6" w14:paraId="6A0D16FB" w14:textId="77777777" w:rsidTr="00950116">
        <w:trPr>
          <w:trHeight w:val="660"/>
        </w:trPr>
        <w:tc>
          <w:tcPr>
            <w:tcW w:w="1194" w:type="dxa"/>
            <w:hideMark/>
          </w:tcPr>
          <w:p w14:paraId="6737F015" w14:textId="581EA6E6"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lastRenderedPageBreak/>
              <w:t>C0</w:t>
            </w:r>
            <w:r w:rsidR="00812CB9" w:rsidRPr="009B1AB6">
              <w:rPr>
                <w:rFonts w:ascii="Times New Roman" w:hAnsi="Times New Roman"/>
                <w:sz w:val="20"/>
              </w:rPr>
              <w:t>210</w:t>
            </w:r>
          </w:p>
        </w:tc>
        <w:tc>
          <w:tcPr>
            <w:tcW w:w="2320" w:type="dxa"/>
            <w:hideMark/>
          </w:tcPr>
          <w:p w14:paraId="680244D2"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Nom de la contrepartie</w:t>
            </w:r>
          </w:p>
        </w:tc>
        <w:tc>
          <w:tcPr>
            <w:tcW w:w="5808" w:type="dxa"/>
            <w:hideMark/>
          </w:tcPr>
          <w:p w14:paraId="3A171B69" w14:textId="77777777"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Nom de la contrepartie au dérivé. Indiquer le nom de l’entité enregistré dans la base de données des identifiants d’entité juridique (LEI) s’il existe. À défaut, indiquer la dénomination légale.</w:t>
            </w:r>
          </w:p>
          <w:p w14:paraId="23834CEF" w14:textId="1F313D69" w:rsidR="0095672C" w:rsidRPr="009B1AB6" w:rsidRDefault="0095672C" w:rsidP="00950116">
            <w:pPr>
              <w:rPr>
                <w:rFonts w:ascii="Times New Roman" w:hAnsi="Times New Roman" w:cs="Times New Roman"/>
                <w:sz w:val="20"/>
                <w:szCs w:val="20"/>
              </w:rPr>
            </w:pPr>
            <w:r w:rsidRPr="009B1AB6">
              <w:rPr>
                <w:rFonts w:ascii="Times New Roman" w:hAnsi="Times New Roman"/>
                <w:sz w:val="20"/>
              </w:rPr>
              <w:t>L</w:t>
            </w:r>
            <w:r w:rsidR="006D71BF" w:rsidRPr="009B1AB6">
              <w:rPr>
                <w:rFonts w:ascii="Times New Roman" w:hAnsi="Times New Roman"/>
                <w:sz w:val="20"/>
              </w:rPr>
              <w:t>’O</w:t>
            </w:r>
            <w:r w:rsidR="00E358E2" w:rsidRPr="009B1AB6">
              <w:rPr>
                <w:rFonts w:ascii="Times New Roman" w:hAnsi="Times New Roman"/>
                <w:sz w:val="20"/>
              </w:rPr>
              <w:t>RPS</w:t>
            </w:r>
            <w:r w:rsidRPr="009B1AB6">
              <w:rPr>
                <w:rFonts w:ascii="Times New Roman" w:hAnsi="Times New Roman"/>
                <w:sz w:val="20"/>
              </w:rPr>
              <w:t xml:space="preserve"> doit tenir compte des éléments suivants: </w:t>
            </w:r>
          </w:p>
          <w:p w14:paraId="7F2B32BB" w14:textId="77777777" w:rsidR="0095672C" w:rsidRPr="009B1AB6" w:rsidRDefault="0095672C" w:rsidP="00803166">
            <w:pPr>
              <w:pStyle w:val="Paragraphedeliste"/>
              <w:numPr>
                <w:ilvl w:val="0"/>
                <w:numId w:val="15"/>
              </w:numPr>
              <w:jc w:val="left"/>
              <w:rPr>
                <w:sz w:val="20"/>
              </w:rPr>
            </w:pPr>
            <w:r w:rsidRPr="009B1AB6">
              <w:rPr>
                <w:sz w:val="20"/>
              </w:rPr>
              <w:t>nom de la bourse d’échange pour les dérivés négociés en bourse; ou</w:t>
            </w:r>
          </w:p>
          <w:p w14:paraId="37461BD5" w14:textId="77777777" w:rsidR="0095672C" w:rsidRPr="009B1AB6" w:rsidRDefault="0095672C" w:rsidP="00803166">
            <w:pPr>
              <w:pStyle w:val="Paragraphedeliste"/>
              <w:numPr>
                <w:ilvl w:val="0"/>
                <w:numId w:val="15"/>
              </w:numPr>
              <w:jc w:val="left"/>
              <w:rPr>
                <w:sz w:val="20"/>
              </w:rPr>
            </w:pPr>
            <w:r w:rsidRPr="009B1AB6">
              <w:rPr>
                <w:sz w:val="20"/>
              </w:rPr>
              <w:t>nom de la contrepartie centrale pour les dérivés de gré à gré qui sont compensés par l’intermédiaire d’une contrepartie centrale; ou</w:t>
            </w:r>
          </w:p>
          <w:p w14:paraId="17A68370" w14:textId="77777777" w:rsidR="0095672C" w:rsidRPr="009B1AB6" w:rsidRDefault="0095672C" w:rsidP="00950116">
            <w:pPr>
              <w:pStyle w:val="Paragraphedeliste"/>
              <w:spacing w:after="120"/>
              <w:rPr>
                <w:sz w:val="20"/>
              </w:rPr>
            </w:pPr>
            <w:r w:rsidRPr="009B1AB6">
              <w:rPr>
                <w:sz w:val="20"/>
              </w:rPr>
              <w:t xml:space="preserve">nom de la contrepartie contractuelle pour les autres dérivés de gré à gré. </w:t>
            </w:r>
          </w:p>
        </w:tc>
      </w:tr>
      <w:tr w:rsidR="0095672C" w:rsidRPr="009B1AB6" w14:paraId="4274DF1E" w14:textId="77777777" w:rsidTr="00950116">
        <w:trPr>
          <w:trHeight w:val="1515"/>
        </w:trPr>
        <w:tc>
          <w:tcPr>
            <w:tcW w:w="1194" w:type="dxa"/>
            <w:hideMark/>
          </w:tcPr>
          <w:p w14:paraId="13379D56" w14:textId="3065E406"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C02</w:t>
            </w:r>
            <w:r w:rsidR="00812CB9" w:rsidRPr="009B1AB6">
              <w:rPr>
                <w:rFonts w:ascii="Times New Roman" w:hAnsi="Times New Roman"/>
                <w:sz w:val="20"/>
              </w:rPr>
              <w:t>2</w:t>
            </w:r>
            <w:r w:rsidRPr="009B1AB6">
              <w:rPr>
                <w:rFonts w:ascii="Times New Roman" w:hAnsi="Times New Roman"/>
                <w:sz w:val="20"/>
              </w:rPr>
              <w:t>0</w:t>
            </w:r>
          </w:p>
        </w:tc>
        <w:tc>
          <w:tcPr>
            <w:tcW w:w="2320" w:type="dxa"/>
            <w:hideMark/>
          </w:tcPr>
          <w:p w14:paraId="579BB346"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Code d’identification de la contrepartie</w:t>
            </w:r>
          </w:p>
        </w:tc>
        <w:tc>
          <w:tcPr>
            <w:tcW w:w="5808" w:type="dxa"/>
            <w:hideMark/>
          </w:tcPr>
          <w:p w14:paraId="0B3965C4"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concerne que les contreparties contractuelles, autres que bourse ou contrepartie centrale, à des dérivés de gré à gré.</w:t>
            </w:r>
          </w:p>
          <w:p w14:paraId="3401C1CF"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 xml:space="preserve">Indiquer le code d’identification du groupe de la contrepartie en utilisant l’identifiant d’entité juridique (LEI) s’il existe. </w:t>
            </w:r>
            <w:r w:rsidR="00FE79E2" w:rsidRPr="009B1AB6">
              <w:rPr>
                <w:rFonts w:ascii="Times New Roman" w:hAnsi="Times New Roman" w:cs="Times New Roman"/>
                <w:sz w:val="20"/>
                <w:szCs w:val="20"/>
              </w:rPr>
              <w:br/>
            </w:r>
            <w:r w:rsidR="00FE79E2" w:rsidRPr="009B1AB6">
              <w:rPr>
                <w:rFonts w:ascii="Times New Roman" w:hAnsi="Times New Roman" w:cs="Times New Roman"/>
                <w:sz w:val="20"/>
                <w:szCs w:val="20"/>
              </w:rPr>
              <w:br/>
            </w:r>
            <w:r w:rsidRPr="009B1AB6">
              <w:rPr>
                <w:rFonts w:ascii="Times New Roman" w:hAnsi="Times New Roman"/>
                <w:sz w:val="20"/>
              </w:rPr>
              <w:t>S’il n’existe pas, ne rien déclarer pour cet élément.</w:t>
            </w:r>
          </w:p>
        </w:tc>
      </w:tr>
      <w:tr w:rsidR="0095672C" w:rsidRPr="009B1AB6" w14:paraId="7B5BC05F" w14:textId="77777777" w:rsidTr="00950116">
        <w:trPr>
          <w:trHeight w:val="204"/>
        </w:trPr>
        <w:tc>
          <w:tcPr>
            <w:tcW w:w="1194" w:type="dxa"/>
            <w:hideMark/>
          </w:tcPr>
          <w:p w14:paraId="18A04F3A" w14:textId="4B17A112"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C02</w:t>
            </w:r>
            <w:r w:rsidR="00812CB9" w:rsidRPr="009B1AB6">
              <w:rPr>
                <w:rFonts w:ascii="Times New Roman" w:hAnsi="Times New Roman"/>
                <w:sz w:val="20"/>
              </w:rPr>
              <w:t>3</w:t>
            </w:r>
            <w:r w:rsidRPr="009B1AB6">
              <w:rPr>
                <w:rFonts w:ascii="Times New Roman" w:hAnsi="Times New Roman"/>
                <w:sz w:val="20"/>
              </w:rPr>
              <w:t>0</w:t>
            </w:r>
          </w:p>
        </w:tc>
        <w:tc>
          <w:tcPr>
            <w:tcW w:w="2320" w:type="dxa"/>
            <w:hideMark/>
          </w:tcPr>
          <w:p w14:paraId="590C28EE"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de la contrepartie</w:t>
            </w:r>
          </w:p>
        </w:tc>
        <w:tc>
          <w:tcPr>
            <w:tcW w:w="5808" w:type="dxa"/>
            <w:hideMark/>
          </w:tcPr>
          <w:p w14:paraId="428B0987"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Ne s’applique que pour les dérivés de gré à gré.</w:t>
            </w:r>
          </w:p>
          <w:p w14:paraId="6AF95C6D" w14:textId="727114EA"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317D7F" w:rsidRPr="009B1AB6">
              <w:rPr>
                <w:rFonts w:ascii="Times New Roman" w:hAnsi="Times New Roman"/>
                <w:sz w:val="20"/>
              </w:rPr>
              <w:t xml:space="preserve"> « code</w:t>
            </w:r>
            <w:r w:rsidRPr="009B1AB6">
              <w:rPr>
                <w:rFonts w:ascii="Times New Roman" w:hAnsi="Times New Roman"/>
                <w:sz w:val="20"/>
              </w:rPr>
              <w:t xml:space="preserve"> d’identification de la </w:t>
            </w:r>
            <w:r w:rsidR="00317D7F" w:rsidRPr="009B1AB6">
              <w:rPr>
                <w:rFonts w:ascii="Times New Roman" w:hAnsi="Times New Roman"/>
                <w:sz w:val="20"/>
              </w:rPr>
              <w:t>contrepartie »</w:t>
            </w:r>
            <w:r w:rsidRPr="009B1AB6">
              <w:rPr>
                <w:rFonts w:ascii="Times New Roman" w:hAnsi="Times New Roman"/>
                <w:sz w:val="20"/>
              </w:rPr>
              <w:t>.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 xml:space="preserve">1 – LEI </w:t>
            </w:r>
            <w:r w:rsidR="00FE79E2" w:rsidRPr="009B1AB6">
              <w:rPr>
                <w:rFonts w:ascii="Times New Roman" w:hAnsi="Times New Roman" w:cs="Times New Roman"/>
                <w:sz w:val="20"/>
                <w:szCs w:val="20"/>
              </w:rPr>
              <w:br/>
            </w:r>
            <w:r w:rsidRPr="009B1AB6">
              <w:rPr>
                <w:rFonts w:ascii="Times New Roman" w:hAnsi="Times New Roman"/>
                <w:sz w:val="20"/>
              </w:rPr>
              <w:t>9 – Aucun</w:t>
            </w:r>
          </w:p>
        </w:tc>
      </w:tr>
      <w:tr w:rsidR="0095672C" w:rsidRPr="009B1AB6" w14:paraId="5DAC44C5" w14:textId="77777777" w:rsidTr="00950116">
        <w:trPr>
          <w:trHeight w:val="346"/>
        </w:trPr>
        <w:tc>
          <w:tcPr>
            <w:tcW w:w="1194" w:type="dxa"/>
            <w:hideMark/>
          </w:tcPr>
          <w:p w14:paraId="09F0099B" w14:textId="460A735E"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C02</w:t>
            </w:r>
            <w:r w:rsidR="00812CB9" w:rsidRPr="009B1AB6">
              <w:rPr>
                <w:rFonts w:ascii="Times New Roman" w:hAnsi="Times New Roman"/>
                <w:sz w:val="20"/>
              </w:rPr>
              <w:t>4</w:t>
            </w:r>
            <w:r w:rsidRPr="009B1AB6">
              <w:rPr>
                <w:rFonts w:ascii="Times New Roman" w:hAnsi="Times New Roman"/>
                <w:sz w:val="20"/>
              </w:rPr>
              <w:t>0</w:t>
            </w:r>
          </w:p>
        </w:tc>
        <w:tc>
          <w:tcPr>
            <w:tcW w:w="2320" w:type="dxa"/>
            <w:hideMark/>
          </w:tcPr>
          <w:p w14:paraId="58AD33FB"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Groupe de la contrepartie</w:t>
            </w:r>
          </w:p>
        </w:tc>
        <w:tc>
          <w:tcPr>
            <w:tcW w:w="5808" w:type="dxa"/>
            <w:hideMark/>
          </w:tcPr>
          <w:p w14:paraId="07B018A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concerne que les contreparties contractuelles, autres que bourse ou contrepartie centrale, à des dérivés de gré à gré.</w:t>
            </w:r>
          </w:p>
          <w:p w14:paraId="09AD6FF2"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Nom de l’entité mère ultime de la contrepartie. Indiquer le nom de l’entité enregistré dans la base de données des identifiants d’entité juridique (LEI) s’il existe. À défaut, indiquer la dénomination légale.</w:t>
            </w:r>
          </w:p>
        </w:tc>
      </w:tr>
      <w:tr w:rsidR="0095672C" w:rsidRPr="009B1AB6" w14:paraId="5A80A999" w14:textId="77777777" w:rsidTr="00950116">
        <w:trPr>
          <w:trHeight w:val="1266"/>
        </w:trPr>
        <w:tc>
          <w:tcPr>
            <w:tcW w:w="1194" w:type="dxa"/>
            <w:hideMark/>
          </w:tcPr>
          <w:p w14:paraId="34D719B3" w14:textId="73159629"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C02</w:t>
            </w:r>
            <w:r w:rsidR="00812CB9" w:rsidRPr="009B1AB6">
              <w:rPr>
                <w:rFonts w:ascii="Times New Roman" w:hAnsi="Times New Roman"/>
                <w:sz w:val="20"/>
              </w:rPr>
              <w:t>5</w:t>
            </w:r>
            <w:r w:rsidRPr="009B1AB6">
              <w:rPr>
                <w:rFonts w:ascii="Times New Roman" w:hAnsi="Times New Roman"/>
                <w:sz w:val="20"/>
              </w:rPr>
              <w:t>0</w:t>
            </w:r>
          </w:p>
        </w:tc>
        <w:tc>
          <w:tcPr>
            <w:tcW w:w="2320" w:type="dxa"/>
            <w:hideMark/>
          </w:tcPr>
          <w:p w14:paraId="3B01C397"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Code d’identification du groupe de la contrepartie</w:t>
            </w:r>
          </w:p>
        </w:tc>
        <w:tc>
          <w:tcPr>
            <w:tcW w:w="5808" w:type="dxa"/>
            <w:hideMark/>
          </w:tcPr>
          <w:p w14:paraId="4DB95058"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Ne concerne que les contreparties contractuelles, autres que bourse ou contrepartie centrale, à des dérivés de gré à gré.</w:t>
            </w:r>
          </w:p>
          <w:p w14:paraId="594C2DAA"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Indiquer le code d’identification du groupe de la contrepartie en utilisant l’identifiant d’entité juridique (LEI) s’il existe.</w:t>
            </w:r>
            <w:r w:rsidR="00FE79E2" w:rsidRPr="009B1AB6">
              <w:rPr>
                <w:rFonts w:ascii="Times New Roman" w:hAnsi="Times New Roman" w:cs="Times New Roman"/>
                <w:sz w:val="20"/>
                <w:szCs w:val="20"/>
              </w:rPr>
              <w:br/>
            </w:r>
            <w:r w:rsidR="00FE79E2" w:rsidRPr="009B1AB6">
              <w:rPr>
                <w:rFonts w:ascii="Times New Roman" w:hAnsi="Times New Roman" w:cs="Times New Roman"/>
                <w:sz w:val="20"/>
                <w:szCs w:val="20"/>
              </w:rPr>
              <w:br/>
            </w:r>
            <w:r w:rsidRPr="009B1AB6">
              <w:rPr>
                <w:rFonts w:ascii="Times New Roman" w:hAnsi="Times New Roman"/>
                <w:sz w:val="20"/>
              </w:rPr>
              <w:t>S’il n’existe pas, ne rien déclarer pour cet élément.</w:t>
            </w:r>
          </w:p>
        </w:tc>
      </w:tr>
      <w:tr w:rsidR="0095672C" w:rsidRPr="009B1AB6" w14:paraId="77511FD8" w14:textId="77777777" w:rsidTr="00950116">
        <w:trPr>
          <w:trHeight w:val="855"/>
        </w:trPr>
        <w:tc>
          <w:tcPr>
            <w:tcW w:w="1194" w:type="dxa"/>
            <w:hideMark/>
          </w:tcPr>
          <w:p w14:paraId="14F7406E" w14:textId="7CA439BA"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C02</w:t>
            </w:r>
            <w:r w:rsidR="00812CB9" w:rsidRPr="009B1AB6">
              <w:rPr>
                <w:rFonts w:ascii="Times New Roman" w:hAnsi="Times New Roman"/>
                <w:sz w:val="20"/>
              </w:rPr>
              <w:t>6</w:t>
            </w:r>
            <w:r w:rsidRPr="009B1AB6">
              <w:rPr>
                <w:rFonts w:ascii="Times New Roman" w:hAnsi="Times New Roman"/>
                <w:sz w:val="20"/>
              </w:rPr>
              <w:t>0</w:t>
            </w:r>
          </w:p>
        </w:tc>
        <w:tc>
          <w:tcPr>
            <w:tcW w:w="2320" w:type="dxa"/>
            <w:hideMark/>
          </w:tcPr>
          <w:p w14:paraId="6C6F7A60"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Type de code d’identification du groupe de la contrepartie</w:t>
            </w:r>
          </w:p>
        </w:tc>
        <w:tc>
          <w:tcPr>
            <w:tcW w:w="5808" w:type="dxa"/>
            <w:hideMark/>
          </w:tcPr>
          <w:p w14:paraId="0BB69A7B" w14:textId="6168E1B2"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Indiquer le type de code d’identification utilisé pour l’élément</w:t>
            </w:r>
            <w:r w:rsidR="00317D7F" w:rsidRPr="009B1AB6">
              <w:rPr>
                <w:rFonts w:ascii="Times New Roman" w:hAnsi="Times New Roman"/>
                <w:sz w:val="20"/>
              </w:rPr>
              <w:t xml:space="preserve"> « code</w:t>
            </w:r>
            <w:r w:rsidRPr="009B1AB6">
              <w:rPr>
                <w:rFonts w:ascii="Times New Roman" w:hAnsi="Times New Roman"/>
                <w:sz w:val="20"/>
              </w:rPr>
              <w:t xml:space="preserve"> d’identification du groupe de la </w:t>
            </w:r>
            <w:r w:rsidR="00317D7F" w:rsidRPr="009B1AB6">
              <w:rPr>
                <w:rFonts w:ascii="Times New Roman" w:hAnsi="Times New Roman"/>
                <w:sz w:val="20"/>
              </w:rPr>
              <w:t>contrepartie »</w:t>
            </w:r>
            <w:r w:rsidRPr="009B1AB6">
              <w:rPr>
                <w:rFonts w:ascii="Times New Roman" w:hAnsi="Times New Roman"/>
                <w:sz w:val="20"/>
              </w:rPr>
              <w:t>.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 xml:space="preserve">1 – LEI </w:t>
            </w:r>
            <w:r w:rsidR="00FE79E2" w:rsidRPr="009B1AB6">
              <w:rPr>
                <w:rFonts w:ascii="Times New Roman" w:hAnsi="Times New Roman" w:cs="Times New Roman"/>
                <w:sz w:val="20"/>
                <w:szCs w:val="20"/>
              </w:rPr>
              <w:br/>
            </w:r>
            <w:r w:rsidRPr="009B1AB6">
              <w:rPr>
                <w:rFonts w:ascii="Times New Roman" w:hAnsi="Times New Roman"/>
                <w:sz w:val="20"/>
              </w:rPr>
              <w:t>9 – Aucun</w:t>
            </w:r>
          </w:p>
        </w:tc>
      </w:tr>
      <w:tr w:rsidR="0095672C" w:rsidRPr="009B1AB6" w14:paraId="00D53477" w14:textId="77777777" w:rsidTr="00950116">
        <w:trPr>
          <w:trHeight w:val="300"/>
        </w:trPr>
        <w:tc>
          <w:tcPr>
            <w:tcW w:w="1194" w:type="dxa"/>
            <w:hideMark/>
          </w:tcPr>
          <w:p w14:paraId="7E3FA663" w14:textId="4F53CEEF"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w:t>
            </w:r>
            <w:r w:rsidR="00812CB9" w:rsidRPr="009B1AB6">
              <w:rPr>
                <w:rFonts w:ascii="Times New Roman" w:hAnsi="Times New Roman"/>
                <w:sz w:val="20"/>
              </w:rPr>
              <w:t>27</w:t>
            </w:r>
            <w:r w:rsidRPr="009B1AB6">
              <w:rPr>
                <w:rFonts w:ascii="Times New Roman" w:hAnsi="Times New Roman"/>
                <w:sz w:val="20"/>
              </w:rPr>
              <w:t>0</w:t>
            </w:r>
          </w:p>
        </w:tc>
        <w:tc>
          <w:tcPr>
            <w:tcW w:w="2320" w:type="dxa"/>
            <w:hideMark/>
          </w:tcPr>
          <w:p w14:paraId="6ADF2D28"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Nom du contrat</w:t>
            </w:r>
          </w:p>
        </w:tc>
        <w:tc>
          <w:tcPr>
            <w:tcW w:w="5808" w:type="dxa"/>
            <w:hideMark/>
          </w:tcPr>
          <w:p w14:paraId="0ED447DA"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Indiquer le nom du contrat dérivé.</w:t>
            </w:r>
          </w:p>
        </w:tc>
      </w:tr>
      <w:tr w:rsidR="0095672C" w:rsidRPr="009B1AB6" w14:paraId="79D1E95D" w14:textId="77777777" w:rsidTr="00950116">
        <w:trPr>
          <w:trHeight w:val="1196"/>
        </w:trPr>
        <w:tc>
          <w:tcPr>
            <w:tcW w:w="1194" w:type="dxa"/>
            <w:hideMark/>
          </w:tcPr>
          <w:p w14:paraId="0E4A6A89" w14:textId="09EF9577"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w:t>
            </w:r>
            <w:r w:rsidR="00812CB9" w:rsidRPr="009B1AB6">
              <w:rPr>
                <w:rFonts w:ascii="Times New Roman" w:hAnsi="Times New Roman"/>
                <w:sz w:val="20"/>
              </w:rPr>
              <w:t>280</w:t>
            </w:r>
          </w:p>
        </w:tc>
        <w:tc>
          <w:tcPr>
            <w:tcW w:w="2320" w:type="dxa"/>
            <w:hideMark/>
          </w:tcPr>
          <w:p w14:paraId="57E5D12D"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Monnaie</w:t>
            </w:r>
          </w:p>
        </w:tc>
        <w:tc>
          <w:tcPr>
            <w:tcW w:w="5808" w:type="dxa"/>
            <w:hideMark/>
          </w:tcPr>
          <w:p w14:paraId="269694A9"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Indiquer le code alphabétique ISO 4217 de la monnaie du dérivé, c’est-à-dire la monnaie du montant notionnel du dérivé (par exemple: USD pour une option ayant pour sous-jacent un montant exprimé dans cette monnaie, monnaie dans laquelle est contractuellement exprimé le montant notionnel d’un swap de change, etc.).</w:t>
            </w:r>
          </w:p>
        </w:tc>
      </w:tr>
      <w:tr w:rsidR="0095672C" w:rsidRPr="009B1AB6" w14:paraId="289778D4" w14:textId="77777777" w:rsidTr="00950116">
        <w:trPr>
          <w:trHeight w:val="1140"/>
        </w:trPr>
        <w:tc>
          <w:tcPr>
            <w:tcW w:w="1194" w:type="dxa"/>
            <w:hideMark/>
          </w:tcPr>
          <w:p w14:paraId="04F28A0D" w14:textId="126B5281"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lastRenderedPageBreak/>
              <w:t>C0</w:t>
            </w:r>
            <w:r w:rsidR="00812CB9" w:rsidRPr="009B1AB6">
              <w:rPr>
                <w:rFonts w:ascii="Times New Roman" w:hAnsi="Times New Roman"/>
                <w:sz w:val="20"/>
              </w:rPr>
              <w:t>290</w:t>
            </w:r>
          </w:p>
        </w:tc>
        <w:tc>
          <w:tcPr>
            <w:tcW w:w="2320" w:type="dxa"/>
            <w:hideMark/>
          </w:tcPr>
          <w:p w14:paraId="67A6D289"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CIC</w:t>
            </w:r>
          </w:p>
        </w:tc>
        <w:tc>
          <w:tcPr>
            <w:tcW w:w="5808" w:type="dxa"/>
            <w:hideMark/>
          </w:tcPr>
          <w:p w14:paraId="05E7CC5B" w14:textId="401D45FC" w:rsidR="0095672C" w:rsidRPr="009B1AB6" w:rsidRDefault="0095672C" w:rsidP="000C4A9C">
            <w:pPr>
              <w:rPr>
                <w:rFonts w:ascii="Times New Roman" w:hAnsi="Times New Roman" w:cs="Times New Roman"/>
                <w:sz w:val="20"/>
                <w:szCs w:val="20"/>
              </w:rPr>
            </w:pPr>
            <w:r w:rsidRPr="009B1AB6">
              <w:rPr>
                <w:rFonts w:ascii="Times New Roman" w:hAnsi="Times New Roman"/>
                <w:sz w:val="20"/>
              </w:rPr>
              <w:t>Code d’identification complémentaire utilisé pour classer les actifs, tel que présenté à l’annexe V</w:t>
            </w:r>
            <w:r w:rsidR="00317D7F" w:rsidRPr="009B1AB6">
              <w:rPr>
                <w:rFonts w:ascii="Times New Roman" w:hAnsi="Times New Roman"/>
                <w:sz w:val="20"/>
              </w:rPr>
              <w:t xml:space="preserve"> « Tableau</w:t>
            </w:r>
            <w:r w:rsidRPr="009B1AB6">
              <w:rPr>
                <w:rFonts w:ascii="Times New Roman" w:hAnsi="Times New Roman"/>
                <w:sz w:val="20"/>
              </w:rPr>
              <w:t xml:space="preserve"> des codes </w:t>
            </w:r>
            <w:r w:rsidR="00317D7F" w:rsidRPr="009B1AB6">
              <w:rPr>
                <w:rFonts w:ascii="Times New Roman" w:hAnsi="Times New Roman"/>
                <w:sz w:val="20"/>
              </w:rPr>
              <w:t>CIC »</w:t>
            </w:r>
            <w:r w:rsidRPr="009B1AB6">
              <w:rPr>
                <w:rFonts w:ascii="Times New Roman" w:hAnsi="Times New Roman"/>
                <w:sz w:val="20"/>
              </w:rPr>
              <w:t xml:space="preserve"> </w:t>
            </w:r>
            <w:r w:rsidR="00035FBF" w:rsidRPr="009B1AB6">
              <w:rPr>
                <w:rFonts w:ascii="Times New Roman" w:hAnsi="Times New Roman"/>
                <w:sz w:val="20"/>
              </w:rPr>
              <w:t>du Règlement d’exécution (UE) 2015/2450.</w:t>
            </w:r>
            <w:r w:rsidRPr="009B1AB6">
              <w:rPr>
                <w:rFonts w:ascii="Times New Roman" w:hAnsi="Times New Roman"/>
                <w:sz w:val="20"/>
              </w:rPr>
              <w:t xml:space="preserve"> Lorsqu’elle classe un dérivé selon le tableau des codes CIC, </w:t>
            </w:r>
            <w:r w:rsidR="006D71BF" w:rsidRPr="009B1AB6">
              <w:rPr>
                <w:rFonts w:ascii="Times New Roman" w:hAnsi="Times New Roman"/>
                <w:sz w:val="20"/>
              </w:rPr>
              <w:t>l’O</w:t>
            </w:r>
            <w:r w:rsidR="00E358E2" w:rsidRPr="009B1AB6">
              <w:rPr>
                <w:rFonts w:ascii="Times New Roman" w:hAnsi="Times New Roman"/>
                <w:sz w:val="20"/>
              </w:rPr>
              <w:t xml:space="preserve">RPS </w:t>
            </w:r>
            <w:r w:rsidRPr="009B1AB6">
              <w:rPr>
                <w:rFonts w:ascii="Times New Roman" w:hAnsi="Times New Roman"/>
                <w:sz w:val="20"/>
              </w:rPr>
              <w:t>doit tenir compte du risque le plus représentatif auquel le dérivé est exposé.</w:t>
            </w:r>
          </w:p>
        </w:tc>
      </w:tr>
      <w:tr w:rsidR="0095672C" w:rsidRPr="009B1AB6" w14:paraId="0D598DFB" w14:textId="77777777" w:rsidTr="00950116">
        <w:trPr>
          <w:trHeight w:val="2124"/>
        </w:trPr>
        <w:tc>
          <w:tcPr>
            <w:tcW w:w="1194" w:type="dxa"/>
            <w:hideMark/>
          </w:tcPr>
          <w:p w14:paraId="56033894" w14:textId="157B13A3"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C03</w:t>
            </w:r>
            <w:r w:rsidR="00812CB9" w:rsidRPr="009B1AB6">
              <w:rPr>
                <w:rFonts w:ascii="Times New Roman" w:hAnsi="Times New Roman"/>
                <w:sz w:val="20"/>
              </w:rPr>
              <w:t>0</w:t>
            </w:r>
            <w:r w:rsidRPr="009B1AB6">
              <w:rPr>
                <w:rFonts w:ascii="Times New Roman" w:hAnsi="Times New Roman"/>
                <w:sz w:val="20"/>
              </w:rPr>
              <w:t>0</w:t>
            </w:r>
          </w:p>
        </w:tc>
        <w:tc>
          <w:tcPr>
            <w:tcW w:w="2320" w:type="dxa"/>
            <w:hideMark/>
          </w:tcPr>
          <w:p w14:paraId="549E5E41"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Valeur de déclenchement</w:t>
            </w:r>
          </w:p>
        </w:tc>
        <w:tc>
          <w:tcPr>
            <w:tcW w:w="5808" w:type="dxa"/>
            <w:hideMark/>
          </w:tcPr>
          <w:p w14:paraId="5A92D14F"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 xml:space="preserve">Prix de référence pour les </w:t>
            </w:r>
            <w:r w:rsidRPr="009B1AB6">
              <w:rPr>
                <w:rFonts w:ascii="Times New Roman" w:hAnsi="Times New Roman"/>
                <w:i/>
                <w:sz w:val="20"/>
              </w:rPr>
              <w:t>futures</w:t>
            </w:r>
            <w:r w:rsidRPr="009B1AB6">
              <w:rPr>
                <w:rFonts w:ascii="Times New Roman" w:hAnsi="Times New Roman"/>
                <w:sz w:val="20"/>
              </w:rPr>
              <w:t xml:space="preserve">, prix d’exercice pour les options (pour les obligations, le prix est un pourcentage du montant au pair), taux de change ou taux d’intérêt pour les </w:t>
            </w:r>
            <w:r w:rsidRPr="009B1AB6">
              <w:rPr>
                <w:rFonts w:ascii="Times New Roman" w:hAnsi="Times New Roman"/>
                <w:i/>
                <w:sz w:val="20"/>
              </w:rPr>
              <w:t>forwards</w:t>
            </w:r>
            <w:r w:rsidRPr="009B1AB6">
              <w:rPr>
                <w:rFonts w:ascii="Times New Roman" w:hAnsi="Times New Roman"/>
                <w:sz w:val="20"/>
              </w:rPr>
              <w:t>, etc.</w:t>
            </w:r>
            <w:r w:rsidR="00FE79E2" w:rsidRPr="009B1AB6">
              <w:rPr>
                <w:rFonts w:ascii="Times New Roman" w:hAnsi="Times New Roman" w:cs="Times New Roman"/>
                <w:sz w:val="20"/>
                <w:szCs w:val="20"/>
              </w:rPr>
              <w:br/>
            </w:r>
            <w:r w:rsidRPr="009B1AB6">
              <w:rPr>
                <w:rFonts w:ascii="Times New Roman" w:hAnsi="Times New Roman"/>
                <w:sz w:val="20"/>
              </w:rPr>
              <w:t xml:space="preserve">Non applicable à la catégorie CIC D3 «Contrats d’échange </w:t>
            </w:r>
            <w:r w:rsidRPr="009B1AB6">
              <w:rPr>
                <w:rFonts w:ascii="Times New Roman" w:hAnsi="Times New Roman"/>
                <w:i/>
                <w:sz w:val="20"/>
              </w:rPr>
              <w:t xml:space="preserve">(swaps) </w:t>
            </w:r>
            <w:r w:rsidRPr="009B1AB6">
              <w:rPr>
                <w:rFonts w:ascii="Times New Roman" w:hAnsi="Times New Roman"/>
                <w:sz w:val="20"/>
              </w:rPr>
              <w:t>de taux d’intérêt et de change»</w:t>
            </w:r>
            <w:r w:rsidR="00FE79E2" w:rsidRPr="009B1AB6">
              <w:rPr>
                <w:rFonts w:ascii="Times New Roman" w:hAnsi="Times New Roman" w:cs="Times New Roman"/>
                <w:sz w:val="20"/>
                <w:szCs w:val="20"/>
              </w:rPr>
              <w:br/>
            </w:r>
            <w:r w:rsidRPr="009B1AB6">
              <w:rPr>
                <w:rFonts w:ascii="Times New Roman" w:hAnsi="Times New Roman"/>
                <w:sz w:val="20"/>
              </w:rPr>
              <w:t xml:space="preserve">Ne rien déclarer pour la catégorie CIC F1 «Contrats d’échange </w:t>
            </w:r>
            <w:r w:rsidRPr="009B1AB6">
              <w:rPr>
                <w:rFonts w:ascii="Times New Roman" w:hAnsi="Times New Roman"/>
                <w:i/>
                <w:sz w:val="20"/>
              </w:rPr>
              <w:t xml:space="preserve">(swaps) </w:t>
            </w:r>
            <w:r w:rsidRPr="009B1AB6">
              <w:rPr>
                <w:rFonts w:ascii="Times New Roman" w:hAnsi="Times New Roman"/>
                <w:sz w:val="20"/>
              </w:rPr>
              <w:t>sur risque de crédit» si ce n’est pas possible</w:t>
            </w:r>
            <w:r w:rsidRPr="009B1AB6">
              <w:rPr>
                <w:rFonts w:ascii="Times New Roman" w:hAnsi="Times New Roman"/>
                <w:i/>
                <w:sz w:val="20"/>
              </w:rPr>
              <w:t>.</w:t>
            </w:r>
          </w:p>
          <w:p w14:paraId="4D749A8A" w14:textId="77777777" w:rsidR="003D361D" w:rsidRPr="009B1AB6" w:rsidRDefault="0095672C" w:rsidP="00A261B3">
            <w:pPr>
              <w:spacing w:after="200" w:line="276" w:lineRule="auto"/>
              <w:rPr>
                <w:rFonts w:ascii="Times New Roman" w:hAnsi="Times New Roman" w:cs="Times New Roman"/>
                <w:sz w:val="20"/>
                <w:szCs w:val="20"/>
              </w:rPr>
            </w:pPr>
            <w:r w:rsidRPr="009B1AB6">
              <w:rPr>
                <w:rFonts w:ascii="Times New Roman" w:hAnsi="Times New Roman"/>
                <w:sz w:val="20"/>
              </w:rPr>
              <w:t>S’il y a plusieurs valeurs de déclenchement dans la durée, déclarer la prochaine valeur de déclenchement qui interviendra.</w:t>
            </w:r>
            <w:r w:rsidR="00FE79E2" w:rsidRPr="009B1AB6">
              <w:rPr>
                <w:rFonts w:ascii="Times New Roman" w:hAnsi="Times New Roman" w:cs="Times New Roman"/>
                <w:sz w:val="20"/>
                <w:szCs w:val="20"/>
              </w:rPr>
              <w:br/>
            </w:r>
            <w:r w:rsidRPr="009B1AB6">
              <w:rPr>
                <w:rFonts w:ascii="Times New Roman" w:hAnsi="Times New Roman"/>
                <w:sz w:val="20"/>
              </w:rPr>
              <w:t>Lorsque le dérivé a une plage de valeurs de déclenchement, séparer les valeurs par une virgule «,» si la plage n’est pas continue et par un tiret «–» si elle est continue.</w:t>
            </w:r>
          </w:p>
        </w:tc>
      </w:tr>
      <w:tr w:rsidR="0095672C" w:rsidRPr="009B1AB6" w14:paraId="11AA848C" w14:textId="77777777" w:rsidTr="00950116">
        <w:trPr>
          <w:trHeight w:val="3206"/>
        </w:trPr>
        <w:tc>
          <w:tcPr>
            <w:tcW w:w="1194" w:type="dxa"/>
            <w:hideMark/>
          </w:tcPr>
          <w:p w14:paraId="3FA89499" w14:textId="770990EE"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C03</w:t>
            </w:r>
            <w:r w:rsidR="00812CB9" w:rsidRPr="009B1AB6">
              <w:rPr>
                <w:rFonts w:ascii="Times New Roman" w:hAnsi="Times New Roman"/>
                <w:sz w:val="20"/>
              </w:rPr>
              <w:t>10</w:t>
            </w:r>
          </w:p>
        </w:tc>
        <w:tc>
          <w:tcPr>
            <w:tcW w:w="2320" w:type="dxa"/>
            <w:hideMark/>
          </w:tcPr>
          <w:p w14:paraId="4159972F"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Déclenchement du dénouement du contrat</w:t>
            </w:r>
          </w:p>
        </w:tc>
        <w:tc>
          <w:tcPr>
            <w:tcW w:w="5808" w:type="dxa"/>
            <w:hideMark/>
          </w:tcPr>
          <w:p w14:paraId="2509CB9B" w14:textId="77777777" w:rsidR="0095672C" w:rsidRPr="009B1AB6" w:rsidRDefault="0095672C" w:rsidP="00950116">
            <w:pPr>
              <w:spacing w:line="276" w:lineRule="auto"/>
              <w:rPr>
                <w:rFonts w:ascii="Times New Roman" w:hAnsi="Times New Roman" w:cs="Times New Roman"/>
                <w:sz w:val="20"/>
                <w:szCs w:val="20"/>
              </w:rPr>
            </w:pPr>
            <w:r w:rsidRPr="009B1AB6">
              <w:rPr>
                <w:rFonts w:ascii="Times New Roman" w:hAnsi="Times New Roman"/>
                <w:sz w:val="20"/>
              </w:rPr>
              <w:t>Indiquer l’événement entraînant le dénouement du contrat (hors expiration ou conditions contractuelles normales). Choisir impérativement l’une des options suivantes:</w:t>
            </w:r>
            <w:r w:rsidR="00FE79E2" w:rsidRPr="009B1AB6">
              <w:rPr>
                <w:rFonts w:ascii="Times New Roman" w:hAnsi="Times New Roman" w:cs="Times New Roman"/>
                <w:sz w:val="20"/>
                <w:szCs w:val="20"/>
              </w:rPr>
              <w:br/>
            </w:r>
            <w:r w:rsidRPr="009B1AB6">
              <w:rPr>
                <w:rFonts w:ascii="Times New Roman" w:hAnsi="Times New Roman"/>
                <w:sz w:val="20"/>
              </w:rPr>
              <w:t>1 – Faillite de l’entité sous-jacente ou de référence</w:t>
            </w:r>
            <w:r w:rsidR="00FE79E2" w:rsidRPr="009B1AB6">
              <w:rPr>
                <w:rFonts w:ascii="Times New Roman" w:hAnsi="Times New Roman" w:cs="Times New Roman"/>
                <w:sz w:val="20"/>
                <w:szCs w:val="20"/>
              </w:rPr>
              <w:br/>
            </w:r>
            <w:r w:rsidRPr="009B1AB6">
              <w:rPr>
                <w:rFonts w:ascii="Times New Roman" w:hAnsi="Times New Roman"/>
                <w:sz w:val="20"/>
              </w:rPr>
              <w:t>2 – Chute de la valeur de l’actif de référence sous-jacent</w:t>
            </w:r>
            <w:r w:rsidR="00FE79E2" w:rsidRPr="009B1AB6">
              <w:rPr>
                <w:rFonts w:ascii="Times New Roman" w:hAnsi="Times New Roman" w:cs="Times New Roman"/>
                <w:sz w:val="20"/>
                <w:szCs w:val="20"/>
              </w:rPr>
              <w:br/>
            </w:r>
            <w:r w:rsidRPr="009B1AB6">
              <w:rPr>
                <w:rFonts w:ascii="Times New Roman" w:hAnsi="Times New Roman"/>
                <w:sz w:val="20"/>
              </w:rPr>
              <w:t>3 – Dégradation de la notation de crédit des actifs sous-jacents ou de l’entité sous-jacente</w:t>
            </w:r>
            <w:r w:rsidR="00FE79E2" w:rsidRPr="009B1AB6">
              <w:rPr>
                <w:rFonts w:ascii="Times New Roman" w:hAnsi="Times New Roman" w:cs="Times New Roman"/>
                <w:sz w:val="20"/>
                <w:szCs w:val="20"/>
              </w:rPr>
              <w:br/>
            </w:r>
            <w:r w:rsidRPr="009B1AB6">
              <w:rPr>
                <w:rFonts w:ascii="Times New Roman" w:hAnsi="Times New Roman"/>
                <w:sz w:val="20"/>
              </w:rPr>
              <w:t>4 – Novation, c’est-à-dire le fait de remplacer une obligation au titre du dérivé par une nouvelle obligation, ou de remplacer une partie du dérivé par une nouvelle partie</w:t>
            </w:r>
            <w:r w:rsidR="00FE79E2" w:rsidRPr="009B1AB6">
              <w:rPr>
                <w:rFonts w:ascii="Times New Roman" w:hAnsi="Times New Roman" w:cs="Times New Roman"/>
                <w:sz w:val="20"/>
                <w:szCs w:val="20"/>
              </w:rPr>
              <w:br/>
            </w:r>
            <w:r w:rsidRPr="009B1AB6">
              <w:rPr>
                <w:rFonts w:ascii="Times New Roman" w:hAnsi="Times New Roman"/>
                <w:sz w:val="20"/>
              </w:rPr>
              <w:t>5 – Plusieurs événements ou une combinaison d’événements</w:t>
            </w:r>
            <w:r w:rsidR="00FE79E2" w:rsidRPr="009B1AB6">
              <w:rPr>
                <w:rFonts w:ascii="Times New Roman" w:hAnsi="Times New Roman" w:cs="Times New Roman"/>
                <w:sz w:val="20"/>
                <w:szCs w:val="20"/>
              </w:rPr>
              <w:br/>
            </w:r>
            <w:r w:rsidRPr="009B1AB6">
              <w:rPr>
                <w:rFonts w:ascii="Times New Roman" w:hAnsi="Times New Roman"/>
                <w:sz w:val="20"/>
              </w:rPr>
              <w:t>6 – Autre événement non couvert par les options précédentes</w:t>
            </w:r>
          </w:p>
          <w:p w14:paraId="03D4B182"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9 – Pas de déclencheur du dénouement</w:t>
            </w:r>
          </w:p>
        </w:tc>
      </w:tr>
      <w:tr w:rsidR="0095672C" w:rsidRPr="009B1AB6" w14:paraId="62EBFE31" w14:textId="77777777" w:rsidTr="00950116">
        <w:trPr>
          <w:trHeight w:val="570"/>
        </w:trPr>
        <w:tc>
          <w:tcPr>
            <w:tcW w:w="1194" w:type="dxa"/>
            <w:hideMark/>
          </w:tcPr>
          <w:p w14:paraId="55ABAACD" w14:textId="29864D3B"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C03</w:t>
            </w:r>
            <w:r w:rsidR="00812CB9" w:rsidRPr="009B1AB6">
              <w:rPr>
                <w:rFonts w:ascii="Times New Roman" w:hAnsi="Times New Roman"/>
                <w:sz w:val="20"/>
              </w:rPr>
              <w:t>2</w:t>
            </w:r>
            <w:r w:rsidRPr="009B1AB6">
              <w:rPr>
                <w:rFonts w:ascii="Times New Roman" w:hAnsi="Times New Roman"/>
                <w:sz w:val="20"/>
              </w:rPr>
              <w:t>0</w:t>
            </w:r>
          </w:p>
        </w:tc>
        <w:tc>
          <w:tcPr>
            <w:tcW w:w="2320" w:type="dxa"/>
            <w:hideMark/>
          </w:tcPr>
          <w:p w14:paraId="35C4604D"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Monnaie fournie au titre du contrat d’échange</w:t>
            </w:r>
          </w:p>
        </w:tc>
        <w:tc>
          <w:tcPr>
            <w:tcW w:w="5808" w:type="dxa"/>
            <w:hideMark/>
          </w:tcPr>
          <w:p w14:paraId="49AF3E0B"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Indiquer le code alphabétique ISO 4217 de la monnaie dans laquelle est libellé le prix du contrat d’échange (uniquement pour les swaps de devises et les swaps de taux d’intérêt et de devises).</w:t>
            </w:r>
          </w:p>
        </w:tc>
      </w:tr>
      <w:tr w:rsidR="0095672C" w:rsidRPr="009B1AB6" w14:paraId="6B085CC5" w14:textId="77777777" w:rsidTr="00950116">
        <w:trPr>
          <w:trHeight w:val="570"/>
        </w:trPr>
        <w:tc>
          <w:tcPr>
            <w:tcW w:w="1194" w:type="dxa"/>
            <w:hideMark/>
          </w:tcPr>
          <w:p w14:paraId="1283819C" w14:textId="00272E40" w:rsidR="0095672C" w:rsidRPr="009B1AB6" w:rsidRDefault="00812CB9" w:rsidP="00950116">
            <w:pPr>
              <w:pStyle w:val="Sansinterligne"/>
              <w:rPr>
                <w:rFonts w:ascii="Times New Roman" w:hAnsi="Times New Roman" w:cs="Times New Roman"/>
                <w:sz w:val="20"/>
                <w:szCs w:val="20"/>
              </w:rPr>
            </w:pPr>
            <w:r w:rsidRPr="009B1AB6">
              <w:rPr>
                <w:rFonts w:ascii="Times New Roman" w:hAnsi="Times New Roman"/>
                <w:sz w:val="20"/>
              </w:rPr>
              <w:t>C033</w:t>
            </w:r>
            <w:r w:rsidR="0095672C" w:rsidRPr="009B1AB6">
              <w:rPr>
                <w:rFonts w:ascii="Times New Roman" w:hAnsi="Times New Roman"/>
                <w:sz w:val="20"/>
              </w:rPr>
              <w:t>0</w:t>
            </w:r>
          </w:p>
        </w:tc>
        <w:tc>
          <w:tcPr>
            <w:tcW w:w="2320" w:type="dxa"/>
            <w:hideMark/>
          </w:tcPr>
          <w:p w14:paraId="5A0FEF0C"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Monnaie reçue au titre du contrat d’échange</w:t>
            </w:r>
          </w:p>
        </w:tc>
        <w:tc>
          <w:tcPr>
            <w:tcW w:w="5808" w:type="dxa"/>
            <w:hideMark/>
          </w:tcPr>
          <w:p w14:paraId="30529419"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Indiquer le code alphabétique ISO 4217 de la monnaie dans laquelle est libellé le montant notionnel du contrat d’échange (uniquement pour les swaps de devises et les swaps de taux d’intérêt et de devises).</w:t>
            </w:r>
          </w:p>
        </w:tc>
      </w:tr>
      <w:tr w:rsidR="0095672C" w:rsidRPr="009B1AB6" w14:paraId="05C970A3" w14:textId="77777777" w:rsidTr="002A57AC">
        <w:trPr>
          <w:trHeight w:val="834"/>
        </w:trPr>
        <w:tc>
          <w:tcPr>
            <w:tcW w:w="1194" w:type="dxa"/>
            <w:hideMark/>
          </w:tcPr>
          <w:p w14:paraId="3ADBDBAA" w14:textId="1BC655FA" w:rsidR="0095672C" w:rsidRPr="009B1AB6" w:rsidRDefault="0095672C" w:rsidP="00812CB9">
            <w:pPr>
              <w:pStyle w:val="Sansinterligne"/>
              <w:rPr>
                <w:rFonts w:ascii="Times New Roman" w:hAnsi="Times New Roman" w:cs="Times New Roman"/>
                <w:sz w:val="20"/>
                <w:szCs w:val="20"/>
              </w:rPr>
            </w:pPr>
            <w:r w:rsidRPr="009B1AB6">
              <w:rPr>
                <w:rFonts w:ascii="Times New Roman" w:hAnsi="Times New Roman"/>
                <w:sz w:val="20"/>
              </w:rPr>
              <w:t>C03</w:t>
            </w:r>
            <w:r w:rsidR="00812CB9" w:rsidRPr="009B1AB6">
              <w:rPr>
                <w:rFonts w:ascii="Times New Roman" w:hAnsi="Times New Roman"/>
                <w:sz w:val="20"/>
              </w:rPr>
              <w:t>4</w:t>
            </w:r>
            <w:r w:rsidRPr="009B1AB6">
              <w:rPr>
                <w:rFonts w:ascii="Times New Roman" w:hAnsi="Times New Roman"/>
                <w:sz w:val="20"/>
              </w:rPr>
              <w:t>0</w:t>
            </w:r>
          </w:p>
        </w:tc>
        <w:tc>
          <w:tcPr>
            <w:tcW w:w="2320" w:type="dxa"/>
            <w:hideMark/>
          </w:tcPr>
          <w:p w14:paraId="1F86EA64" w14:textId="77777777" w:rsidR="0095672C" w:rsidRPr="009B1AB6" w:rsidRDefault="0095672C">
            <w:pPr>
              <w:spacing w:after="200" w:line="276" w:lineRule="auto"/>
              <w:rPr>
                <w:rFonts w:ascii="Times New Roman" w:hAnsi="Times New Roman" w:cs="Times New Roman"/>
                <w:sz w:val="20"/>
                <w:szCs w:val="20"/>
              </w:rPr>
            </w:pPr>
            <w:r w:rsidRPr="009B1AB6">
              <w:rPr>
                <w:rFonts w:ascii="Times New Roman" w:hAnsi="Times New Roman"/>
                <w:sz w:val="20"/>
              </w:rPr>
              <w:t>Date d’échéance</w:t>
            </w:r>
          </w:p>
        </w:tc>
        <w:tc>
          <w:tcPr>
            <w:tcW w:w="5808" w:type="dxa"/>
            <w:hideMark/>
          </w:tcPr>
          <w:p w14:paraId="15DACBCF" w14:textId="77777777" w:rsidR="0095672C" w:rsidRPr="009B1AB6" w:rsidRDefault="0095672C" w:rsidP="00950116">
            <w:pPr>
              <w:spacing w:after="200" w:line="276" w:lineRule="auto"/>
              <w:rPr>
                <w:rFonts w:ascii="Times New Roman" w:hAnsi="Times New Roman" w:cs="Times New Roman"/>
                <w:sz w:val="20"/>
                <w:szCs w:val="20"/>
              </w:rPr>
            </w:pPr>
            <w:r w:rsidRPr="009B1AB6">
              <w:rPr>
                <w:rFonts w:ascii="Times New Roman" w:hAnsi="Times New Roman"/>
                <w:sz w:val="20"/>
              </w:rPr>
              <w:t>Indiquer le code ISO 8601 (aaaa-mm-jj) de la date de clôture du contrat dérivé, telle que contractuellement définie: date d’échéance, date d’expiration des options (européennes ou américaines), etc.</w:t>
            </w:r>
          </w:p>
        </w:tc>
      </w:tr>
    </w:tbl>
    <w:p w14:paraId="44744A7B" w14:textId="443715EB" w:rsidR="003E7263" w:rsidRPr="009B1AB6" w:rsidRDefault="003E7263">
      <w:pPr>
        <w:rPr>
          <w:rFonts w:ascii="Times New Roman" w:hAnsi="Times New Roman"/>
          <w:b/>
          <w:sz w:val="20"/>
        </w:rPr>
      </w:pPr>
    </w:p>
    <w:p w14:paraId="1050BC67" w14:textId="045881B4" w:rsidR="00304BFF" w:rsidRPr="009B1AB6" w:rsidRDefault="00304BFF">
      <w:pPr>
        <w:rPr>
          <w:rFonts w:ascii="Times New Roman" w:hAnsi="Times New Roman"/>
          <w:b/>
          <w:sz w:val="20"/>
        </w:rPr>
      </w:pPr>
    </w:p>
    <w:p w14:paraId="52749867" w14:textId="5E07823B" w:rsidR="00304BFF" w:rsidRPr="009B1AB6" w:rsidRDefault="00304BFF">
      <w:pPr>
        <w:rPr>
          <w:rFonts w:ascii="Times New Roman" w:hAnsi="Times New Roman"/>
          <w:b/>
          <w:sz w:val="20"/>
        </w:rPr>
      </w:pPr>
    </w:p>
    <w:p w14:paraId="611BF0F7" w14:textId="07F82447" w:rsidR="00304BFF" w:rsidRPr="009B1AB6" w:rsidRDefault="00304BFF">
      <w:pPr>
        <w:rPr>
          <w:rFonts w:ascii="Times New Roman" w:hAnsi="Times New Roman"/>
          <w:b/>
          <w:sz w:val="20"/>
        </w:rPr>
      </w:pPr>
    </w:p>
    <w:p w14:paraId="55946486" w14:textId="77777777" w:rsidR="00304BFF" w:rsidRPr="009B1AB6" w:rsidRDefault="00304BFF">
      <w:pPr>
        <w:rPr>
          <w:rFonts w:ascii="Times New Roman" w:hAnsi="Times New Roman"/>
          <w:b/>
          <w:sz w:val="20"/>
        </w:rPr>
      </w:pPr>
    </w:p>
    <w:p w14:paraId="3EBED338" w14:textId="34829C66" w:rsidR="006D71BF" w:rsidRPr="009B1AB6" w:rsidRDefault="004D7FA3" w:rsidP="005D43BF">
      <w:pPr>
        <w:ind w:left="-170"/>
        <w:rPr>
          <w:rFonts w:ascii="Times New Roman" w:hAnsi="Times New Roman"/>
          <w:b/>
          <w:sz w:val="20"/>
        </w:rPr>
      </w:pPr>
      <w:r w:rsidRPr="009B1AB6">
        <w:rPr>
          <w:rFonts w:ascii="Times New Roman" w:hAnsi="Times New Roman"/>
          <w:b/>
          <w:sz w:val="20"/>
        </w:rPr>
        <w:lastRenderedPageBreak/>
        <w:t xml:space="preserve">Tableaux </w:t>
      </w:r>
      <w:r w:rsidR="006D71BF" w:rsidRPr="009B1AB6">
        <w:rPr>
          <w:rFonts w:ascii="Times New Roman" w:hAnsi="Times New Roman"/>
          <w:b/>
          <w:sz w:val="20"/>
        </w:rPr>
        <w:t>de l’état</w:t>
      </w:r>
    </w:p>
    <w:p w14:paraId="1CD44ADD" w14:textId="4452ABB6" w:rsidR="00270A08" w:rsidRPr="009B1AB6" w:rsidRDefault="005D43BF" w:rsidP="005D43BF">
      <w:pPr>
        <w:spacing w:after="100" w:afterAutospacing="1"/>
        <w:ind w:left="170" w:hanging="567"/>
        <w:rPr>
          <w:rFonts w:ascii="Times New Roman" w:hAnsi="Times New Roman"/>
          <w:b/>
          <w:sz w:val="20"/>
        </w:rPr>
      </w:pPr>
      <w:r w:rsidRPr="009B1AB6">
        <w:rPr>
          <w:rFonts w:ascii="Times New Roman" w:hAnsi="Times New Roman"/>
          <w:b/>
          <w:noProof/>
          <w:sz w:val="20"/>
          <w:lang w:bidi="ar-SA"/>
        </w:rPr>
        <w:drawing>
          <wp:inline distT="0" distB="0" distL="0" distR="0" wp14:anchorId="32924B65" wp14:editId="73B9DEAA">
            <wp:extent cx="6430061" cy="154996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51857" cy="1555215"/>
                    </a:xfrm>
                    <a:prstGeom prst="rect">
                      <a:avLst/>
                    </a:prstGeom>
                  </pic:spPr>
                </pic:pic>
              </a:graphicData>
            </a:graphic>
          </wp:inline>
        </w:drawing>
      </w:r>
    </w:p>
    <w:p w14:paraId="76C88871" w14:textId="06EFF39B" w:rsidR="00637AB7" w:rsidRPr="00166F34" w:rsidRDefault="005D43BF" w:rsidP="005D43BF">
      <w:pPr>
        <w:spacing w:after="100" w:afterAutospacing="1"/>
        <w:ind w:left="-397"/>
        <w:rPr>
          <w:rFonts w:ascii="Times New Roman" w:hAnsi="Times New Roman"/>
        </w:rPr>
      </w:pPr>
      <w:r w:rsidRPr="009B1AB6">
        <w:rPr>
          <w:rFonts w:ascii="Times New Roman" w:hAnsi="Times New Roman"/>
          <w:noProof/>
          <w:lang w:bidi="ar-SA"/>
        </w:rPr>
        <w:drawing>
          <wp:inline distT="0" distB="0" distL="0" distR="0" wp14:anchorId="3E6127E6" wp14:editId="301E43BD">
            <wp:extent cx="6517843" cy="20669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55831" cy="2078972"/>
                    </a:xfrm>
                    <a:prstGeom prst="rect">
                      <a:avLst/>
                    </a:prstGeom>
                  </pic:spPr>
                </pic:pic>
              </a:graphicData>
            </a:graphic>
          </wp:inline>
        </w:drawing>
      </w:r>
    </w:p>
    <w:sectPr w:rsidR="00637AB7" w:rsidRPr="00166F3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4533A" w14:textId="77777777" w:rsidR="008370FC" w:rsidRDefault="008370FC" w:rsidP="0051516F">
      <w:pPr>
        <w:spacing w:after="0" w:line="240" w:lineRule="auto"/>
      </w:pPr>
      <w:r>
        <w:separator/>
      </w:r>
    </w:p>
  </w:endnote>
  <w:endnote w:type="continuationSeparator" w:id="0">
    <w:p w14:paraId="4B94AC17" w14:textId="77777777" w:rsidR="008370FC" w:rsidRDefault="008370FC"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4BE84" w14:textId="77777777" w:rsidR="008370FC" w:rsidRDefault="008370FC" w:rsidP="0051516F">
      <w:pPr>
        <w:spacing w:after="0" w:line="240" w:lineRule="auto"/>
      </w:pPr>
      <w:r>
        <w:separator/>
      </w:r>
    </w:p>
  </w:footnote>
  <w:footnote w:type="continuationSeparator" w:id="0">
    <w:p w14:paraId="4F9D4182" w14:textId="77777777" w:rsidR="008370FC" w:rsidRDefault="008370FC"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84E02494"/>
    <w:lvl w:ilvl="0" w:tplc="31E204B8">
      <w:start w:val="1"/>
      <w:numFmt w:val="lowerLetter"/>
      <w:lvlText w:val="%1)"/>
      <w:lvlJc w:val="left"/>
      <w:pPr>
        <w:ind w:left="680" w:hanging="3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27E2"/>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3C22"/>
    <w:rsid w:val="00085D2D"/>
    <w:rsid w:val="00095251"/>
    <w:rsid w:val="00097A27"/>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34C56"/>
    <w:rsid w:val="001441D4"/>
    <w:rsid w:val="00144777"/>
    <w:rsid w:val="00157CC7"/>
    <w:rsid w:val="001635A8"/>
    <w:rsid w:val="00164381"/>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15215"/>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A57AC"/>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4BFF"/>
    <w:rsid w:val="00306742"/>
    <w:rsid w:val="003071F2"/>
    <w:rsid w:val="00312902"/>
    <w:rsid w:val="0031378D"/>
    <w:rsid w:val="003175FF"/>
    <w:rsid w:val="00317AA6"/>
    <w:rsid w:val="00317D7F"/>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24F"/>
    <w:rsid w:val="003F24FC"/>
    <w:rsid w:val="003F7860"/>
    <w:rsid w:val="00411393"/>
    <w:rsid w:val="00415ED5"/>
    <w:rsid w:val="00421BF6"/>
    <w:rsid w:val="00425D6F"/>
    <w:rsid w:val="00430868"/>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67C0C"/>
    <w:rsid w:val="00482CC5"/>
    <w:rsid w:val="00486118"/>
    <w:rsid w:val="00486501"/>
    <w:rsid w:val="0049344B"/>
    <w:rsid w:val="004957AE"/>
    <w:rsid w:val="00496908"/>
    <w:rsid w:val="00496E20"/>
    <w:rsid w:val="004A4F35"/>
    <w:rsid w:val="004A7A8F"/>
    <w:rsid w:val="004B05E3"/>
    <w:rsid w:val="004B0C75"/>
    <w:rsid w:val="004B2500"/>
    <w:rsid w:val="004B41E6"/>
    <w:rsid w:val="004B61AF"/>
    <w:rsid w:val="004C0920"/>
    <w:rsid w:val="004C5083"/>
    <w:rsid w:val="004D51A9"/>
    <w:rsid w:val="004D683A"/>
    <w:rsid w:val="004D7FA3"/>
    <w:rsid w:val="004E2CD5"/>
    <w:rsid w:val="004E7A49"/>
    <w:rsid w:val="004F1DD8"/>
    <w:rsid w:val="004F2256"/>
    <w:rsid w:val="004F7035"/>
    <w:rsid w:val="004F7860"/>
    <w:rsid w:val="00503D92"/>
    <w:rsid w:val="0051516F"/>
    <w:rsid w:val="00515175"/>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43BF"/>
    <w:rsid w:val="005D5B72"/>
    <w:rsid w:val="005D7804"/>
    <w:rsid w:val="005E2783"/>
    <w:rsid w:val="005E4795"/>
    <w:rsid w:val="005E724C"/>
    <w:rsid w:val="005F3ABE"/>
    <w:rsid w:val="005F721A"/>
    <w:rsid w:val="00600656"/>
    <w:rsid w:val="00601B14"/>
    <w:rsid w:val="0060445C"/>
    <w:rsid w:val="00604BAF"/>
    <w:rsid w:val="00611C81"/>
    <w:rsid w:val="00612C5B"/>
    <w:rsid w:val="00614E25"/>
    <w:rsid w:val="00620B4E"/>
    <w:rsid w:val="00630CE6"/>
    <w:rsid w:val="006313E1"/>
    <w:rsid w:val="006317FF"/>
    <w:rsid w:val="00632A29"/>
    <w:rsid w:val="00637AB7"/>
    <w:rsid w:val="00641121"/>
    <w:rsid w:val="00643E80"/>
    <w:rsid w:val="00651E3F"/>
    <w:rsid w:val="00667D21"/>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B5EDA"/>
    <w:rsid w:val="006C35D8"/>
    <w:rsid w:val="006C4022"/>
    <w:rsid w:val="006C7119"/>
    <w:rsid w:val="006D4290"/>
    <w:rsid w:val="006D50F6"/>
    <w:rsid w:val="006D71BF"/>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2A97"/>
    <w:rsid w:val="007B38BB"/>
    <w:rsid w:val="007B7719"/>
    <w:rsid w:val="007C1009"/>
    <w:rsid w:val="007C2E95"/>
    <w:rsid w:val="007C51B5"/>
    <w:rsid w:val="007C59DC"/>
    <w:rsid w:val="007D51B0"/>
    <w:rsid w:val="007E19B7"/>
    <w:rsid w:val="007E3D53"/>
    <w:rsid w:val="007E61F8"/>
    <w:rsid w:val="007F1DF0"/>
    <w:rsid w:val="007F4AAF"/>
    <w:rsid w:val="00800E84"/>
    <w:rsid w:val="00802F31"/>
    <w:rsid w:val="00803166"/>
    <w:rsid w:val="008077CC"/>
    <w:rsid w:val="00812CB9"/>
    <w:rsid w:val="008146D3"/>
    <w:rsid w:val="008151C2"/>
    <w:rsid w:val="008161EF"/>
    <w:rsid w:val="00817E1B"/>
    <w:rsid w:val="0082485F"/>
    <w:rsid w:val="00825BA0"/>
    <w:rsid w:val="00830094"/>
    <w:rsid w:val="008349EC"/>
    <w:rsid w:val="008370FC"/>
    <w:rsid w:val="00837E57"/>
    <w:rsid w:val="008415AF"/>
    <w:rsid w:val="00850CF8"/>
    <w:rsid w:val="00852E81"/>
    <w:rsid w:val="00854FF4"/>
    <w:rsid w:val="00864495"/>
    <w:rsid w:val="00866276"/>
    <w:rsid w:val="00866F4E"/>
    <w:rsid w:val="0087574D"/>
    <w:rsid w:val="00881729"/>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8F6E6C"/>
    <w:rsid w:val="0090087B"/>
    <w:rsid w:val="009079E3"/>
    <w:rsid w:val="00907D61"/>
    <w:rsid w:val="009100BA"/>
    <w:rsid w:val="00911479"/>
    <w:rsid w:val="009114CD"/>
    <w:rsid w:val="009119D4"/>
    <w:rsid w:val="009214FF"/>
    <w:rsid w:val="00922B9F"/>
    <w:rsid w:val="009302E9"/>
    <w:rsid w:val="00931BC7"/>
    <w:rsid w:val="009332B5"/>
    <w:rsid w:val="00940479"/>
    <w:rsid w:val="00947B15"/>
    <w:rsid w:val="00950116"/>
    <w:rsid w:val="0095672C"/>
    <w:rsid w:val="009666D0"/>
    <w:rsid w:val="00966731"/>
    <w:rsid w:val="00975FAF"/>
    <w:rsid w:val="00976ECA"/>
    <w:rsid w:val="00983EFF"/>
    <w:rsid w:val="00985F6E"/>
    <w:rsid w:val="00990282"/>
    <w:rsid w:val="00992985"/>
    <w:rsid w:val="00994513"/>
    <w:rsid w:val="009A1906"/>
    <w:rsid w:val="009A1CF6"/>
    <w:rsid w:val="009A337D"/>
    <w:rsid w:val="009A387F"/>
    <w:rsid w:val="009A404B"/>
    <w:rsid w:val="009A4AB6"/>
    <w:rsid w:val="009A4CCA"/>
    <w:rsid w:val="009A7AC0"/>
    <w:rsid w:val="009B1AB6"/>
    <w:rsid w:val="009B27E5"/>
    <w:rsid w:val="009B7221"/>
    <w:rsid w:val="009C2E50"/>
    <w:rsid w:val="009D3D9E"/>
    <w:rsid w:val="009D74C4"/>
    <w:rsid w:val="009D7D95"/>
    <w:rsid w:val="009E4617"/>
    <w:rsid w:val="009E5725"/>
    <w:rsid w:val="009E6975"/>
    <w:rsid w:val="009E7E1B"/>
    <w:rsid w:val="009F41F3"/>
    <w:rsid w:val="00A07329"/>
    <w:rsid w:val="00A07F19"/>
    <w:rsid w:val="00A25866"/>
    <w:rsid w:val="00A261B3"/>
    <w:rsid w:val="00A27E73"/>
    <w:rsid w:val="00A314F2"/>
    <w:rsid w:val="00A36D30"/>
    <w:rsid w:val="00A418E1"/>
    <w:rsid w:val="00A41C3B"/>
    <w:rsid w:val="00A46097"/>
    <w:rsid w:val="00A47885"/>
    <w:rsid w:val="00A6257C"/>
    <w:rsid w:val="00A63304"/>
    <w:rsid w:val="00A65703"/>
    <w:rsid w:val="00A741AB"/>
    <w:rsid w:val="00A75F78"/>
    <w:rsid w:val="00A80F3C"/>
    <w:rsid w:val="00A82A9F"/>
    <w:rsid w:val="00A850E3"/>
    <w:rsid w:val="00A85457"/>
    <w:rsid w:val="00A86168"/>
    <w:rsid w:val="00A86581"/>
    <w:rsid w:val="00AA7A36"/>
    <w:rsid w:val="00AB3236"/>
    <w:rsid w:val="00AC3357"/>
    <w:rsid w:val="00AC6C39"/>
    <w:rsid w:val="00AD4A46"/>
    <w:rsid w:val="00AD5867"/>
    <w:rsid w:val="00AD79BD"/>
    <w:rsid w:val="00AE2109"/>
    <w:rsid w:val="00AE32D2"/>
    <w:rsid w:val="00AE4F06"/>
    <w:rsid w:val="00AE65C0"/>
    <w:rsid w:val="00AF0B98"/>
    <w:rsid w:val="00AF2ABF"/>
    <w:rsid w:val="00B05B5B"/>
    <w:rsid w:val="00B14441"/>
    <w:rsid w:val="00B14D00"/>
    <w:rsid w:val="00B17730"/>
    <w:rsid w:val="00B22117"/>
    <w:rsid w:val="00B227CF"/>
    <w:rsid w:val="00B26627"/>
    <w:rsid w:val="00B272F3"/>
    <w:rsid w:val="00B31C82"/>
    <w:rsid w:val="00B33FD1"/>
    <w:rsid w:val="00B34115"/>
    <w:rsid w:val="00B40588"/>
    <w:rsid w:val="00B41DC2"/>
    <w:rsid w:val="00B446AA"/>
    <w:rsid w:val="00B44AA5"/>
    <w:rsid w:val="00B508C7"/>
    <w:rsid w:val="00B53FAB"/>
    <w:rsid w:val="00B5555A"/>
    <w:rsid w:val="00B62424"/>
    <w:rsid w:val="00B71AE5"/>
    <w:rsid w:val="00B72248"/>
    <w:rsid w:val="00B74AEE"/>
    <w:rsid w:val="00B837D9"/>
    <w:rsid w:val="00B90F65"/>
    <w:rsid w:val="00B91E57"/>
    <w:rsid w:val="00B91E68"/>
    <w:rsid w:val="00B97D0E"/>
    <w:rsid w:val="00BA3AB4"/>
    <w:rsid w:val="00BA4E09"/>
    <w:rsid w:val="00BA5BC0"/>
    <w:rsid w:val="00BA6EA2"/>
    <w:rsid w:val="00BA7D71"/>
    <w:rsid w:val="00BB0FCA"/>
    <w:rsid w:val="00BB1EB4"/>
    <w:rsid w:val="00BB2F7F"/>
    <w:rsid w:val="00BC0FCC"/>
    <w:rsid w:val="00BC1FF6"/>
    <w:rsid w:val="00BC6107"/>
    <w:rsid w:val="00BD243A"/>
    <w:rsid w:val="00BE1B63"/>
    <w:rsid w:val="00BE4666"/>
    <w:rsid w:val="00BE57D0"/>
    <w:rsid w:val="00BF4262"/>
    <w:rsid w:val="00C03D09"/>
    <w:rsid w:val="00C051D6"/>
    <w:rsid w:val="00C05787"/>
    <w:rsid w:val="00C13933"/>
    <w:rsid w:val="00C16BFC"/>
    <w:rsid w:val="00C16CE6"/>
    <w:rsid w:val="00C22F9F"/>
    <w:rsid w:val="00C238BC"/>
    <w:rsid w:val="00C24E0C"/>
    <w:rsid w:val="00C34BA4"/>
    <w:rsid w:val="00C40AF1"/>
    <w:rsid w:val="00C42C88"/>
    <w:rsid w:val="00C44BAC"/>
    <w:rsid w:val="00C516BA"/>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4C83"/>
    <w:rsid w:val="00CF5902"/>
    <w:rsid w:val="00D002C4"/>
    <w:rsid w:val="00D037B6"/>
    <w:rsid w:val="00D04822"/>
    <w:rsid w:val="00D05F66"/>
    <w:rsid w:val="00D07DBF"/>
    <w:rsid w:val="00D16095"/>
    <w:rsid w:val="00D16A51"/>
    <w:rsid w:val="00D202B9"/>
    <w:rsid w:val="00D25415"/>
    <w:rsid w:val="00D409C6"/>
    <w:rsid w:val="00D42064"/>
    <w:rsid w:val="00D42F44"/>
    <w:rsid w:val="00D45508"/>
    <w:rsid w:val="00D52B61"/>
    <w:rsid w:val="00D543CF"/>
    <w:rsid w:val="00D574F5"/>
    <w:rsid w:val="00D76F83"/>
    <w:rsid w:val="00D80E52"/>
    <w:rsid w:val="00D811EE"/>
    <w:rsid w:val="00D85511"/>
    <w:rsid w:val="00D86918"/>
    <w:rsid w:val="00D93828"/>
    <w:rsid w:val="00D95713"/>
    <w:rsid w:val="00D9640A"/>
    <w:rsid w:val="00D972F0"/>
    <w:rsid w:val="00DB27C9"/>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08EF"/>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1D50"/>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73F1F"/>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1ABF"/>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B80F9EF1-E95E-4A20-8588-8B700F6A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19300577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05051807">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3AC83FBB-98B5-4A50-8B14-A15E423D7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6582</Words>
  <Characters>36201</Characters>
  <Application>Microsoft Office Word</Application>
  <DocSecurity>0</DocSecurity>
  <Lines>301</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7</cp:revision>
  <dcterms:created xsi:type="dcterms:W3CDTF">2024-09-11T13:58:00Z</dcterms:created>
  <dcterms:modified xsi:type="dcterms:W3CDTF">2024-09-27T14:13:00Z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