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A0016" w14:textId="77777777" w:rsidR="00653451" w:rsidRPr="00237B85" w:rsidRDefault="00653451" w:rsidP="00653451">
      <w:pPr>
        <w:rPr>
          <w:rFonts w:ascii="Times New Roman" w:hAnsi="Times New Roman" w:cs="Times New Roman"/>
          <w:b/>
        </w:rPr>
      </w:pPr>
      <w:r w:rsidRPr="00237B85">
        <w:rPr>
          <w:rFonts w:ascii="Times New Roman" w:hAnsi="Times New Roman" w:cs="Times New Roman"/>
          <w:noProof/>
          <w:lang w:bidi="ar-SA"/>
        </w:rPr>
        <w:drawing>
          <wp:inline distT="0" distB="0" distL="0" distR="0" wp14:anchorId="7B18CC8D" wp14:editId="016C39E8">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0BA22F20" w14:textId="77777777" w:rsidR="00653451" w:rsidRPr="00237B85" w:rsidDel="00160A5F" w:rsidRDefault="00653451" w:rsidP="00653451">
      <w:pPr>
        <w:jc w:val="center"/>
        <w:rPr>
          <w:rFonts w:ascii="Times New Roman" w:hAnsi="Times New Roman" w:cs="Times New Roman"/>
          <w:b/>
          <w:color w:val="003B8E"/>
          <w:sz w:val="32"/>
          <w:szCs w:val="32"/>
        </w:rPr>
      </w:pPr>
      <w:r w:rsidRPr="00237B85" w:rsidDel="00160A5F">
        <w:rPr>
          <w:rFonts w:ascii="Times New Roman" w:hAnsi="Times New Roman" w:cs="Times New Roman"/>
          <w:b/>
          <w:color w:val="003B8E"/>
          <w:sz w:val="32"/>
          <w:szCs w:val="32"/>
        </w:rPr>
        <w:t>Guide méthodologique</w:t>
      </w:r>
    </w:p>
    <w:p w14:paraId="67F69E03" w14:textId="6E4FC238" w:rsidR="00653451" w:rsidRPr="00237B85" w:rsidRDefault="00653451" w:rsidP="00653451">
      <w:pPr>
        <w:jc w:val="center"/>
        <w:rPr>
          <w:rFonts w:ascii="Times New Roman" w:hAnsi="Times New Roman" w:cs="Times New Roman"/>
          <w:b/>
          <w:color w:val="003B8E"/>
          <w:sz w:val="32"/>
          <w:szCs w:val="32"/>
        </w:rPr>
      </w:pPr>
      <w:r w:rsidRPr="00237B85">
        <w:rPr>
          <w:rFonts w:ascii="Times New Roman" w:hAnsi="Times New Roman" w:cs="Times New Roman"/>
          <w:b/>
          <w:color w:val="003B8E"/>
          <w:sz w:val="32"/>
          <w:szCs w:val="32"/>
        </w:rPr>
        <w:t>Modèle d’état « Primes, sinistres et dépenses par type de risque » (RP.05.01)</w:t>
      </w:r>
    </w:p>
    <w:p w14:paraId="3A9B7112" w14:textId="77777777" w:rsidR="008161EF" w:rsidRPr="00237B85" w:rsidRDefault="008161EF" w:rsidP="00950116">
      <w:pPr>
        <w:rPr>
          <w:rFonts w:ascii="Times New Roman" w:hAnsi="Times New Roman"/>
          <w:b/>
          <w:sz w:val="20"/>
        </w:rPr>
      </w:pPr>
      <w:bookmarkStart w:id="0" w:name="_GoBack"/>
      <w:bookmarkEnd w:id="0"/>
    </w:p>
    <w:p w14:paraId="5CCC4E09" w14:textId="3E16C4B8" w:rsidR="0095672C" w:rsidRPr="00237B85" w:rsidRDefault="00940479" w:rsidP="00950116">
      <w:pPr>
        <w:rPr>
          <w:rFonts w:ascii="Times New Roman" w:hAnsi="Times New Roman" w:cs="Times New Roman"/>
          <w:b/>
          <w:sz w:val="20"/>
          <w:szCs w:val="20"/>
        </w:rPr>
      </w:pPr>
      <w:r w:rsidRPr="00237B85">
        <w:rPr>
          <w:rFonts w:ascii="Times New Roman" w:hAnsi="Times New Roman"/>
          <w:b/>
          <w:sz w:val="20"/>
        </w:rPr>
        <w:t>RP.0</w:t>
      </w:r>
      <w:r w:rsidR="0095672C" w:rsidRPr="00237B85">
        <w:rPr>
          <w:rFonts w:ascii="Times New Roman" w:hAnsi="Times New Roman"/>
          <w:b/>
          <w:sz w:val="20"/>
        </w:rPr>
        <w:t>5.01</w:t>
      </w:r>
      <w:r w:rsidR="00CA57BB" w:rsidRPr="00237B85">
        <w:rPr>
          <w:rFonts w:ascii="Times New Roman" w:hAnsi="Times New Roman"/>
          <w:b/>
          <w:sz w:val="20"/>
        </w:rPr>
        <w:t>.01</w:t>
      </w:r>
      <w:r w:rsidR="0095672C" w:rsidRPr="00237B85">
        <w:rPr>
          <w:rFonts w:ascii="Times New Roman" w:hAnsi="Times New Roman"/>
          <w:b/>
          <w:sz w:val="20"/>
        </w:rPr>
        <w:t xml:space="preserve"> – Primes, sinistres et dépenses par </w:t>
      </w:r>
      <w:r w:rsidR="00144777" w:rsidRPr="00237B85">
        <w:rPr>
          <w:rFonts w:ascii="Times New Roman" w:hAnsi="Times New Roman"/>
          <w:b/>
          <w:sz w:val="20"/>
        </w:rPr>
        <w:t>type de risque</w:t>
      </w:r>
    </w:p>
    <w:p w14:paraId="24DA9493" w14:textId="77777777" w:rsidR="0095672C" w:rsidRPr="00237B85" w:rsidRDefault="0095672C">
      <w:pPr>
        <w:rPr>
          <w:rFonts w:ascii="Times New Roman" w:hAnsi="Times New Roman" w:cs="Times New Roman"/>
          <w:b/>
          <w:sz w:val="20"/>
          <w:szCs w:val="20"/>
        </w:rPr>
      </w:pPr>
      <w:r w:rsidRPr="00237B85">
        <w:rPr>
          <w:rFonts w:ascii="Times New Roman" w:hAnsi="Times New Roman"/>
          <w:b/>
          <w:sz w:val="20"/>
        </w:rPr>
        <w:t>Observations générales</w:t>
      </w:r>
    </w:p>
    <w:p w14:paraId="5C9D2921" w14:textId="5CA034F2" w:rsidR="0095672C" w:rsidRPr="00237B85" w:rsidRDefault="0095672C" w:rsidP="00950116">
      <w:pPr>
        <w:jc w:val="both"/>
        <w:rPr>
          <w:rFonts w:ascii="Times New Roman" w:hAnsi="Times New Roman" w:cs="Times New Roman"/>
          <w:sz w:val="20"/>
          <w:szCs w:val="20"/>
        </w:rPr>
      </w:pPr>
      <w:r w:rsidRPr="00237B85">
        <w:rPr>
          <w:rFonts w:ascii="Times New Roman" w:hAnsi="Times New Roman"/>
          <w:sz w:val="20"/>
        </w:rPr>
        <w:t>Ce modèle doit être complété dans une perspective comptable, à savoir: référentiel comptable national ou IFRS si acceptées en tant que référentiel comptable national</w:t>
      </w:r>
      <w:r w:rsidR="00EB37FF" w:rsidRPr="00237B85">
        <w:rPr>
          <w:rFonts w:ascii="Times New Roman" w:hAnsi="Times New Roman"/>
          <w:sz w:val="20"/>
        </w:rPr>
        <w:t>.</w:t>
      </w:r>
      <w:r w:rsidRPr="00237B85">
        <w:rPr>
          <w:rFonts w:ascii="Times New Roman" w:hAnsi="Times New Roman"/>
          <w:sz w:val="20"/>
        </w:rPr>
        <w:t xml:space="preserve"> </w:t>
      </w:r>
      <w:r w:rsidR="00D04203" w:rsidRPr="00237B85">
        <w:rPr>
          <w:rFonts w:ascii="Times New Roman" w:hAnsi="Times New Roman"/>
          <w:sz w:val="20"/>
        </w:rPr>
        <w:t>Les O</w:t>
      </w:r>
      <w:r w:rsidR="00EB37FF" w:rsidRPr="00237B85">
        <w:rPr>
          <w:rFonts w:ascii="Times New Roman" w:hAnsi="Times New Roman"/>
          <w:sz w:val="20"/>
        </w:rPr>
        <w:t xml:space="preserve">RPS </w:t>
      </w:r>
      <w:r w:rsidRPr="00237B85">
        <w:rPr>
          <w:rFonts w:ascii="Times New Roman" w:hAnsi="Times New Roman"/>
          <w:sz w:val="20"/>
        </w:rPr>
        <w:t>doivent utiliser la même base de comptabilisation et de valorisation que dans leurs états financiers publiés et ne doivent donc pas procéder à une nouvelle comptabilisation ou valorisation. Les informations sont à présenter sur une base cumulée depuis le début de l’exercice.</w:t>
      </w:r>
    </w:p>
    <w:p w14:paraId="143FB853" w14:textId="75CB64CB" w:rsidR="0095672C" w:rsidRPr="00237B85" w:rsidRDefault="0095672C" w:rsidP="00950116">
      <w:pPr>
        <w:jc w:val="both"/>
        <w:rPr>
          <w:rFonts w:ascii="Times New Roman" w:hAnsi="Times New Roman"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953"/>
      </w:tblGrid>
      <w:tr w:rsidR="0095672C" w:rsidRPr="00237B85" w14:paraId="43CFF88C" w14:textId="77777777" w:rsidTr="00950116">
        <w:trPr>
          <w:tblHeader/>
        </w:trPr>
        <w:tc>
          <w:tcPr>
            <w:tcW w:w="1526" w:type="dxa"/>
            <w:tcBorders>
              <w:top w:val="single" w:sz="4" w:space="0" w:color="auto"/>
              <w:left w:val="single" w:sz="4" w:space="0" w:color="auto"/>
              <w:bottom w:val="single" w:sz="4" w:space="0" w:color="auto"/>
              <w:right w:val="single" w:sz="4" w:space="0" w:color="auto"/>
            </w:tcBorders>
          </w:tcPr>
          <w:p w14:paraId="6B8EF9C1" w14:textId="77777777" w:rsidR="0095672C" w:rsidRPr="00237B85" w:rsidRDefault="0095672C" w:rsidP="00950116">
            <w:pPr>
              <w:spacing w:after="0" w:line="240" w:lineRule="auto"/>
              <w:jc w:val="center"/>
              <w:rPr>
                <w:rFonts w:ascii="Times New Roman" w:hAnsi="Times New Roman" w:cs="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7104464" w14:textId="77777777" w:rsidR="0095672C" w:rsidRPr="00237B85" w:rsidRDefault="0095672C" w:rsidP="00950116">
            <w:pPr>
              <w:spacing w:after="0" w:line="240" w:lineRule="auto"/>
              <w:jc w:val="center"/>
              <w:rPr>
                <w:rFonts w:ascii="Times New Roman" w:hAnsi="Times New Roman" w:cs="Times New Roman"/>
                <w:b/>
                <w:sz w:val="20"/>
                <w:szCs w:val="20"/>
              </w:rPr>
            </w:pPr>
            <w:r w:rsidRPr="00237B85">
              <w:rPr>
                <w:rFonts w:ascii="Times New Roman" w:hAnsi="Times New Roman"/>
                <w:b/>
                <w:sz w:val="20"/>
              </w:rPr>
              <w:t>ÉLÉMENT À DÉCLARER</w:t>
            </w:r>
          </w:p>
        </w:tc>
        <w:tc>
          <w:tcPr>
            <w:tcW w:w="5953" w:type="dxa"/>
            <w:tcBorders>
              <w:top w:val="single" w:sz="4" w:space="0" w:color="auto"/>
              <w:left w:val="single" w:sz="4" w:space="0" w:color="auto"/>
              <w:bottom w:val="single" w:sz="4" w:space="0" w:color="auto"/>
              <w:right w:val="single" w:sz="4" w:space="0" w:color="auto"/>
            </w:tcBorders>
            <w:vAlign w:val="center"/>
          </w:tcPr>
          <w:p w14:paraId="761CA417" w14:textId="77777777" w:rsidR="0095672C" w:rsidRPr="00237B85" w:rsidRDefault="0095672C" w:rsidP="00950116">
            <w:pPr>
              <w:spacing w:after="0" w:line="240" w:lineRule="auto"/>
              <w:jc w:val="center"/>
              <w:rPr>
                <w:rFonts w:ascii="Times New Roman" w:hAnsi="Times New Roman" w:cs="Times New Roman"/>
                <w:b/>
                <w:sz w:val="20"/>
                <w:szCs w:val="20"/>
              </w:rPr>
            </w:pPr>
            <w:r w:rsidRPr="00237B85">
              <w:rPr>
                <w:rFonts w:ascii="Times New Roman" w:hAnsi="Times New Roman"/>
                <w:b/>
                <w:sz w:val="20"/>
              </w:rPr>
              <w:t>INSTRUCTIONS</w:t>
            </w:r>
          </w:p>
        </w:tc>
      </w:tr>
      <w:tr w:rsidR="0095672C" w:rsidRPr="00237B85" w14:paraId="4B42EC99" w14:textId="77777777" w:rsidTr="008161EF">
        <w:trPr>
          <w:trHeight w:val="558"/>
        </w:trPr>
        <w:tc>
          <w:tcPr>
            <w:tcW w:w="9180" w:type="dxa"/>
            <w:gridSpan w:val="3"/>
            <w:tcBorders>
              <w:top w:val="single" w:sz="4" w:space="0" w:color="auto"/>
              <w:left w:val="nil"/>
              <w:bottom w:val="single" w:sz="4" w:space="0" w:color="auto"/>
              <w:right w:val="nil"/>
            </w:tcBorders>
          </w:tcPr>
          <w:p w14:paraId="1C7EE5CF" w14:textId="3407E697" w:rsidR="0095672C" w:rsidRPr="00237B85" w:rsidRDefault="008161EF" w:rsidP="00A75F78">
            <w:pPr>
              <w:spacing w:before="120" w:after="120" w:line="240" w:lineRule="auto"/>
              <w:jc w:val="both"/>
              <w:rPr>
                <w:rFonts w:ascii="Times New Roman" w:hAnsi="Times New Roman" w:cs="Times New Roman"/>
                <w:b/>
                <w:sz w:val="20"/>
                <w:szCs w:val="20"/>
              </w:rPr>
            </w:pPr>
            <w:r w:rsidRPr="00237B85">
              <w:rPr>
                <w:rFonts w:ascii="Times New Roman" w:hAnsi="Times New Roman"/>
                <w:b/>
                <w:sz w:val="20"/>
              </w:rPr>
              <w:t>Engagements de retraite</w:t>
            </w:r>
          </w:p>
        </w:tc>
      </w:tr>
      <w:tr w:rsidR="00A75F78" w:rsidRPr="00237B85" w14:paraId="32F98BD2" w14:textId="77777777" w:rsidTr="00950116">
        <w:tc>
          <w:tcPr>
            <w:tcW w:w="1526" w:type="dxa"/>
            <w:tcBorders>
              <w:top w:val="single" w:sz="4" w:space="0" w:color="auto"/>
              <w:left w:val="single" w:sz="4" w:space="0" w:color="auto"/>
              <w:bottom w:val="single" w:sz="4" w:space="0" w:color="auto"/>
              <w:right w:val="single" w:sz="4" w:space="0" w:color="auto"/>
            </w:tcBorders>
          </w:tcPr>
          <w:p w14:paraId="0327F8E3" w14:textId="09A61DBA"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t>C0</w:t>
            </w:r>
            <w:r w:rsidR="00525538" w:rsidRPr="00237B85">
              <w:rPr>
                <w:rFonts w:ascii="Times New Roman" w:hAnsi="Times New Roman"/>
                <w:sz w:val="20"/>
              </w:rPr>
              <w:t>010 à C0060</w:t>
            </w:r>
            <w:r w:rsidRPr="00237B85">
              <w:rPr>
                <w:rFonts w:ascii="Times New Roman" w:hAnsi="Times New Roman"/>
                <w:sz w:val="20"/>
              </w:rPr>
              <w:t>/R</w:t>
            </w:r>
            <w:r w:rsidR="00525538" w:rsidRPr="00237B85">
              <w:rPr>
                <w:rFonts w:ascii="Times New Roman" w:hAnsi="Times New Roman"/>
                <w:sz w:val="20"/>
              </w:rPr>
              <w:t>0010</w:t>
            </w:r>
          </w:p>
        </w:tc>
        <w:tc>
          <w:tcPr>
            <w:tcW w:w="1701" w:type="dxa"/>
            <w:tcBorders>
              <w:top w:val="single" w:sz="4" w:space="0" w:color="auto"/>
              <w:left w:val="single" w:sz="4" w:space="0" w:color="auto"/>
              <w:bottom w:val="single" w:sz="4" w:space="0" w:color="auto"/>
              <w:right w:val="single" w:sz="4" w:space="0" w:color="auto"/>
            </w:tcBorders>
          </w:tcPr>
          <w:p w14:paraId="2F83CB72"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 xml:space="preserve">Primes émises – Brutes </w:t>
            </w:r>
          </w:p>
        </w:tc>
        <w:tc>
          <w:tcPr>
            <w:tcW w:w="5953" w:type="dxa"/>
            <w:tcBorders>
              <w:top w:val="single" w:sz="4" w:space="0" w:color="auto"/>
              <w:left w:val="single" w:sz="4" w:space="0" w:color="auto"/>
              <w:bottom w:val="single" w:sz="4" w:space="0" w:color="auto"/>
              <w:right w:val="single" w:sz="4" w:space="0" w:color="auto"/>
            </w:tcBorders>
          </w:tcPr>
          <w:p w14:paraId="6E20A9FB" w14:textId="77777777" w:rsidR="00A75F78" w:rsidRPr="00237B85"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Primes émises au sens de la directive 91/674/CEE, lorsqu’applicable: les primes brutes émises comprennent tous les montants échus pendant l’exercice pour les contrats d’assurance, indépendamment du fait que ces montants peuvent se rapporter entièrement ou en partie à un exercice ultérieur.</w:t>
            </w:r>
          </w:p>
          <w:p w14:paraId="762603A8" w14:textId="77777777" w:rsidR="00A75F78" w:rsidRPr="00237B85" w:rsidRDefault="00A75F78" w:rsidP="00950116">
            <w:pPr>
              <w:spacing w:after="0" w:line="240" w:lineRule="auto"/>
              <w:jc w:val="both"/>
              <w:rPr>
                <w:rFonts w:ascii="Times New Roman" w:hAnsi="Times New Roman" w:cs="Times New Roman"/>
                <w:sz w:val="20"/>
                <w:szCs w:val="20"/>
              </w:rPr>
            </w:pPr>
          </w:p>
          <w:p w14:paraId="2B673F71" w14:textId="77777777" w:rsidR="00A75F78" w:rsidRPr="00237B85"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Sont ici visés les montants liés à la fois à l’assurance directe et à la réassurance.</w:t>
            </w:r>
          </w:p>
        </w:tc>
      </w:tr>
      <w:tr w:rsidR="00A75F78" w:rsidRPr="00237B85" w14:paraId="16BBAB21" w14:textId="77777777" w:rsidTr="00950116">
        <w:tc>
          <w:tcPr>
            <w:tcW w:w="1526" w:type="dxa"/>
            <w:tcBorders>
              <w:top w:val="single" w:sz="4" w:space="0" w:color="auto"/>
              <w:right w:val="single" w:sz="4" w:space="0" w:color="000000"/>
            </w:tcBorders>
          </w:tcPr>
          <w:p w14:paraId="2A75D2DA" w14:textId="3C1B6171"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C0</w:t>
            </w:r>
            <w:r w:rsidR="00525538" w:rsidRPr="00237B85">
              <w:rPr>
                <w:rFonts w:ascii="Times New Roman" w:hAnsi="Times New Roman"/>
                <w:sz w:val="20"/>
              </w:rPr>
              <w:t>010 à C006</w:t>
            </w:r>
            <w:r w:rsidRPr="00237B85">
              <w:rPr>
                <w:rFonts w:ascii="Times New Roman" w:hAnsi="Times New Roman"/>
                <w:sz w:val="20"/>
              </w:rPr>
              <w:t>0/R</w:t>
            </w:r>
            <w:r w:rsidR="00525538" w:rsidRPr="00237B85">
              <w:rPr>
                <w:rFonts w:ascii="Times New Roman" w:hAnsi="Times New Roman"/>
                <w:sz w:val="20"/>
              </w:rPr>
              <w:t>0020</w:t>
            </w:r>
          </w:p>
          <w:p w14:paraId="0526CDB1" w14:textId="77777777" w:rsidR="00A75F78" w:rsidRPr="00237B85" w:rsidRDefault="00A75F78" w:rsidP="00950116">
            <w:pPr>
              <w:spacing w:after="0" w:line="240" w:lineRule="auto"/>
              <w:rPr>
                <w:rFonts w:ascii="Times New Roman" w:hAnsi="Times New Roman" w:cs="Times New Roman"/>
                <w:sz w:val="20"/>
                <w:szCs w:val="20"/>
              </w:rPr>
            </w:pPr>
          </w:p>
        </w:tc>
        <w:tc>
          <w:tcPr>
            <w:tcW w:w="1701" w:type="dxa"/>
            <w:tcBorders>
              <w:top w:val="single" w:sz="4" w:space="0" w:color="auto"/>
              <w:left w:val="single" w:sz="4" w:space="0" w:color="000000"/>
              <w:right w:val="single" w:sz="4" w:space="0" w:color="000000"/>
            </w:tcBorders>
          </w:tcPr>
          <w:p w14:paraId="3CADA045"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Primes émises – Part des réassureurs</w:t>
            </w:r>
          </w:p>
        </w:tc>
        <w:tc>
          <w:tcPr>
            <w:tcW w:w="5953" w:type="dxa"/>
            <w:tcBorders>
              <w:top w:val="single" w:sz="4" w:space="0" w:color="auto"/>
              <w:left w:val="single" w:sz="4" w:space="0" w:color="000000"/>
              <w:right w:val="single" w:sz="4" w:space="0" w:color="000000"/>
            </w:tcBorders>
          </w:tcPr>
          <w:p w14:paraId="6BEA4DE8" w14:textId="77777777" w:rsidR="00A75F78" w:rsidRPr="00237B85"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Primes émises au sens de la directive 91/674/CEE, lorsqu’applicable: est ici visé le montant total des primes brutes émises cédées aux réassureurs pendant l’exercice, indépendamment du fait que ces montants peuvent se rapporter entièrement ou en partie à un exercice ultérieur.</w:t>
            </w:r>
          </w:p>
        </w:tc>
      </w:tr>
      <w:tr w:rsidR="00A75F78" w:rsidRPr="00237B85" w14:paraId="750167EE" w14:textId="77777777" w:rsidTr="00950116">
        <w:tc>
          <w:tcPr>
            <w:tcW w:w="1526" w:type="dxa"/>
            <w:tcBorders>
              <w:right w:val="single" w:sz="4" w:space="0" w:color="000000"/>
            </w:tcBorders>
          </w:tcPr>
          <w:p w14:paraId="38A0CF8E" w14:textId="64BD9A33"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t>C0</w:t>
            </w:r>
            <w:r w:rsidR="00525538" w:rsidRPr="00237B85">
              <w:rPr>
                <w:rFonts w:ascii="Times New Roman" w:hAnsi="Times New Roman"/>
                <w:sz w:val="20"/>
              </w:rPr>
              <w:t>010</w:t>
            </w:r>
            <w:r w:rsidRPr="00237B85">
              <w:rPr>
                <w:rFonts w:ascii="Times New Roman" w:hAnsi="Times New Roman"/>
                <w:sz w:val="20"/>
              </w:rPr>
              <w:t xml:space="preserve"> à C0</w:t>
            </w:r>
            <w:r w:rsidR="00525538" w:rsidRPr="00237B85">
              <w:rPr>
                <w:rFonts w:ascii="Times New Roman" w:hAnsi="Times New Roman"/>
                <w:sz w:val="20"/>
              </w:rPr>
              <w:t>060</w:t>
            </w:r>
            <w:r w:rsidRPr="00237B85">
              <w:rPr>
                <w:rFonts w:ascii="Times New Roman" w:hAnsi="Times New Roman"/>
                <w:sz w:val="20"/>
              </w:rPr>
              <w:t>/R</w:t>
            </w:r>
            <w:r w:rsidR="00525538" w:rsidRPr="00237B85">
              <w:rPr>
                <w:rFonts w:ascii="Times New Roman" w:hAnsi="Times New Roman"/>
                <w:sz w:val="20"/>
              </w:rPr>
              <w:t>0030</w:t>
            </w:r>
          </w:p>
        </w:tc>
        <w:tc>
          <w:tcPr>
            <w:tcW w:w="1701" w:type="dxa"/>
            <w:tcBorders>
              <w:left w:val="single" w:sz="4" w:space="0" w:color="000000"/>
              <w:right w:val="single" w:sz="4" w:space="0" w:color="000000"/>
            </w:tcBorders>
          </w:tcPr>
          <w:p w14:paraId="0C4747C4"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Primes émises – Nettes</w:t>
            </w:r>
          </w:p>
        </w:tc>
        <w:tc>
          <w:tcPr>
            <w:tcW w:w="5953" w:type="dxa"/>
            <w:tcBorders>
              <w:left w:val="single" w:sz="4" w:space="0" w:color="000000"/>
              <w:right w:val="single" w:sz="4" w:space="0" w:color="000000"/>
            </w:tcBorders>
          </w:tcPr>
          <w:p w14:paraId="2598E121" w14:textId="77777777" w:rsidR="00A75F78" w:rsidRPr="00237B85"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 xml:space="preserve">Primes émises au sens de la directive 91/674/CEE, lorsqu’applicable: les primes nettes émises correspondent à la somme des primes brutes d’assurance directe et de réassurance acceptée, diminuée des primes cédées aux réassureurs. </w:t>
            </w:r>
          </w:p>
        </w:tc>
      </w:tr>
      <w:tr w:rsidR="00A75F78" w:rsidRPr="00237B85" w14:paraId="0050A54B" w14:textId="77777777" w:rsidTr="00950116">
        <w:tc>
          <w:tcPr>
            <w:tcW w:w="1526" w:type="dxa"/>
            <w:tcBorders>
              <w:right w:val="single" w:sz="4" w:space="0" w:color="000000"/>
            </w:tcBorders>
          </w:tcPr>
          <w:p w14:paraId="51FD1776" w14:textId="7BB5C010"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t>C0</w:t>
            </w:r>
            <w:r w:rsidR="00525538" w:rsidRPr="00237B85">
              <w:rPr>
                <w:rFonts w:ascii="Times New Roman" w:hAnsi="Times New Roman"/>
                <w:sz w:val="20"/>
              </w:rPr>
              <w:t>010 à C0060</w:t>
            </w:r>
            <w:r w:rsidRPr="00237B85">
              <w:rPr>
                <w:rFonts w:ascii="Times New Roman" w:hAnsi="Times New Roman"/>
                <w:sz w:val="20"/>
              </w:rPr>
              <w:t>/R</w:t>
            </w:r>
            <w:r w:rsidR="00525538" w:rsidRPr="00237B85">
              <w:rPr>
                <w:rFonts w:ascii="Times New Roman" w:hAnsi="Times New Roman"/>
                <w:sz w:val="20"/>
              </w:rPr>
              <w:t>0040</w:t>
            </w:r>
          </w:p>
        </w:tc>
        <w:tc>
          <w:tcPr>
            <w:tcW w:w="1701" w:type="dxa"/>
            <w:tcBorders>
              <w:left w:val="single" w:sz="4" w:space="0" w:color="000000"/>
              <w:right w:val="single" w:sz="4" w:space="0" w:color="000000"/>
            </w:tcBorders>
          </w:tcPr>
          <w:p w14:paraId="7579E966"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 xml:space="preserve">Primes acquises – Brutes </w:t>
            </w:r>
          </w:p>
          <w:p w14:paraId="60FBDE98" w14:textId="77777777" w:rsidR="00A75F78" w:rsidRPr="00237B85"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399766D4" w14:textId="77777777" w:rsidR="00A75F78" w:rsidRPr="00237B85"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Primes acquises au sens de la directive 91/674/CEE, lorsqu’applicable: correspond à la somme des primes brutes émises, diminuée de la variation de la provision brute pour primes non acquises. Sont ici visés les montants liés à l’assurance directe et à la réassurance acceptée.</w:t>
            </w:r>
          </w:p>
        </w:tc>
      </w:tr>
      <w:tr w:rsidR="00A75F78" w:rsidRPr="00237B85" w14:paraId="234DD536" w14:textId="77777777" w:rsidTr="00950116">
        <w:tc>
          <w:tcPr>
            <w:tcW w:w="1526" w:type="dxa"/>
            <w:tcBorders>
              <w:right w:val="single" w:sz="4" w:space="0" w:color="000000"/>
            </w:tcBorders>
          </w:tcPr>
          <w:p w14:paraId="30E1CC4B" w14:textId="1A2D63C5"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t>C0</w:t>
            </w:r>
            <w:r w:rsidR="00525538" w:rsidRPr="00237B85">
              <w:rPr>
                <w:rFonts w:ascii="Times New Roman" w:hAnsi="Times New Roman"/>
                <w:sz w:val="20"/>
              </w:rPr>
              <w:t>010</w:t>
            </w:r>
            <w:r w:rsidRPr="00237B85">
              <w:rPr>
                <w:rFonts w:ascii="Times New Roman" w:hAnsi="Times New Roman"/>
                <w:sz w:val="20"/>
              </w:rPr>
              <w:t xml:space="preserve"> à C0</w:t>
            </w:r>
            <w:r w:rsidR="00525538" w:rsidRPr="00237B85">
              <w:rPr>
                <w:rFonts w:ascii="Times New Roman" w:hAnsi="Times New Roman"/>
                <w:sz w:val="20"/>
              </w:rPr>
              <w:t>0</w:t>
            </w:r>
            <w:r w:rsidRPr="00237B85">
              <w:rPr>
                <w:rFonts w:ascii="Times New Roman" w:hAnsi="Times New Roman"/>
                <w:sz w:val="20"/>
              </w:rPr>
              <w:t>60/R</w:t>
            </w:r>
            <w:r w:rsidR="00525538" w:rsidRPr="00237B85">
              <w:rPr>
                <w:rFonts w:ascii="Times New Roman" w:hAnsi="Times New Roman"/>
                <w:sz w:val="20"/>
              </w:rPr>
              <w:t>0050</w:t>
            </w:r>
          </w:p>
        </w:tc>
        <w:tc>
          <w:tcPr>
            <w:tcW w:w="1701" w:type="dxa"/>
            <w:tcBorders>
              <w:left w:val="single" w:sz="4" w:space="0" w:color="000000"/>
              <w:right w:val="single" w:sz="4" w:space="0" w:color="000000"/>
            </w:tcBorders>
          </w:tcPr>
          <w:p w14:paraId="61672CDE"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Primes acquises – Part des réassureurs</w:t>
            </w:r>
          </w:p>
          <w:p w14:paraId="4E311DC9" w14:textId="77777777" w:rsidR="00A75F78" w:rsidRPr="00237B85"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4D507964" w14:textId="77777777" w:rsidR="00A75F78" w:rsidRPr="00237B85"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Primes acquises au sens de la directive 91/674/CEE, lorsqu’applicable: correspond à la part des réassureurs dans les primes brutes émises, diminuée de la variation de la part des réassureurs dans la provision pour primes non acquises.</w:t>
            </w:r>
          </w:p>
        </w:tc>
      </w:tr>
      <w:tr w:rsidR="00A75F78" w:rsidRPr="00237B85" w14:paraId="039C0F52" w14:textId="77777777" w:rsidTr="00950116">
        <w:tc>
          <w:tcPr>
            <w:tcW w:w="1526" w:type="dxa"/>
            <w:tcBorders>
              <w:right w:val="single" w:sz="4" w:space="0" w:color="000000"/>
            </w:tcBorders>
          </w:tcPr>
          <w:p w14:paraId="7BF930F6" w14:textId="7442E307"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lastRenderedPageBreak/>
              <w:t>C0</w:t>
            </w:r>
            <w:r w:rsidR="00525538" w:rsidRPr="00237B85">
              <w:rPr>
                <w:rFonts w:ascii="Times New Roman" w:hAnsi="Times New Roman"/>
                <w:sz w:val="20"/>
              </w:rPr>
              <w:t>010</w:t>
            </w:r>
            <w:r w:rsidRPr="00237B85">
              <w:rPr>
                <w:rFonts w:ascii="Times New Roman" w:hAnsi="Times New Roman"/>
                <w:sz w:val="20"/>
              </w:rPr>
              <w:t xml:space="preserve"> à C0</w:t>
            </w:r>
            <w:r w:rsidR="00525538" w:rsidRPr="00237B85">
              <w:rPr>
                <w:rFonts w:ascii="Times New Roman" w:hAnsi="Times New Roman"/>
                <w:sz w:val="20"/>
              </w:rPr>
              <w:t>0</w:t>
            </w:r>
            <w:r w:rsidRPr="00237B85">
              <w:rPr>
                <w:rFonts w:ascii="Times New Roman" w:hAnsi="Times New Roman"/>
                <w:sz w:val="20"/>
              </w:rPr>
              <w:t>60/R</w:t>
            </w:r>
            <w:r w:rsidR="00525538" w:rsidRPr="00237B85">
              <w:rPr>
                <w:rFonts w:ascii="Times New Roman" w:hAnsi="Times New Roman"/>
                <w:sz w:val="20"/>
              </w:rPr>
              <w:t>0060</w:t>
            </w:r>
          </w:p>
        </w:tc>
        <w:tc>
          <w:tcPr>
            <w:tcW w:w="1701" w:type="dxa"/>
            <w:tcBorders>
              <w:left w:val="single" w:sz="4" w:space="0" w:color="000000"/>
              <w:right w:val="single" w:sz="4" w:space="0" w:color="000000"/>
            </w:tcBorders>
          </w:tcPr>
          <w:p w14:paraId="21D83DFD"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Primes acquises – Nettes</w:t>
            </w:r>
          </w:p>
          <w:p w14:paraId="7FCEC6AF" w14:textId="77777777" w:rsidR="00A75F78" w:rsidRPr="00237B85"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3AA9151F" w14:textId="77777777" w:rsidR="00A75F78" w:rsidRPr="00237B85"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 xml:space="preserve">Primes acquises au sens de la directive 91/674/CEE, lorsqu’applicable: correspond à la somme des primes brutes émises, diminuée de la variation de la provision brute pour primes non acquises. Est ici visée la somme des montants liés à l’assurance directe et à la réassurance acceptée, diminuée des montants cédés aux réassureurs. </w:t>
            </w:r>
          </w:p>
        </w:tc>
      </w:tr>
      <w:tr w:rsidR="00A75F78" w:rsidRPr="00237B85" w14:paraId="6C14B1EE" w14:textId="77777777" w:rsidTr="00950116">
        <w:tc>
          <w:tcPr>
            <w:tcW w:w="1526" w:type="dxa"/>
            <w:tcBorders>
              <w:right w:val="single" w:sz="4" w:space="0" w:color="000000"/>
            </w:tcBorders>
          </w:tcPr>
          <w:p w14:paraId="15047417" w14:textId="26ED058F"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t>C0</w:t>
            </w:r>
            <w:r w:rsidR="00525538" w:rsidRPr="00237B85">
              <w:rPr>
                <w:rFonts w:ascii="Times New Roman" w:hAnsi="Times New Roman"/>
                <w:sz w:val="20"/>
              </w:rPr>
              <w:t>010</w:t>
            </w:r>
            <w:r w:rsidRPr="00237B85">
              <w:rPr>
                <w:rFonts w:ascii="Times New Roman" w:hAnsi="Times New Roman"/>
                <w:sz w:val="20"/>
              </w:rPr>
              <w:t xml:space="preserve"> à C0</w:t>
            </w:r>
            <w:r w:rsidR="00525538" w:rsidRPr="00237B85">
              <w:rPr>
                <w:rFonts w:ascii="Times New Roman" w:hAnsi="Times New Roman"/>
                <w:sz w:val="20"/>
              </w:rPr>
              <w:t>0</w:t>
            </w:r>
            <w:r w:rsidRPr="00237B85">
              <w:rPr>
                <w:rFonts w:ascii="Times New Roman" w:hAnsi="Times New Roman"/>
                <w:sz w:val="20"/>
              </w:rPr>
              <w:t>60/R</w:t>
            </w:r>
            <w:r w:rsidR="00525538" w:rsidRPr="00237B85">
              <w:rPr>
                <w:rFonts w:ascii="Times New Roman" w:hAnsi="Times New Roman"/>
                <w:sz w:val="20"/>
              </w:rPr>
              <w:t>0070</w:t>
            </w:r>
          </w:p>
        </w:tc>
        <w:tc>
          <w:tcPr>
            <w:tcW w:w="1701" w:type="dxa"/>
            <w:tcBorders>
              <w:left w:val="single" w:sz="4" w:space="0" w:color="000000"/>
              <w:right w:val="single" w:sz="4" w:space="0" w:color="000000"/>
            </w:tcBorders>
          </w:tcPr>
          <w:p w14:paraId="66E64BC7"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 xml:space="preserve">Charge des sinistres – Brute </w:t>
            </w:r>
          </w:p>
          <w:p w14:paraId="2BF5FEB1" w14:textId="77777777" w:rsidR="00A75F78" w:rsidRPr="00237B85" w:rsidDel="00864227" w:rsidRDefault="00A75F78" w:rsidP="00950116">
            <w:pPr>
              <w:spacing w:after="0" w:line="240" w:lineRule="auto"/>
              <w:rPr>
                <w:rFonts w:ascii="Times New Roman" w:hAnsi="Times New Roman" w:cs="Times New Roman"/>
                <w:sz w:val="20"/>
                <w:szCs w:val="20"/>
              </w:rPr>
            </w:pPr>
          </w:p>
          <w:p w14:paraId="17388746" w14:textId="77777777" w:rsidR="00A75F78" w:rsidRPr="00237B85" w:rsidDel="00864227"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6EAA3A08" w14:textId="77777777" w:rsidR="00A75F78" w:rsidRPr="00237B85"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Charge des sinistres au titre de l’exercice, au sens de la directive 91/674/CEE: la charge des sinistres est égale au total des indemnités versées au titre de l’exercice et de la variation de la provision pour sinistres durant cet exercice. Sont ici visés les montants liés à l’assurance directe et à la réassurance.</w:t>
            </w:r>
          </w:p>
          <w:p w14:paraId="13812830" w14:textId="77777777" w:rsidR="00A75F78" w:rsidRPr="00237B85" w:rsidRDefault="00A75F78" w:rsidP="00950116">
            <w:pPr>
              <w:spacing w:after="0" w:line="240" w:lineRule="auto"/>
              <w:jc w:val="both"/>
              <w:rPr>
                <w:rFonts w:ascii="Times New Roman" w:hAnsi="Times New Roman" w:cs="Times New Roman"/>
                <w:sz w:val="20"/>
                <w:szCs w:val="20"/>
              </w:rPr>
            </w:pPr>
          </w:p>
          <w:p w14:paraId="5CEF86D6" w14:textId="77777777" w:rsidR="00A75F78" w:rsidRPr="00237B85" w:rsidDel="00864227"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Exclut les frais de gestion des sinistres et la variation des provisions pour frais de gestion des sinistres.</w:t>
            </w:r>
          </w:p>
        </w:tc>
      </w:tr>
      <w:tr w:rsidR="00A75F78" w:rsidRPr="00237B85" w14:paraId="547643C8" w14:textId="77777777" w:rsidTr="00950116">
        <w:tc>
          <w:tcPr>
            <w:tcW w:w="1526" w:type="dxa"/>
            <w:tcBorders>
              <w:right w:val="single" w:sz="4" w:space="0" w:color="000000"/>
            </w:tcBorders>
          </w:tcPr>
          <w:p w14:paraId="70FAF0C4" w14:textId="38925019"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t>C0</w:t>
            </w:r>
            <w:r w:rsidR="00525538" w:rsidRPr="00237B85">
              <w:rPr>
                <w:rFonts w:ascii="Times New Roman" w:hAnsi="Times New Roman"/>
                <w:sz w:val="20"/>
              </w:rPr>
              <w:t>010</w:t>
            </w:r>
            <w:r w:rsidRPr="00237B85">
              <w:rPr>
                <w:rFonts w:ascii="Times New Roman" w:hAnsi="Times New Roman"/>
                <w:sz w:val="20"/>
              </w:rPr>
              <w:t xml:space="preserve"> à C0</w:t>
            </w:r>
            <w:r w:rsidR="00525538" w:rsidRPr="00237B85">
              <w:rPr>
                <w:rFonts w:ascii="Times New Roman" w:hAnsi="Times New Roman"/>
                <w:sz w:val="20"/>
              </w:rPr>
              <w:t>0</w:t>
            </w:r>
            <w:r w:rsidRPr="00237B85">
              <w:rPr>
                <w:rFonts w:ascii="Times New Roman" w:hAnsi="Times New Roman"/>
                <w:sz w:val="20"/>
              </w:rPr>
              <w:t>60/R</w:t>
            </w:r>
            <w:r w:rsidR="00525538" w:rsidRPr="00237B85">
              <w:rPr>
                <w:rFonts w:ascii="Times New Roman" w:hAnsi="Times New Roman"/>
                <w:sz w:val="20"/>
              </w:rPr>
              <w:t>0080</w:t>
            </w:r>
          </w:p>
        </w:tc>
        <w:tc>
          <w:tcPr>
            <w:tcW w:w="1701" w:type="dxa"/>
            <w:tcBorders>
              <w:left w:val="single" w:sz="4" w:space="0" w:color="000000"/>
              <w:right w:val="single" w:sz="4" w:space="0" w:color="000000"/>
            </w:tcBorders>
          </w:tcPr>
          <w:p w14:paraId="65F39267"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Charge des sinistres – Part des réassureurs</w:t>
            </w:r>
          </w:p>
          <w:p w14:paraId="4C44555B" w14:textId="77777777" w:rsidR="00A75F78" w:rsidRPr="00237B85" w:rsidDel="00864227"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748B5906" w14:textId="77777777" w:rsidR="00A75F78" w:rsidRPr="00237B85"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Charge des sinistres au titre de l’exercice, au sens de la directive 91/674/CEE: part des réassureurs dans le total des indemnités versées au titre de l’exercice et de la variation de la provision pour sinistres durant cet exercice.</w:t>
            </w:r>
          </w:p>
          <w:p w14:paraId="20E33AA3" w14:textId="77777777" w:rsidR="00A75F78" w:rsidRPr="00237B85" w:rsidRDefault="00A75F78" w:rsidP="00950116">
            <w:pPr>
              <w:spacing w:after="0" w:line="240" w:lineRule="auto"/>
              <w:jc w:val="both"/>
              <w:rPr>
                <w:rFonts w:ascii="Times New Roman" w:hAnsi="Times New Roman" w:cs="Times New Roman"/>
                <w:sz w:val="20"/>
                <w:szCs w:val="20"/>
              </w:rPr>
            </w:pPr>
          </w:p>
          <w:p w14:paraId="484D31A4" w14:textId="77777777" w:rsidR="00A75F78" w:rsidRPr="00237B85" w:rsidDel="00864227"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Exclut les frais de gestion des sinistres et la variation des provisions pour frais de gestion des sinistres.</w:t>
            </w:r>
          </w:p>
        </w:tc>
      </w:tr>
      <w:tr w:rsidR="00A75F78" w:rsidRPr="00237B85" w14:paraId="1FD4E9E5" w14:textId="77777777" w:rsidTr="00950116">
        <w:tc>
          <w:tcPr>
            <w:tcW w:w="1526" w:type="dxa"/>
            <w:tcBorders>
              <w:right w:val="single" w:sz="4" w:space="0" w:color="000000"/>
            </w:tcBorders>
          </w:tcPr>
          <w:p w14:paraId="58133C60" w14:textId="7AC46796"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t>C0</w:t>
            </w:r>
            <w:r w:rsidR="00525538" w:rsidRPr="00237B85">
              <w:rPr>
                <w:rFonts w:ascii="Times New Roman" w:hAnsi="Times New Roman"/>
                <w:sz w:val="20"/>
              </w:rPr>
              <w:t>010</w:t>
            </w:r>
            <w:r w:rsidRPr="00237B85">
              <w:rPr>
                <w:rFonts w:ascii="Times New Roman" w:hAnsi="Times New Roman"/>
                <w:sz w:val="20"/>
              </w:rPr>
              <w:t xml:space="preserve"> à C0</w:t>
            </w:r>
            <w:r w:rsidR="00525538" w:rsidRPr="00237B85">
              <w:rPr>
                <w:rFonts w:ascii="Times New Roman" w:hAnsi="Times New Roman"/>
                <w:sz w:val="20"/>
              </w:rPr>
              <w:t>0</w:t>
            </w:r>
            <w:r w:rsidRPr="00237B85">
              <w:rPr>
                <w:rFonts w:ascii="Times New Roman" w:hAnsi="Times New Roman"/>
                <w:sz w:val="20"/>
              </w:rPr>
              <w:t>60/R</w:t>
            </w:r>
            <w:r w:rsidR="00525538" w:rsidRPr="00237B85">
              <w:rPr>
                <w:rFonts w:ascii="Times New Roman" w:hAnsi="Times New Roman"/>
                <w:sz w:val="20"/>
              </w:rPr>
              <w:t>0090</w:t>
            </w:r>
          </w:p>
        </w:tc>
        <w:tc>
          <w:tcPr>
            <w:tcW w:w="1701" w:type="dxa"/>
            <w:tcBorders>
              <w:left w:val="single" w:sz="4" w:space="0" w:color="000000"/>
              <w:right w:val="single" w:sz="4" w:space="0" w:color="000000"/>
            </w:tcBorders>
          </w:tcPr>
          <w:p w14:paraId="75001E37" w14:textId="77777777" w:rsidR="00A75F78" w:rsidRPr="00237B85" w:rsidDel="00864227"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Charge des sinistres – Nette</w:t>
            </w:r>
          </w:p>
        </w:tc>
        <w:tc>
          <w:tcPr>
            <w:tcW w:w="5953" w:type="dxa"/>
            <w:tcBorders>
              <w:left w:val="single" w:sz="4" w:space="0" w:color="000000"/>
              <w:right w:val="single" w:sz="4" w:space="0" w:color="000000"/>
            </w:tcBorders>
          </w:tcPr>
          <w:p w14:paraId="2094210A" w14:textId="77777777" w:rsidR="00A75F78" w:rsidRPr="00237B85"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 xml:space="preserve">Charge des sinistres au titre de l’exercice, au sens de la directive 91/674/CEE: la charge des sinistres est égale au total des indemnités versées au titre de l’exercice et de la variation de la provision pour sinistres durant cet exercice. Est ici visée la somme des montants liés à l’assurance directe et à la réassurance acceptée, diminuée des montants cédés aux réassureurs. </w:t>
            </w:r>
          </w:p>
          <w:p w14:paraId="6DC43640" w14:textId="77777777" w:rsidR="00A75F78" w:rsidRPr="00237B85" w:rsidRDefault="00A75F78" w:rsidP="00950116">
            <w:pPr>
              <w:spacing w:after="0" w:line="240" w:lineRule="auto"/>
              <w:jc w:val="both"/>
              <w:rPr>
                <w:rFonts w:ascii="Times New Roman" w:hAnsi="Times New Roman" w:cs="Times New Roman"/>
                <w:sz w:val="20"/>
                <w:szCs w:val="20"/>
              </w:rPr>
            </w:pPr>
          </w:p>
          <w:p w14:paraId="1B62293E" w14:textId="77777777" w:rsidR="00A75F78" w:rsidRPr="00237B85" w:rsidDel="00864227"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Exclut les frais de gestion des sinistres et la variation des provisions pour frais de gestion des sinistres.</w:t>
            </w:r>
          </w:p>
        </w:tc>
      </w:tr>
      <w:tr w:rsidR="00A75F78" w:rsidRPr="00237B85" w14:paraId="7AE62765" w14:textId="77777777" w:rsidTr="00950116">
        <w:tc>
          <w:tcPr>
            <w:tcW w:w="1526" w:type="dxa"/>
            <w:tcBorders>
              <w:right w:val="single" w:sz="4" w:space="0" w:color="000000"/>
            </w:tcBorders>
          </w:tcPr>
          <w:p w14:paraId="461DBCC6" w14:textId="41C524CC"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t>C0</w:t>
            </w:r>
            <w:r w:rsidR="00525538" w:rsidRPr="00237B85">
              <w:rPr>
                <w:rFonts w:ascii="Times New Roman" w:hAnsi="Times New Roman"/>
                <w:sz w:val="20"/>
              </w:rPr>
              <w:t>010</w:t>
            </w:r>
            <w:r w:rsidRPr="00237B85">
              <w:rPr>
                <w:rFonts w:ascii="Times New Roman" w:hAnsi="Times New Roman"/>
                <w:sz w:val="20"/>
              </w:rPr>
              <w:t xml:space="preserve"> à C0</w:t>
            </w:r>
            <w:r w:rsidR="00525538" w:rsidRPr="00237B85">
              <w:rPr>
                <w:rFonts w:ascii="Times New Roman" w:hAnsi="Times New Roman"/>
                <w:sz w:val="20"/>
              </w:rPr>
              <w:t>0</w:t>
            </w:r>
            <w:r w:rsidRPr="00237B85">
              <w:rPr>
                <w:rFonts w:ascii="Times New Roman" w:hAnsi="Times New Roman"/>
                <w:sz w:val="20"/>
              </w:rPr>
              <w:t>60/R</w:t>
            </w:r>
            <w:r w:rsidR="00525538" w:rsidRPr="00237B85">
              <w:rPr>
                <w:rFonts w:ascii="Times New Roman" w:hAnsi="Times New Roman"/>
                <w:sz w:val="20"/>
              </w:rPr>
              <w:t>0100</w:t>
            </w:r>
          </w:p>
        </w:tc>
        <w:tc>
          <w:tcPr>
            <w:tcW w:w="1701" w:type="dxa"/>
            <w:tcBorders>
              <w:left w:val="single" w:sz="4" w:space="0" w:color="000000"/>
              <w:right w:val="single" w:sz="4" w:space="0" w:color="000000"/>
            </w:tcBorders>
          </w:tcPr>
          <w:p w14:paraId="7DDFD5D0"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 xml:space="preserve">Variation des autres provisions techniques – Brute </w:t>
            </w:r>
          </w:p>
          <w:p w14:paraId="0F1A7D42" w14:textId="77777777" w:rsidR="00A75F78" w:rsidRPr="00237B85"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0A584E3A" w14:textId="77777777" w:rsidR="00A75F78" w:rsidRPr="00237B85" w:rsidRDefault="00A75F78" w:rsidP="00950116">
            <w:pPr>
              <w:spacing w:after="0" w:line="240" w:lineRule="auto"/>
              <w:jc w:val="both"/>
              <w:rPr>
                <w:rFonts w:ascii="Times New Roman" w:hAnsi="Times New Roman"/>
                <w:sz w:val="20"/>
              </w:rPr>
            </w:pPr>
            <w:r w:rsidRPr="00237B85">
              <w:rPr>
                <w:rFonts w:ascii="Times New Roman" w:hAnsi="Times New Roman"/>
                <w:sz w:val="20"/>
              </w:rPr>
              <w:t>Variation des autres provisions techniques au sens de la directive 91/674/CEE, lorsqu’applicable: variation des autres provisions techniques. Sont ici visés les montants bruts liés à l’assurance directe et à la réassurance.</w:t>
            </w:r>
          </w:p>
          <w:p w14:paraId="78BDB992" w14:textId="77777777" w:rsidR="00C42C88" w:rsidRPr="00237B85" w:rsidRDefault="00C42C88" w:rsidP="00950116">
            <w:pPr>
              <w:spacing w:after="0" w:line="240" w:lineRule="auto"/>
              <w:jc w:val="both"/>
              <w:rPr>
                <w:rFonts w:ascii="Times New Roman" w:hAnsi="Times New Roman"/>
                <w:sz w:val="20"/>
              </w:rPr>
            </w:pPr>
          </w:p>
          <w:p w14:paraId="064407A6" w14:textId="21850037" w:rsidR="00C42C88" w:rsidRPr="00237B85" w:rsidRDefault="00C42C8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technique).</w:t>
            </w:r>
          </w:p>
        </w:tc>
      </w:tr>
      <w:tr w:rsidR="00A75F78" w:rsidRPr="00237B85" w14:paraId="721D114D" w14:textId="77777777" w:rsidTr="00950116">
        <w:tc>
          <w:tcPr>
            <w:tcW w:w="1526" w:type="dxa"/>
            <w:tcBorders>
              <w:bottom w:val="single" w:sz="4" w:space="0" w:color="000000"/>
              <w:right w:val="single" w:sz="4" w:space="0" w:color="000000"/>
            </w:tcBorders>
          </w:tcPr>
          <w:p w14:paraId="6A824174" w14:textId="14D892BC"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t>C0</w:t>
            </w:r>
            <w:r w:rsidR="00525538" w:rsidRPr="00237B85">
              <w:rPr>
                <w:rFonts w:ascii="Times New Roman" w:hAnsi="Times New Roman"/>
                <w:sz w:val="20"/>
              </w:rPr>
              <w:t>010</w:t>
            </w:r>
            <w:r w:rsidRPr="00237B85">
              <w:rPr>
                <w:rFonts w:ascii="Times New Roman" w:hAnsi="Times New Roman"/>
                <w:sz w:val="20"/>
              </w:rPr>
              <w:t xml:space="preserve"> à C0</w:t>
            </w:r>
            <w:r w:rsidR="00525538" w:rsidRPr="00237B85">
              <w:rPr>
                <w:rFonts w:ascii="Times New Roman" w:hAnsi="Times New Roman"/>
                <w:sz w:val="20"/>
              </w:rPr>
              <w:t>0</w:t>
            </w:r>
            <w:r w:rsidRPr="00237B85">
              <w:rPr>
                <w:rFonts w:ascii="Times New Roman" w:hAnsi="Times New Roman"/>
                <w:sz w:val="20"/>
              </w:rPr>
              <w:t>60/R</w:t>
            </w:r>
            <w:r w:rsidR="00525538" w:rsidRPr="00237B85">
              <w:rPr>
                <w:rFonts w:ascii="Times New Roman" w:hAnsi="Times New Roman"/>
                <w:sz w:val="20"/>
              </w:rPr>
              <w:t>0110</w:t>
            </w:r>
          </w:p>
        </w:tc>
        <w:tc>
          <w:tcPr>
            <w:tcW w:w="1701" w:type="dxa"/>
            <w:tcBorders>
              <w:left w:val="single" w:sz="4" w:space="0" w:color="000000"/>
              <w:bottom w:val="single" w:sz="4" w:space="0" w:color="000000"/>
              <w:right w:val="single" w:sz="4" w:space="0" w:color="000000"/>
            </w:tcBorders>
          </w:tcPr>
          <w:p w14:paraId="2215F169"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Variation des autres provisions techniques – Part des réassureurs</w:t>
            </w:r>
          </w:p>
        </w:tc>
        <w:tc>
          <w:tcPr>
            <w:tcW w:w="5953" w:type="dxa"/>
            <w:tcBorders>
              <w:left w:val="single" w:sz="4" w:space="0" w:color="000000"/>
              <w:bottom w:val="single" w:sz="4" w:space="0" w:color="000000"/>
              <w:right w:val="single" w:sz="4" w:space="0" w:color="000000"/>
            </w:tcBorders>
          </w:tcPr>
          <w:p w14:paraId="12260D93" w14:textId="77777777" w:rsidR="00A75F78" w:rsidRPr="00237B85" w:rsidRDefault="00A75F78" w:rsidP="00950116">
            <w:pPr>
              <w:spacing w:after="0" w:line="240" w:lineRule="auto"/>
              <w:jc w:val="both"/>
              <w:rPr>
                <w:rFonts w:ascii="Times New Roman" w:hAnsi="Times New Roman"/>
                <w:sz w:val="20"/>
              </w:rPr>
            </w:pPr>
            <w:r w:rsidRPr="00237B85">
              <w:rPr>
                <w:rFonts w:ascii="Times New Roman" w:hAnsi="Times New Roman"/>
                <w:sz w:val="20"/>
              </w:rPr>
              <w:t>Variation des autres provisions techniques au sens de la directive 91/674/CEE, lorsqu’applicable: part des réassureurs dans la variation des autres provisions techniques.</w:t>
            </w:r>
          </w:p>
          <w:p w14:paraId="58E36916" w14:textId="77777777" w:rsidR="00C42C88" w:rsidRPr="00237B85" w:rsidRDefault="00C42C88" w:rsidP="00950116">
            <w:pPr>
              <w:spacing w:after="0" w:line="240" w:lineRule="auto"/>
              <w:jc w:val="both"/>
              <w:rPr>
                <w:rFonts w:ascii="Times New Roman" w:hAnsi="Times New Roman"/>
                <w:sz w:val="20"/>
              </w:rPr>
            </w:pPr>
          </w:p>
          <w:p w14:paraId="3EDAFCB2" w14:textId="27436309" w:rsidR="00C42C88" w:rsidRPr="00237B85" w:rsidRDefault="00C42C8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technique).</w:t>
            </w:r>
          </w:p>
        </w:tc>
      </w:tr>
      <w:tr w:rsidR="00A75F78" w:rsidRPr="00237B85" w14:paraId="17A1AEE5" w14:textId="77777777" w:rsidTr="00950116">
        <w:tc>
          <w:tcPr>
            <w:tcW w:w="1526" w:type="dxa"/>
            <w:tcBorders>
              <w:right w:val="single" w:sz="4" w:space="0" w:color="000000"/>
            </w:tcBorders>
          </w:tcPr>
          <w:p w14:paraId="602DB29A" w14:textId="58FA8448"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t>C0</w:t>
            </w:r>
            <w:r w:rsidR="00525538" w:rsidRPr="00237B85">
              <w:rPr>
                <w:rFonts w:ascii="Times New Roman" w:hAnsi="Times New Roman"/>
                <w:sz w:val="20"/>
              </w:rPr>
              <w:t>010</w:t>
            </w:r>
            <w:r w:rsidRPr="00237B85">
              <w:rPr>
                <w:rFonts w:ascii="Times New Roman" w:hAnsi="Times New Roman"/>
                <w:sz w:val="20"/>
              </w:rPr>
              <w:t xml:space="preserve"> à C0</w:t>
            </w:r>
            <w:r w:rsidR="00525538" w:rsidRPr="00237B85">
              <w:rPr>
                <w:rFonts w:ascii="Times New Roman" w:hAnsi="Times New Roman"/>
                <w:sz w:val="20"/>
              </w:rPr>
              <w:t>0</w:t>
            </w:r>
            <w:r w:rsidRPr="00237B85">
              <w:rPr>
                <w:rFonts w:ascii="Times New Roman" w:hAnsi="Times New Roman"/>
                <w:sz w:val="20"/>
              </w:rPr>
              <w:t>60/R</w:t>
            </w:r>
            <w:r w:rsidR="00525538" w:rsidRPr="00237B85">
              <w:rPr>
                <w:rFonts w:ascii="Times New Roman" w:hAnsi="Times New Roman"/>
                <w:sz w:val="20"/>
              </w:rPr>
              <w:t>0120</w:t>
            </w:r>
          </w:p>
        </w:tc>
        <w:tc>
          <w:tcPr>
            <w:tcW w:w="1701" w:type="dxa"/>
            <w:tcBorders>
              <w:left w:val="single" w:sz="4" w:space="0" w:color="000000"/>
              <w:right w:val="single" w:sz="4" w:space="0" w:color="000000"/>
            </w:tcBorders>
          </w:tcPr>
          <w:p w14:paraId="5429B30F"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Variation des autres provisions techniques – Nette</w:t>
            </w:r>
          </w:p>
        </w:tc>
        <w:tc>
          <w:tcPr>
            <w:tcW w:w="5953" w:type="dxa"/>
            <w:tcBorders>
              <w:left w:val="single" w:sz="4" w:space="0" w:color="000000"/>
              <w:right w:val="single" w:sz="4" w:space="0" w:color="000000"/>
            </w:tcBorders>
          </w:tcPr>
          <w:p w14:paraId="78AC29CB" w14:textId="77777777" w:rsidR="00A75F78" w:rsidRPr="00237B85" w:rsidRDefault="00A75F78" w:rsidP="00950116">
            <w:pPr>
              <w:spacing w:after="0" w:line="240" w:lineRule="auto"/>
              <w:jc w:val="both"/>
              <w:rPr>
                <w:rFonts w:ascii="Times New Roman" w:hAnsi="Times New Roman"/>
                <w:sz w:val="20"/>
              </w:rPr>
            </w:pPr>
            <w:r w:rsidRPr="00237B85">
              <w:rPr>
                <w:rFonts w:ascii="Times New Roman" w:hAnsi="Times New Roman"/>
                <w:sz w:val="20"/>
              </w:rPr>
              <w:t xml:space="preserve">Variation des autres provisions techniques au sens de la directive 91/674/CEE, lorsqu’applicable: la variation nette des autres provisions techniques représente la somme des montants liés à l’assurance directe et à la réassurance acceptée, diminuée des montants cédés aux réassureurs. </w:t>
            </w:r>
          </w:p>
          <w:p w14:paraId="7FCC4B40" w14:textId="77777777" w:rsidR="00C42C88" w:rsidRPr="00237B85" w:rsidRDefault="00C42C88" w:rsidP="00950116">
            <w:pPr>
              <w:spacing w:after="0" w:line="240" w:lineRule="auto"/>
              <w:jc w:val="both"/>
              <w:rPr>
                <w:rFonts w:ascii="Times New Roman" w:hAnsi="Times New Roman"/>
                <w:sz w:val="20"/>
              </w:rPr>
            </w:pPr>
          </w:p>
          <w:p w14:paraId="5EC71C9D" w14:textId="5B6FD5DA" w:rsidR="00C42C88" w:rsidRPr="00237B85" w:rsidRDefault="00C42C8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 xml:space="preserve">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w:t>
            </w:r>
            <w:r w:rsidRPr="00237B85">
              <w:rPr>
                <w:rFonts w:ascii="Times New Roman" w:hAnsi="Times New Roman"/>
                <w:sz w:val="20"/>
              </w:rPr>
              <w:lastRenderedPageBreak/>
              <w:t>technique).</w:t>
            </w:r>
          </w:p>
        </w:tc>
      </w:tr>
      <w:tr w:rsidR="00A75F78" w:rsidRPr="00237B85" w14:paraId="38246319" w14:textId="77777777" w:rsidTr="00950116">
        <w:tc>
          <w:tcPr>
            <w:tcW w:w="1526" w:type="dxa"/>
            <w:tcBorders>
              <w:right w:val="single" w:sz="4" w:space="0" w:color="000000"/>
            </w:tcBorders>
          </w:tcPr>
          <w:p w14:paraId="30BF4456" w14:textId="1D391D39" w:rsidR="00A75F78" w:rsidRPr="00237B85" w:rsidRDefault="00A75F78" w:rsidP="00525538">
            <w:pPr>
              <w:spacing w:after="0" w:line="240" w:lineRule="auto"/>
              <w:rPr>
                <w:rFonts w:ascii="Times New Roman" w:hAnsi="Times New Roman" w:cs="Times New Roman"/>
                <w:sz w:val="20"/>
                <w:szCs w:val="20"/>
              </w:rPr>
            </w:pPr>
            <w:r w:rsidRPr="00237B85">
              <w:rPr>
                <w:rFonts w:ascii="Times New Roman" w:hAnsi="Times New Roman"/>
                <w:sz w:val="20"/>
              </w:rPr>
              <w:lastRenderedPageBreak/>
              <w:t>C0</w:t>
            </w:r>
            <w:r w:rsidR="00525538" w:rsidRPr="00237B85">
              <w:rPr>
                <w:rFonts w:ascii="Times New Roman" w:hAnsi="Times New Roman"/>
                <w:sz w:val="20"/>
              </w:rPr>
              <w:t>010</w:t>
            </w:r>
            <w:r w:rsidRPr="00237B85">
              <w:rPr>
                <w:rFonts w:ascii="Times New Roman" w:hAnsi="Times New Roman"/>
                <w:sz w:val="20"/>
              </w:rPr>
              <w:t xml:space="preserve"> à C0</w:t>
            </w:r>
            <w:r w:rsidR="00525538" w:rsidRPr="00237B85">
              <w:rPr>
                <w:rFonts w:ascii="Times New Roman" w:hAnsi="Times New Roman"/>
                <w:sz w:val="20"/>
              </w:rPr>
              <w:t>0</w:t>
            </w:r>
            <w:r w:rsidRPr="00237B85">
              <w:rPr>
                <w:rFonts w:ascii="Times New Roman" w:hAnsi="Times New Roman"/>
                <w:sz w:val="20"/>
              </w:rPr>
              <w:t>60/R</w:t>
            </w:r>
            <w:r w:rsidR="00525538" w:rsidRPr="00237B85">
              <w:rPr>
                <w:rFonts w:ascii="Times New Roman" w:hAnsi="Times New Roman"/>
                <w:sz w:val="20"/>
              </w:rPr>
              <w:t>0130</w:t>
            </w:r>
          </w:p>
        </w:tc>
        <w:tc>
          <w:tcPr>
            <w:tcW w:w="1701" w:type="dxa"/>
            <w:tcBorders>
              <w:left w:val="single" w:sz="4" w:space="0" w:color="000000"/>
              <w:right w:val="single" w:sz="4" w:space="0" w:color="000000"/>
            </w:tcBorders>
          </w:tcPr>
          <w:p w14:paraId="34AD531C" w14:textId="77777777" w:rsidR="00A75F78" w:rsidRPr="00237B85" w:rsidRDefault="00A75F78" w:rsidP="00950116">
            <w:pPr>
              <w:spacing w:after="0" w:line="240" w:lineRule="auto"/>
              <w:rPr>
                <w:rFonts w:ascii="Times New Roman" w:hAnsi="Times New Roman" w:cs="Times New Roman"/>
                <w:sz w:val="20"/>
                <w:szCs w:val="20"/>
              </w:rPr>
            </w:pPr>
            <w:r w:rsidRPr="00237B85">
              <w:rPr>
                <w:rFonts w:ascii="Times New Roman" w:hAnsi="Times New Roman"/>
                <w:sz w:val="20"/>
              </w:rPr>
              <w:t>Dépenses engagées</w:t>
            </w:r>
          </w:p>
        </w:tc>
        <w:tc>
          <w:tcPr>
            <w:tcW w:w="5953" w:type="dxa"/>
            <w:tcBorders>
              <w:left w:val="single" w:sz="4" w:space="0" w:color="000000"/>
              <w:right w:val="single" w:sz="4" w:space="0" w:color="000000"/>
            </w:tcBorders>
          </w:tcPr>
          <w:p w14:paraId="785A3807" w14:textId="4E7A127F" w:rsidR="00A75F78" w:rsidRPr="00237B85" w:rsidRDefault="00A75F78" w:rsidP="00950116">
            <w:pPr>
              <w:spacing w:after="0" w:line="240" w:lineRule="auto"/>
              <w:jc w:val="both"/>
              <w:rPr>
                <w:rFonts w:ascii="Times New Roman" w:hAnsi="Times New Roman" w:cs="Times New Roman"/>
                <w:sz w:val="20"/>
                <w:szCs w:val="20"/>
              </w:rPr>
            </w:pPr>
            <w:r w:rsidRPr="00237B85">
              <w:rPr>
                <w:rFonts w:ascii="Times New Roman" w:hAnsi="Times New Roman"/>
                <w:sz w:val="20"/>
              </w:rPr>
              <w:t>Toutes les dépen</w:t>
            </w:r>
            <w:r w:rsidR="00D04203" w:rsidRPr="00237B85">
              <w:rPr>
                <w:rFonts w:ascii="Times New Roman" w:hAnsi="Times New Roman"/>
                <w:sz w:val="20"/>
              </w:rPr>
              <w:t>ses techniques engagées par l’O</w:t>
            </w:r>
            <w:r w:rsidRPr="00237B85">
              <w:rPr>
                <w:rFonts w:ascii="Times New Roman" w:hAnsi="Times New Roman"/>
                <w:sz w:val="20"/>
              </w:rPr>
              <w:t>RPS durant la période de référence, en comptabilité d’exercice.</w:t>
            </w:r>
          </w:p>
        </w:tc>
      </w:tr>
      <w:tr w:rsidR="00AA28EC" w:rsidRPr="00237B85" w14:paraId="4F590B12" w14:textId="77777777" w:rsidTr="00950116">
        <w:tc>
          <w:tcPr>
            <w:tcW w:w="1526" w:type="dxa"/>
            <w:tcBorders>
              <w:right w:val="single" w:sz="4" w:space="0" w:color="000000"/>
            </w:tcBorders>
          </w:tcPr>
          <w:p w14:paraId="0F03F340" w14:textId="033744A8" w:rsidR="00A75F78" w:rsidRPr="00237B85" w:rsidDel="00A75F78" w:rsidRDefault="00A75F78" w:rsidP="000A1858">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C</w:t>
            </w:r>
            <w:r w:rsidR="004F7145" w:rsidRPr="00237B85">
              <w:rPr>
                <w:rFonts w:ascii="Times New Roman" w:hAnsi="Times New Roman"/>
                <w:color w:val="000000" w:themeColor="text1"/>
                <w:sz w:val="20"/>
              </w:rPr>
              <w:t>0010</w:t>
            </w:r>
            <w:r w:rsidRPr="00237B85">
              <w:rPr>
                <w:rFonts w:ascii="Times New Roman" w:hAnsi="Times New Roman"/>
                <w:color w:val="000000" w:themeColor="text1"/>
                <w:sz w:val="20"/>
              </w:rPr>
              <w:t>/R</w:t>
            </w:r>
            <w:r w:rsidR="004F7145" w:rsidRPr="00237B85">
              <w:rPr>
                <w:rFonts w:ascii="Times New Roman" w:hAnsi="Times New Roman"/>
                <w:color w:val="000000" w:themeColor="text1"/>
                <w:sz w:val="20"/>
              </w:rPr>
              <w:t>0</w:t>
            </w:r>
            <w:r w:rsidR="000A1858" w:rsidRPr="00237B85">
              <w:rPr>
                <w:rFonts w:ascii="Times New Roman" w:hAnsi="Times New Roman"/>
                <w:color w:val="000000" w:themeColor="text1"/>
                <w:sz w:val="20"/>
              </w:rPr>
              <w:t>01</w:t>
            </w:r>
            <w:r w:rsidR="004F7145" w:rsidRPr="00237B85">
              <w:rPr>
                <w:rFonts w:ascii="Times New Roman" w:hAnsi="Times New Roman"/>
                <w:color w:val="000000" w:themeColor="text1"/>
                <w:sz w:val="20"/>
              </w:rPr>
              <w:t>0</w:t>
            </w:r>
            <w:r w:rsidRPr="00237B85">
              <w:rPr>
                <w:rFonts w:ascii="Times New Roman" w:hAnsi="Times New Roman"/>
                <w:color w:val="000000" w:themeColor="text1"/>
                <w:sz w:val="20"/>
              </w:rPr>
              <w:t>–R</w:t>
            </w:r>
            <w:r w:rsidR="00E73B82" w:rsidRPr="00237B85">
              <w:rPr>
                <w:rFonts w:ascii="Times New Roman" w:hAnsi="Times New Roman"/>
                <w:color w:val="000000" w:themeColor="text1"/>
                <w:sz w:val="20"/>
              </w:rPr>
              <w:t>0</w:t>
            </w:r>
            <w:r w:rsidR="000A1858" w:rsidRPr="00237B85">
              <w:rPr>
                <w:rFonts w:ascii="Times New Roman" w:hAnsi="Times New Roman"/>
                <w:color w:val="000000" w:themeColor="text1"/>
                <w:sz w:val="20"/>
              </w:rPr>
              <w:t>13</w:t>
            </w:r>
            <w:r w:rsidR="00E73B82" w:rsidRPr="00237B85">
              <w:rPr>
                <w:rFonts w:ascii="Times New Roman" w:hAnsi="Times New Roman"/>
                <w:color w:val="000000" w:themeColor="text1"/>
                <w:sz w:val="20"/>
              </w:rPr>
              <w:t>0</w:t>
            </w:r>
          </w:p>
        </w:tc>
        <w:tc>
          <w:tcPr>
            <w:tcW w:w="1701" w:type="dxa"/>
            <w:tcBorders>
              <w:left w:val="single" w:sz="4" w:space="0" w:color="000000"/>
              <w:right w:val="single" w:sz="4" w:space="0" w:color="000000"/>
            </w:tcBorders>
          </w:tcPr>
          <w:p w14:paraId="259793AD" w14:textId="77777777" w:rsidR="00A75F78" w:rsidRPr="00237B85" w:rsidRDefault="00A75F78" w:rsidP="00950116">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Branche 26</w:t>
            </w:r>
          </w:p>
        </w:tc>
        <w:tc>
          <w:tcPr>
            <w:tcW w:w="5953" w:type="dxa"/>
            <w:tcBorders>
              <w:left w:val="single" w:sz="4" w:space="0" w:color="000000"/>
              <w:right w:val="single" w:sz="4" w:space="0" w:color="000000"/>
            </w:tcBorders>
          </w:tcPr>
          <w:p w14:paraId="43091AE1" w14:textId="77777777" w:rsidR="00A75F78" w:rsidRPr="00237B85" w:rsidRDefault="00A75F78" w:rsidP="00A75F78">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Valeurs prises par les différents postes pour les engagements relevant de l’article L.441-1 du code des assurances (branche 26)</w:t>
            </w:r>
          </w:p>
        </w:tc>
      </w:tr>
      <w:tr w:rsidR="00AA28EC" w:rsidRPr="00237B85" w14:paraId="6BC4E76C" w14:textId="77777777" w:rsidTr="00950116">
        <w:tc>
          <w:tcPr>
            <w:tcW w:w="1526" w:type="dxa"/>
            <w:tcBorders>
              <w:right w:val="single" w:sz="4" w:space="0" w:color="000000"/>
            </w:tcBorders>
          </w:tcPr>
          <w:p w14:paraId="260A8982" w14:textId="2FAC5BF3" w:rsidR="00A75F78" w:rsidRPr="00237B85" w:rsidDel="00A75F78" w:rsidRDefault="00A75F78" w:rsidP="00E73B82">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C0</w:t>
            </w:r>
            <w:r w:rsidR="00E73B82" w:rsidRPr="00237B85">
              <w:rPr>
                <w:rFonts w:ascii="Times New Roman" w:hAnsi="Times New Roman"/>
                <w:color w:val="000000" w:themeColor="text1"/>
                <w:sz w:val="20"/>
              </w:rPr>
              <w:t>020</w:t>
            </w:r>
            <w:r w:rsidRPr="00237B85">
              <w:rPr>
                <w:rFonts w:ascii="Times New Roman" w:hAnsi="Times New Roman"/>
                <w:color w:val="000000" w:themeColor="text1"/>
                <w:sz w:val="20"/>
              </w:rPr>
              <w:t>/</w:t>
            </w:r>
            <w:r w:rsidR="000A1858" w:rsidRPr="00237B85">
              <w:rPr>
                <w:rFonts w:ascii="Times New Roman" w:hAnsi="Times New Roman"/>
                <w:color w:val="000000" w:themeColor="text1"/>
                <w:sz w:val="20"/>
              </w:rPr>
              <w:t xml:space="preserve"> R0010–R0130</w:t>
            </w:r>
          </w:p>
        </w:tc>
        <w:tc>
          <w:tcPr>
            <w:tcW w:w="1701" w:type="dxa"/>
            <w:tcBorders>
              <w:left w:val="single" w:sz="4" w:space="0" w:color="000000"/>
              <w:right w:val="single" w:sz="4" w:space="0" w:color="000000"/>
            </w:tcBorders>
          </w:tcPr>
          <w:p w14:paraId="7D49FD24" w14:textId="77777777" w:rsidR="00A75F78" w:rsidRPr="00237B85" w:rsidRDefault="00A75F78" w:rsidP="00950116">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Eurocroissance</w:t>
            </w:r>
          </w:p>
        </w:tc>
        <w:tc>
          <w:tcPr>
            <w:tcW w:w="5953" w:type="dxa"/>
            <w:tcBorders>
              <w:left w:val="single" w:sz="4" w:space="0" w:color="000000"/>
              <w:right w:val="single" w:sz="4" w:space="0" w:color="000000"/>
            </w:tcBorders>
          </w:tcPr>
          <w:p w14:paraId="1A8141C5" w14:textId="77777777" w:rsidR="00A75F78" w:rsidRPr="00237B85" w:rsidRDefault="00A75F78" w:rsidP="00A75F78">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Valeurs prises par les différents postes pour les engagements relevant de l’article L.134-1 du code des assurances (« eurocroissance »)</w:t>
            </w:r>
          </w:p>
        </w:tc>
      </w:tr>
      <w:tr w:rsidR="00AA28EC" w:rsidRPr="00237B85" w14:paraId="7B585BEF" w14:textId="77777777" w:rsidTr="00950116">
        <w:tc>
          <w:tcPr>
            <w:tcW w:w="1526" w:type="dxa"/>
            <w:tcBorders>
              <w:right w:val="single" w:sz="4" w:space="0" w:color="000000"/>
            </w:tcBorders>
          </w:tcPr>
          <w:p w14:paraId="7BEF17A9" w14:textId="14EDF95C" w:rsidR="00A75F78" w:rsidRPr="00237B85" w:rsidDel="00A75F78" w:rsidRDefault="00A75F78" w:rsidP="00E73B82">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C0</w:t>
            </w:r>
            <w:r w:rsidR="00E73B82" w:rsidRPr="00237B85">
              <w:rPr>
                <w:rFonts w:ascii="Times New Roman" w:hAnsi="Times New Roman"/>
                <w:color w:val="000000" w:themeColor="text1"/>
                <w:sz w:val="20"/>
              </w:rPr>
              <w:t>030</w:t>
            </w:r>
            <w:r w:rsidRPr="00237B85">
              <w:rPr>
                <w:rFonts w:ascii="Times New Roman" w:hAnsi="Times New Roman"/>
                <w:color w:val="000000" w:themeColor="text1"/>
                <w:sz w:val="20"/>
              </w:rPr>
              <w:t>/</w:t>
            </w:r>
            <w:r w:rsidR="000A1858" w:rsidRPr="00237B85">
              <w:rPr>
                <w:rFonts w:ascii="Times New Roman" w:hAnsi="Times New Roman"/>
                <w:color w:val="000000" w:themeColor="text1"/>
                <w:sz w:val="20"/>
              </w:rPr>
              <w:t xml:space="preserve"> R0010–R0130</w:t>
            </w:r>
          </w:p>
        </w:tc>
        <w:tc>
          <w:tcPr>
            <w:tcW w:w="1701" w:type="dxa"/>
            <w:tcBorders>
              <w:left w:val="single" w:sz="4" w:space="0" w:color="000000"/>
              <w:right w:val="single" w:sz="4" w:space="0" w:color="000000"/>
            </w:tcBorders>
          </w:tcPr>
          <w:p w14:paraId="1E6BB14C" w14:textId="77777777" w:rsidR="00A75F78" w:rsidRPr="00237B85" w:rsidRDefault="00A75F78" w:rsidP="00950116">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Euro – comptabilité auxiliaire d’affectation</w:t>
            </w:r>
          </w:p>
        </w:tc>
        <w:tc>
          <w:tcPr>
            <w:tcW w:w="5953" w:type="dxa"/>
            <w:tcBorders>
              <w:left w:val="single" w:sz="4" w:space="0" w:color="000000"/>
              <w:right w:val="single" w:sz="4" w:space="0" w:color="000000"/>
            </w:tcBorders>
          </w:tcPr>
          <w:p w14:paraId="247D70AD" w14:textId="77777777" w:rsidR="00A75F78" w:rsidRPr="00237B85" w:rsidRDefault="00A75F78" w:rsidP="00A75F78">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Valeurs prises par les différents postes pour les engagements « euros » faisant l’objet d’une comptabilité auxiliaire d’affectation</w:t>
            </w:r>
          </w:p>
        </w:tc>
      </w:tr>
      <w:tr w:rsidR="00AA28EC" w:rsidRPr="00237B85" w14:paraId="4948178B" w14:textId="77777777" w:rsidTr="00950116">
        <w:tc>
          <w:tcPr>
            <w:tcW w:w="1526" w:type="dxa"/>
            <w:tcBorders>
              <w:right w:val="single" w:sz="4" w:space="0" w:color="000000"/>
            </w:tcBorders>
          </w:tcPr>
          <w:p w14:paraId="07CBDDC8" w14:textId="234B70C7" w:rsidR="00A75F78" w:rsidRPr="00237B85" w:rsidDel="00A75F78" w:rsidRDefault="00A75F78" w:rsidP="00E73B82">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C0</w:t>
            </w:r>
            <w:r w:rsidR="00E73B82" w:rsidRPr="00237B85">
              <w:rPr>
                <w:rFonts w:ascii="Times New Roman" w:hAnsi="Times New Roman"/>
                <w:color w:val="000000" w:themeColor="text1"/>
                <w:sz w:val="20"/>
              </w:rPr>
              <w:t>040</w:t>
            </w:r>
            <w:r w:rsidRPr="00237B85">
              <w:rPr>
                <w:rFonts w:ascii="Times New Roman" w:hAnsi="Times New Roman"/>
                <w:color w:val="000000" w:themeColor="text1"/>
                <w:sz w:val="20"/>
              </w:rPr>
              <w:t>/</w:t>
            </w:r>
            <w:r w:rsidR="000A1858" w:rsidRPr="00237B85">
              <w:rPr>
                <w:rFonts w:ascii="Times New Roman" w:hAnsi="Times New Roman"/>
                <w:color w:val="000000" w:themeColor="text1"/>
                <w:sz w:val="20"/>
              </w:rPr>
              <w:t xml:space="preserve"> R0010–R0130</w:t>
            </w:r>
          </w:p>
        </w:tc>
        <w:tc>
          <w:tcPr>
            <w:tcW w:w="1701" w:type="dxa"/>
            <w:tcBorders>
              <w:left w:val="single" w:sz="4" w:space="0" w:color="000000"/>
              <w:right w:val="single" w:sz="4" w:space="0" w:color="000000"/>
            </w:tcBorders>
          </w:tcPr>
          <w:p w14:paraId="3308022C" w14:textId="77777777" w:rsidR="00A75F78" w:rsidRPr="00237B85" w:rsidRDefault="00A75F78" w:rsidP="00950116">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UC – comptabilité auxiliaire d’affectation</w:t>
            </w:r>
          </w:p>
        </w:tc>
        <w:tc>
          <w:tcPr>
            <w:tcW w:w="5953" w:type="dxa"/>
            <w:tcBorders>
              <w:left w:val="single" w:sz="4" w:space="0" w:color="000000"/>
              <w:right w:val="single" w:sz="4" w:space="0" w:color="000000"/>
            </w:tcBorders>
          </w:tcPr>
          <w:p w14:paraId="55481485" w14:textId="77777777" w:rsidR="00A75F78" w:rsidRPr="00237B85" w:rsidRDefault="00A75F78" w:rsidP="00A75F78">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Valeurs prises par les différents postes pour les engagements en unités de compte faisant l’objet d’une comptabilité auxiliaire d’affectation</w:t>
            </w:r>
          </w:p>
        </w:tc>
      </w:tr>
      <w:tr w:rsidR="00AA28EC" w:rsidRPr="00237B85" w14:paraId="398D1350" w14:textId="77777777" w:rsidTr="00950116">
        <w:tc>
          <w:tcPr>
            <w:tcW w:w="1526" w:type="dxa"/>
            <w:tcBorders>
              <w:right w:val="single" w:sz="4" w:space="0" w:color="000000"/>
            </w:tcBorders>
          </w:tcPr>
          <w:p w14:paraId="6DBC188B" w14:textId="0BFD7DA7" w:rsidR="00A75F78" w:rsidRPr="00237B85" w:rsidDel="00A75F78" w:rsidRDefault="00A75F78" w:rsidP="00E73B82">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C0</w:t>
            </w:r>
            <w:r w:rsidR="00E73B82" w:rsidRPr="00237B85">
              <w:rPr>
                <w:rFonts w:ascii="Times New Roman" w:hAnsi="Times New Roman"/>
                <w:color w:val="000000" w:themeColor="text1"/>
                <w:sz w:val="20"/>
              </w:rPr>
              <w:t>050</w:t>
            </w:r>
            <w:r w:rsidRPr="00237B85">
              <w:rPr>
                <w:rFonts w:ascii="Times New Roman" w:hAnsi="Times New Roman"/>
                <w:color w:val="000000" w:themeColor="text1"/>
                <w:sz w:val="20"/>
              </w:rPr>
              <w:t>/</w:t>
            </w:r>
            <w:r w:rsidR="000A1858" w:rsidRPr="00237B85">
              <w:rPr>
                <w:rFonts w:ascii="Times New Roman" w:hAnsi="Times New Roman"/>
                <w:color w:val="000000" w:themeColor="text1"/>
                <w:sz w:val="20"/>
              </w:rPr>
              <w:t xml:space="preserve"> R0010–R0130</w:t>
            </w:r>
          </w:p>
        </w:tc>
        <w:tc>
          <w:tcPr>
            <w:tcW w:w="1701" w:type="dxa"/>
            <w:tcBorders>
              <w:left w:val="single" w:sz="4" w:space="0" w:color="000000"/>
              <w:right w:val="single" w:sz="4" w:space="0" w:color="000000"/>
            </w:tcBorders>
          </w:tcPr>
          <w:p w14:paraId="64067FA9" w14:textId="77777777" w:rsidR="00A75F78" w:rsidRPr="00237B85" w:rsidRDefault="00A75F78" w:rsidP="00A75F78">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Euro - Autre</w:t>
            </w:r>
          </w:p>
        </w:tc>
        <w:tc>
          <w:tcPr>
            <w:tcW w:w="5953" w:type="dxa"/>
            <w:tcBorders>
              <w:left w:val="single" w:sz="4" w:space="0" w:color="000000"/>
              <w:right w:val="single" w:sz="4" w:space="0" w:color="000000"/>
            </w:tcBorders>
          </w:tcPr>
          <w:p w14:paraId="685C5746" w14:textId="77777777" w:rsidR="00A75F78" w:rsidRPr="00237B85" w:rsidRDefault="00A75F78" w:rsidP="00A75F78">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Valeurs prises par les différents postes pour les engagements « euros » ne faisant pas l’objet d’une comptabilité auxiliaire d’affectation</w:t>
            </w:r>
          </w:p>
        </w:tc>
      </w:tr>
      <w:tr w:rsidR="00E73B82" w:rsidRPr="00237B85" w14:paraId="20189D80" w14:textId="77777777" w:rsidTr="00950116">
        <w:tc>
          <w:tcPr>
            <w:tcW w:w="1526" w:type="dxa"/>
            <w:tcBorders>
              <w:right w:val="single" w:sz="4" w:space="0" w:color="000000"/>
            </w:tcBorders>
          </w:tcPr>
          <w:p w14:paraId="742AB9B4" w14:textId="69852C85" w:rsidR="00A75F78" w:rsidRPr="00237B85" w:rsidDel="00A75F78" w:rsidRDefault="00A75F78" w:rsidP="00FE5E8D">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060</w:t>
            </w:r>
            <w:r w:rsidRPr="00237B85">
              <w:rPr>
                <w:rFonts w:ascii="Times New Roman" w:hAnsi="Times New Roman"/>
                <w:color w:val="000000" w:themeColor="text1"/>
                <w:sz w:val="20"/>
              </w:rPr>
              <w:t>/</w:t>
            </w:r>
            <w:r w:rsidR="000A1858" w:rsidRPr="00237B85">
              <w:rPr>
                <w:rFonts w:ascii="Times New Roman" w:hAnsi="Times New Roman"/>
                <w:color w:val="000000" w:themeColor="text1"/>
                <w:sz w:val="20"/>
              </w:rPr>
              <w:t xml:space="preserve"> R0010–R0130</w:t>
            </w:r>
          </w:p>
        </w:tc>
        <w:tc>
          <w:tcPr>
            <w:tcW w:w="1701" w:type="dxa"/>
            <w:tcBorders>
              <w:left w:val="single" w:sz="4" w:space="0" w:color="000000"/>
              <w:right w:val="single" w:sz="4" w:space="0" w:color="000000"/>
            </w:tcBorders>
          </w:tcPr>
          <w:p w14:paraId="26231FD5" w14:textId="77777777" w:rsidR="00A75F78" w:rsidRPr="00237B85" w:rsidRDefault="00A75F78" w:rsidP="00950116">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UC - Autre</w:t>
            </w:r>
          </w:p>
        </w:tc>
        <w:tc>
          <w:tcPr>
            <w:tcW w:w="5953" w:type="dxa"/>
            <w:tcBorders>
              <w:left w:val="single" w:sz="4" w:space="0" w:color="000000"/>
              <w:right w:val="single" w:sz="4" w:space="0" w:color="000000"/>
            </w:tcBorders>
          </w:tcPr>
          <w:p w14:paraId="2C890885" w14:textId="77777777" w:rsidR="00A75F78" w:rsidRPr="00237B85" w:rsidRDefault="00A75F78" w:rsidP="00A75F78">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Valeurs prises par les différents postes pour les engagements en unités de compte ne faisant pas l’objet d’une comptabilité auxiliaire d’affectation</w:t>
            </w:r>
          </w:p>
        </w:tc>
      </w:tr>
      <w:tr w:rsidR="00A75F78" w:rsidRPr="00237B85" w14:paraId="29EABC7A" w14:textId="77777777" w:rsidTr="00950116">
        <w:tc>
          <w:tcPr>
            <w:tcW w:w="1526" w:type="dxa"/>
            <w:tcBorders>
              <w:right w:val="single" w:sz="4" w:space="0" w:color="000000"/>
            </w:tcBorders>
          </w:tcPr>
          <w:p w14:paraId="6B5F0067" w14:textId="23DD3791" w:rsidR="00A75F78" w:rsidRPr="00237B85" w:rsidRDefault="00A75F78" w:rsidP="00FE5E8D">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070</w:t>
            </w:r>
            <w:r w:rsidRPr="00237B85">
              <w:rPr>
                <w:rFonts w:ascii="Times New Roman" w:hAnsi="Times New Roman"/>
                <w:color w:val="000000" w:themeColor="text1"/>
                <w:sz w:val="20"/>
              </w:rPr>
              <w:t>/</w:t>
            </w:r>
            <w:r w:rsidR="000A1858" w:rsidRPr="00237B85">
              <w:rPr>
                <w:rFonts w:ascii="Times New Roman" w:hAnsi="Times New Roman"/>
                <w:color w:val="000000" w:themeColor="text1"/>
                <w:sz w:val="20"/>
              </w:rPr>
              <w:t xml:space="preserve"> R0010–R0130</w:t>
            </w:r>
          </w:p>
        </w:tc>
        <w:tc>
          <w:tcPr>
            <w:tcW w:w="1701" w:type="dxa"/>
            <w:tcBorders>
              <w:left w:val="single" w:sz="4" w:space="0" w:color="000000"/>
              <w:right w:val="single" w:sz="4" w:space="0" w:color="000000"/>
            </w:tcBorders>
          </w:tcPr>
          <w:p w14:paraId="369F6581" w14:textId="77777777" w:rsidR="00A75F78" w:rsidRPr="00237B85" w:rsidRDefault="00A75F78" w:rsidP="00950116">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Total</w:t>
            </w:r>
          </w:p>
        </w:tc>
        <w:tc>
          <w:tcPr>
            <w:tcW w:w="5953" w:type="dxa"/>
            <w:tcBorders>
              <w:left w:val="single" w:sz="4" w:space="0" w:color="000000"/>
              <w:right w:val="single" w:sz="4" w:space="0" w:color="000000"/>
            </w:tcBorders>
          </w:tcPr>
          <w:p w14:paraId="1C05E9E5" w14:textId="0B29B8D0" w:rsidR="00A75F78" w:rsidRPr="00237B85" w:rsidRDefault="00A75F78" w:rsidP="00A75F78">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 xml:space="preserve">Total des différents postes pour toutes les activités de retraite </w:t>
            </w:r>
          </w:p>
        </w:tc>
      </w:tr>
    </w:tbl>
    <w:p w14:paraId="30BD8141" w14:textId="77777777" w:rsidR="0095672C" w:rsidRPr="00237B85" w:rsidRDefault="0095672C" w:rsidP="00950116">
      <w:pPr>
        <w:spacing w:after="0"/>
        <w:rPr>
          <w:rFonts w:ascii="Times New Roman" w:hAnsi="Times New Roman" w:cs="Times New Roman"/>
          <w:color w:val="000000" w:themeColor="text1"/>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953"/>
      </w:tblGrid>
      <w:tr w:rsidR="00E73B82" w:rsidRPr="00237B85" w14:paraId="6BA47FFA" w14:textId="77777777" w:rsidTr="008161EF">
        <w:trPr>
          <w:trHeight w:val="326"/>
        </w:trPr>
        <w:tc>
          <w:tcPr>
            <w:tcW w:w="9180" w:type="dxa"/>
            <w:gridSpan w:val="3"/>
            <w:tcBorders>
              <w:top w:val="nil"/>
              <w:left w:val="nil"/>
              <w:bottom w:val="single" w:sz="4" w:space="0" w:color="auto"/>
              <w:right w:val="nil"/>
            </w:tcBorders>
          </w:tcPr>
          <w:p w14:paraId="632A5FA7" w14:textId="77777777" w:rsidR="008161EF" w:rsidRPr="00237B85" w:rsidRDefault="008161EF" w:rsidP="001441D4">
            <w:pPr>
              <w:spacing w:after="0" w:line="240" w:lineRule="auto"/>
              <w:jc w:val="both"/>
              <w:rPr>
                <w:rFonts w:ascii="Times New Roman" w:hAnsi="Times New Roman" w:cs="Times New Roman"/>
                <w:b/>
                <w:color w:val="000000" w:themeColor="text1"/>
                <w:sz w:val="20"/>
                <w:szCs w:val="20"/>
              </w:rPr>
            </w:pPr>
            <w:r w:rsidRPr="00237B85">
              <w:rPr>
                <w:rFonts w:ascii="Times New Roman" w:hAnsi="Times New Roman"/>
                <w:b/>
                <w:color w:val="000000" w:themeColor="text1"/>
                <w:sz w:val="20"/>
              </w:rPr>
              <w:t>Engagements correspondant à des garanties accessoires</w:t>
            </w:r>
          </w:p>
        </w:tc>
      </w:tr>
      <w:tr w:rsidR="00E73B82" w:rsidRPr="00237B85" w:rsidDel="00864227" w14:paraId="605F7D35" w14:textId="77777777" w:rsidTr="001441D4">
        <w:tc>
          <w:tcPr>
            <w:tcW w:w="1526" w:type="dxa"/>
            <w:tcBorders>
              <w:top w:val="single" w:sz="4" w:space="0" w:color="auto"/>
              <w:left w:val="single" w:sz="4" w:space="0" w:color="auto"/>
              <w:bottom w:val="single" w:sz="4" w:space="0" w:color="auto"/>
              <w:right w:val="single" w:sz="4" w:space="0" w:color="auto"/>
            </w:tcBorders>
          </w:tcPr>
          <w:p w14:paraId="20CE92C2" w14:textId="4B466305"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FE5E8D"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FE5E8D" w:rsidRPr="00237B85">
              <w:rPr>
                <w:rFonts w:ascii="Times New Roman" w:hAnsi="Times New Roman"/>
                <w:color w:val="000000" w:themeColor="text1"/>
                <w:sz w:val="20"/>
              </w:rPr>
              <w:t>140</w:t>
            </w:r>
          </w:p>
          <w:p w14:paraId="2FE0D68C"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F9389EE"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émises – Brutes – Assurance directe</w:t>
            </w:r>
          </w:p>
        </w:tc>
        <w:tc>
          <w:tcPr>
            <w:tcW w:w="5953" w:type="dxa"/>
            <w:tcBorders>
              <w:top w:val="single" w:sz="4" w:space="0" w:color="auto"/>
              <w:left w:val="single" w:sz="4" w:space="0" w:color="auto"/>
              <w:bottom w:val="single" w:sz="4" w:space="0" w:color="auto"/>
              <w:right w:val="single" w:sz="4" w:space="0" w:color="auto"/>
            </w:tcBorders>
          </w:tcPr>
          <w:p w14:paraId="3A1F5DD5"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 xml:space="preserve">Primes émises au sens de la directive 91/674/CEE, lorsqu’applicable: les primes brutes émises comprennent tous les montants échus pendant l’exercice pour les contrats d’assurance, indépendamment du fait que ces montants peuvent se rapporter entièrement ou en partie à un exercice ultérieur. Sont ici visés les montants liés à l’assurance directe. </w:t>
            </w:r>
          </w:p>
        </w:tc>
      </w:tr>
      <w:tr w:rsidR="00E73B82" w:rsidRPr="00237B85" w:rsidDel="00864227" w14:paraId="71A94AF4" w14:textId="77777777" w:rsidTr="001441D4">
        <w:tc>
          <w:tcPr>
            <w:tcW w:w="1526" w:type="dxa"/>
            <w:tcBorders>
              <w:top w:val="single" w:sz="4" w:space="0" w:color="auto"/>
              <w:bottom w:val="single" w:sz="4" w:space="0" w:color="000000"/>
              <w:right w:val="single" w:sz="4" w:space="0" w:color="000000"/>
            </w:tcBorders>
          </w:tcPr>
          <w:p w14:paraId="4A53495F" w14:textId="1CA706BE"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FE5E8D" w:rsidRPr="00237B85">
              <w:rPr>
                <w:rFonts w:ascii="Times New Roman" w:hAnsi="Times New Roman"/>
                <w:color w:val="000000" w:themeColor="text1"/>
                <w:sz w:val="20"/>
              </w:rPr>
              <w:t>110</w:t>
            </w:r>
            <w:r w:rsidRPr="00237B85">
              <w:rPr>
                <w:rFonts w:ascii="Times New Roman" w:hAnsi="Times New Roman"/>
                <w:color w:val="000000" w:themeColor="text1"/>
                <w:sz w:val="20"/>
              </w:rPr>
              <w:t>/R01</w:t>
            </w:r>
            <w:r w:rsidR="00FE5E8D" w:rsidRPr="00237B85">
              <w:rPr>
                <w:rFonts w:ascii="Times New Roman" w:hAnsi="Times New Roman"/>
                <w:color w:val="000000" w:themeColor="text1"/>
                <w:sz w:val="20"/>
              </w:rPr>
              <w:t>5</w:t>
            </w:r>
            <w:r w:rsidRPr="00237B85">
              <w:rPr>
                <w:rFonts w:ascii="Times New Roman" w:hAnsi="Times New Roman"/>
                <w:color w:val="000000" w:themeColor="text1"/>
                <w:sz w:val="20"/>
              </w:rPr>
              <w:t>0</w:t>
            </w:r>
          </w:p>
          <w:p w14:paraId="7832A9A9"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top w:val="single" w:sz="4" w:space="0" w:color="auto"/>
              <w:left w:val="single" w:sz="4" w:space="0" w:color="000000"/>
              <w:bottom w:val="single" w:sz="4" w:space="0" w:color="000000"/>
              <w:right w:val="single" w:sz="4" w:space="0" w:color="000000"/>
            </w:tcBorders>
          </w:tcPr>
          <w:p w14:paraId="4AA3A4AA"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émises – Brutes – Réassurance proportionnelle acceptée</w:t>
            </w:r>
          </w:p>
        </w:tc>
        <w:tc>
          <w:tcPr>
            <w:tcW w:w="5953" w:type="dxa"/>
            <w:tcBorders>
              <w:top w:val="single" w:sz="4" w:space="0" w:color="auto"/>
              <w:left w:val="single" w:sz="4" w:space="0" w:color="000000"/>
              <w:bottom w:val="single" w:sz="4" w:space="0" w:color="000000"/>
              <w:right w:val="single" w:sz="4" w:space="0" w:color="000000"/>
            </w:tcBorders>
          </w:tcPr>
          <w:p w14:paraId="02F0F9BC"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émises au sens de la directive 91/674/CEE, lorsqu’applicable: les primes brutes émises comprennent tous les montants échus pendant l’exercice pour les contrats d’assurance, indépendamment du fait que ces montants peuvent se rapporter entièrement ou en partie à un exercice ultérieur. Sont ici visés les montants liés à la réassurance proportionnelle acceptée.</w:t>
            </w:r>
          </w:p>
        </w:tc>
      </w:tr>
      <w:tr w:rsidR="00E73B82" w:rsidRPr="00237B85" w:rsidDel="00864227" w14:paraId="3E24C9D1" w14:textId="77777777" w:rsidTr="001441D4">
        <w:tc>
          <w:tcPr>
            <w:tcW w:w="1526" w:type="dxa"/>
            <w:tcBorders>
              <w:right w:val="single" w:sz="4" w:space="0" w:color="000000"/>
            </w:tcBorders>
          </w:tcPr>
          <w:p w14:paraId="06AD728D" w14:textId="45E0E0E0"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FE5E8D" w:rsidRPr="00237B85">
              <w:rPr>
                <w:rFonts w:ascii="Times New Roman" w:hAnsi="Times New Roman"/>
                <w:color w:val="000000" w:themeColor="text1"/>
                <w:sz w:val="20"/>
              </w:rPr>
              <w:t>0110</w:t>
            </w:r>
            <w:r w:rsidRPr="00237B85">
              <w:rPr>
                <w:rFonts w:ascii="Times New Roman" w:hAnsi="Times New Roman"/>
                <w:color w:val="000000" w:themeColor="text1"/>
                <w:sz w:val="20"/>
              </w:rPr>
              <w:t>/R01</w:t>
            </w:r>
            <w:r w:rsidR="00FE5E8D" w:rsidRPr="00237B85">
              <w:rPr>
                <w:rFonts w:ascii="Times New Roman" w:hAnsi="Times New Roman"/>
                <w:color w:val="000000" w:themeColor="text1"/>
                <w:sz w:val="20"/>
              </w:rPr>
              <w:t>60</w:t>
            </w:r>
          </w:p>
          <w:p w14:paraId="471031A9"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left w:val="single" w:sz="4" w:space="0" w:color="000000"/>
              <w:right w:val="single" w:sz="4" w:space="0" w:color="000000"/>
            </w:tcBorders>
          </w:tcPr>
          <w:p w14:paraId="534E0133"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émises – Part des réassureurs</w:t>
            </w:r>
          </w:p>
        </w:tc>
        <w:tc>
          <w:tcPr>
            <w:tcW w:w="5953" w:type="dxa"/>
            <w:tcBorders>
              <w:left w:val="single" w:sz="4" w:space="0" w:color="000000"/>
              <w:right w:val="single" w:sz="4" w:space="0" w:color="000000"/>
            </w:tcBorders>
          </w:tcPr>
          <w:p w14:paraId="7290F570"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émises au sens de la directive 91/674/CEE, lorsqu’applicable: est ici visé le montant total des primes brutes émises cédées aux réassureurs pendant l’exercice, indépendamment du fait que ces montants peuvent se rapporter entièrement ou en partie à un exercice ultérieur.</w:t>
            </w:r>
          </w:p>
        </w:tc>
      </w:tr>
      <w:tr w:rsidR="00E73B82" w:rsidRPr="00237B85" w:rsidDel="00864227" w14:paraId="4B8498C9" w14:textId="77777777" w:rsidTr="001441D4">
        <w:tc>
          <w:tcPr>
            <w:tcW w:w="1526" w:type="dxa"/>
            <w:tcBorders>
              <w:right w:val="single" w:sz="4" w:space="0" w:color="000000"/>
            </w:tcBorders>
          </w:tcPr>
          <w:p w14:paraId="245F21C8" w14:textId="6B48CDED"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FE5E8D"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FE5E8D" w:rsidRPr="00237B85">
              <w:rPr>
                <w:rFonts w:ascii="Times New Roman" w:hAnsi="Times New Roman"/>
                <w:color w:val="000000" w:themeColor="text1"/>
                <w:sz w:val="20"/>
              </w:rPr>
              <w:t>170</w:t>
            </w:r>
          </w:p>
          <w:p w14:paraId="709FBABD"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left w:val="single" w:sz="4" w:space="0" w:color="000000"/>
              <w:right w:val="single" w:sz="4" w:space="0" w:color="000000"/>
            </w:tcBorders>
          </w:tcPr>
          <w:p w14:paraId="3ACBD0A2"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émises – Nettes</w:t>
            </w:r>
          </w:p>
        </w:tc>
        <w:tc>
          <w:tcPr>
            <w:tcW w:w="5953" w:type="dxa"/>
            <w:tcBorders>
              <w:left w:val="single" w:sz="4" w:space="0" w:color="000000"/>
              <w:right w:val="single" w:sz="4" w:space="0" w:color="000000"/>
            </w:tcBorders>
          </w:tcPr>
          <w:p w14:paraId="380FA6F3"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 xml:space="preserve">Primes émises au sens de la directive 91/674/CEE, lorsqu’applicable: les primes nettes émises correspondent à la somme des primes brutes d’assurance directe et de réassurance acceptée, diminuée des primes cédées aux réassureurs. </w:t>
            </w:r>
          </w:p>
        </w:tc>
      </w:tr>
      <w:tr w:rsidR="00E73B82" w:rsidRPr="00237B85" w:rsidDel="00864227" w14:paraId="6DA6DA39" w14:textId="77777777" w:rsidTr="001441D4">
        <w:tc>
          <w:tcPr>
            <w:tcW w:w="1526" w:type="dxa"/>
            <w:tcBorders>
              <w:right w:val="single" w:sz="4" w:space="0" w:color="000000"/>
            </w:tcBorders>
          </w:tcPr>
          <w:p w14:paraId="38E62F10" w14:textId="54656D8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FE5E8D"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FE5E8D" w:rsidRPr="00237B85">
              <w:rPr>
                <w:rFonts w:ascii="Times New Roman" w:hAnsi="Times New Roman"/>
                <w:color w:val="000000" w:themeColor="text1"/>
                <w:sz w:val="20"/>
              </w:rPr>
              <w:t>180</w:t>
            </w:r>
          </w:p>
          <w:p w14:paraId="71A83CB2"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left w:val="single" w:sz="4" w:space="0" w:color="000000"/>
              <w:right w:val="single" w:sz="4" w:space="0" w:color="000000"/>
            </w:tcBorders>
          </w:tcPr>
          <w:p w14:paraId="5E2D683B"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acquises – Brutes – Assurance directe</w:t>
            </w:r>
          </w:p>
          <w:p w14:paraId="0F048B1C"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p>
        </w:tc>
        <w:tc>
          <w:tcPr>
            <w:tcW w:w="5953" w:type="dxa"/>
            <w:tcBorders>
              <w:left w:val="single" w:sz="4" w:space="0" w:color="000000"/>
              <w:right w:val="single" w:sz="4" w:space="0" w:color="000000"/>
            </w:tcBorders>
          </w:tcPr>
          <w:p w14:paraId="3C596553"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acquises au sens de la directive 91/674/CEE, lorsqu’applicable: correspond à la somme des primes brutes émises, diminuée de la variation de la provision brute pour primes non acquises. Sont ici visés les montants liés à l’assurance directe.</w:t>
            </w:r>
          </w:p>
          <w:p w14:paraId="4C90E4D0"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p>
        </w:tc>
      </w:tr>
      <w:tr w:rsidR="00E73B82" w:rsidRPr="00237B85" w:rsidDel="00864227" w14:paraId="48CCEC3E" w14:textId="77777777" w:rsidTr="001441D4">
        <w:tc>
          <w:tcPr>
            <w:tcW w:w="1526" w:type="dxa"/>
            <w:tcBorders>
              <w:right w:val="single" w:sz="4" w:space="0" w:color="000000"/>
            </w:tcBorders>
          </w:tcPr>
          <w:p w14:paraId="350EB4AB" w14:textId="2BBF7D0D"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FE5E8D"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FE5E8D" w:rsidRPr="00237B85">
              <w:rPr>
                <w:rFonts w:ascii="Times New Roman" w:hAnsi="Times New Roman"/>
                <w:color w:val="000000" w:themeColor="text1"/>
                <w:sz w:val="20"/>
              </w:rPr>
              <w:t>190</w:t>
            </w:r>
          </w:p>
          <w:p w14:paraId="1035D69F"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left w:val="single" w:sz="4" w:space="0" w:color="000000"/>
              <w:right w:val="single" w:sz="4" w:space="0" w:color="000000"/>
            </w:tcBorders>
          </w:tcPr>
          <w:p w14:paraId="7C7744B6"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acquises – Brutes – Réassurance proportionnelle acceptée</w:t>
            </w:r>
          </w:p>
          <w:p w14:paraId="0693E7BE"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p>
        </w:tc>
        <w:tc>
          <w:tcPr>
            <w:tcW w:w="5953" w:type="dxa"/>
            <w:tcBorders>
              <w:left w:val="single" w:sz="4" w:space="0" w:color="000000"/>
              <w:right w:val="single" w:sz="4" w:space="0" w:color="000000"/>
            </w:tcBorders>
          </w:tcPr>
          <w:p w14:paraId="732E0D9B"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acquises au sens de la directive 91/674/CEE, lorsqu’applicable: correspond à la somme des primes brutes émises, diminuée de la variation de la provision brute pour primes non acquises. Sont ici visés les montants liés à la réassurance proportionnelle acceptée.</w:t>
            </w:r>
          </w:p>
        </w:tc>
      </w:tr>
      <w:tr w:rsidR="00E73B82" w:rsidRPr="00237B85" w:rsidDel="00864227" w14:paraId="29489747" w14:textId="77777777" w:rsidTr="001441D4">
        <w:tc>
          <w:tcPr>
            <w:tcW w:w="1526" w:type="dxa"/>
            <w:tcBorders>
              <w:right w:val="single" w:sz="4" w:space="0" w:color="000000"/>
            </w:tcBorders>
          </w:tcPr>
          <w:p w14:paraId="788FE6F4" w14:textId="4A9DF855" w:rsidR="008161EF" w:rsidRPr="00237B85" w:rsidRDefault="00FE5E8D"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C0080</w:t>
            </w:r>
            <w:r w:rsidR="008161EF" w:rsidRPr="00237B85">
              <w:rPr>
                <w:rFonts w:ascii="Times New Roman" w:hAnsi="Times New Roman"/>
                <w:color w:val="000000" w:themeColor="text1"/>
                <w:sz w:val="20"/>
              </w:rPr>
              <w:t xml:space="preserve"> à C0</w:t>
            </w:r>
            <w:r w:rsidRPr="00237B85">
              <w:rPr>
                <w:rFonts w:ascii="Times New Roman" w:hAnsi="Times New Roman"/>
                <w:color w:val="000000" w:themeColor="text1"/>
                <w:sz w:val="20"/>
              </w:rPr>
              <w:t>110</w:t>
            </w:r>
            <w:r w:rsidR="008161EF" w:rsidRPr="00237B85">
              <w:rPr>
                <w:rFonts w:ascii="Times New Roman" w:hAnsi="Times New Roman"/>
                <w:color w:val="000000" w:themeColor="text1"/>
                <w:sz w:val="20"/>
              </w:rPr>
              <w:t>/R0</w:t>
            </w:r>
            <w:r w:rsidRPr="00237B85">
              <w:rPr>
                <w:rFonts w:ascii="Times New Roman" w:hAnsi="Times New Roman"/>
                <w:color w:val="000000" w:themeColor="text1"/>
                <w:sz w:val="20"/>
              </w:rPr>
              <w:t>200</w:t>
            </w:r>
          </w:p>
          <w:p w14:paraId="439C1614"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left w:val="single" w:sz="4" w:space="0" w:color="000000"/>
              <w:right w:val="single" w:sz="4" w:space="0" w:color="000000"/>
            </w:tcBorders>
          </w:tcPr>
          <w:p w14:paraId="5607C56C"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acquises – Part des réassureurs</w:t>
            </w:r>
          </w:p>
          <w:p w14:paraId="032D9701"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p>
        </w:tc>
        <w:tc>
          <w:tcPr>
            <w:tcW w:w="5953" w:type="dxa"/>
            <w:tcBorders>
              <w:left w:val="single" w:sz="4" w:space="0" w:color="000000"/>
              <w:right w:val="single" w:sz="4" w:space="0" w:color="000000"/>
            </w:tcBorders>
          </w:tcPr>
          <w:p w14:paraId="0706C1E1"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lastRenderedPageBreak/>
              <w:t xml:space="preserve">Primes acquises au sens de la directive 91/674/CEE, lorsqu’applicable: correspond à la part des réassureurs dans les primes brutes émises, diminuée de la variation de la part des réassureurs dans la provision </w:t>
            </w:r>
            <w:r w:rsidRPr="00237B85">
              <w:rPr>
                <w:rFonts w:ascii="Times New Roman" w:hAnsi="Times New Roman"/>
                <w:color w:val="000000" w:themeColor="text1"/>
                <w:sz w:val="20"/>
              </w:rPr>
              <w:lastRenderedPageBreak/>
              <w:t>pour primes non acquises.</w:t>
            </w:r>
          </w:p>
        </w:tc>
      </w:tr>
      <w:tr w:rsidR="00E73B82" w:rsidRPr="00237B85" w:rsidDel="00864227" w14:paraId="27392B45" w14:textId="77777777" w:rsidTr="001441D4">
        <w:tc>
          <w:tcPr>
            <w:tcW w:w="1526" w:type="dxa"/>
            <w:tcBorders>
              <w:right w:val="single" w:sz="4" w:space="0" w:color="000000"/>
            </w:tcBorders>
          </w:tcPr>
          <w:p w14:paraId="60E054A6" w14:textId="54687E48"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lastRenderedPageBreak/>
              <w:t>C0</w:t>
            </w:r>
            <w:r w:rsidR="00FE5E8D"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FE5E8D"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FE5E8D" w:rsidRPr="00237B85">
              <w:rPr>
                <w:rFonts w:ascii="Times New Roman" w:hAnsi="Times New Roman"/>
                <w:color w:val="000000" w:themeColor="text1"/>
                <w:sz w:val="20"/>
              </w:rPr>
              <w:t>210</w:t>
            </w:r>
          </w:p>
          <w:p w14:paraId="191C5B68"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left w:val="single" w:sz="4" w:space="0" w:color="000000"/>
              <w:right w:val="single" w:sz="4" w:space="0" w:color="000000"/>
            </w:tcBorders>
          </w:tcPr>
          <w:p w14:paraId="6FEB6092"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Primes acquises – Nettes</w:t>
            </w:r>
          </w:p>
          <w:p w14:paraId="33E4BF4B"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p>
        </w:tc>
        <w:tc>
          <w:tcPr>
            <w:tcW w:w="5953" w:type="dxa"/>
            <w:tcBorders>
              <w:left w:val="single" w:sz="4" w:space="0" w:color="000000"/>
              <w:right w:val="single" w:sz="4" w:space="0" w:color="000000"/>
            </w:tcBorders>
          </w:tcPr>
          <w:p w14:paraId="698B7CA1"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 xml:space="preserve">Primes acquises au sens de la directive 91/674/CEE, lorsqu’applicable: correspond à la somme des primes brutes émises, diminuée de la variation de la provision brute pour primes non acquises. Est ici visée la somme des montants liés à l’assurance directe et à la réassurance acceptée, diminuée des montants cédés aux réassureurs. </w:t>
            </w:r>
          </w:p>
        </w:tc>
      </w:tr>
      <w:tr w:rsidR="00E73B82" w:rsidRPr="00237B85" w:rsidDel="00864227" w14:paraId="04695C7E" w14:textId="77777777" w:rsidTr="001441D4">
        <w:tc>
          <w:tcPr>
            <w:tcW w:w="1526" w:type="dxa"/>
            <w:tcBorders>
              <w:right w:val="single" w:sz="4" w:space="0" w:color="000000"/>
            </w:tcBorders>
          </w:tcPr>
          <w:p w14:paraId="573DB66E" w14:textId="33C5B50D"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FE5E8D"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FE5E8D" w:rsidRPr="00237B85">
              <w:rPr>
                <w:rFonts w:ascii="Times New Roman" w:hAnsi="Times New Roman"/>
                <w:color w:val="000000" w:themeColor="text1"/>
                <w:sz w:val="20"/>
              </w:rPr>
              <w:t>220</w:t>
            </w:r>
          </w:p>
          <w:p w14:paraId="758C74EC"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left w:val="single" w:sz="4" w:space="0" w:color="000000"/>
              <w:right w:val="single" w:sz="4" w:space="0" w:color="000000"/>
            </w:tcBorders>
          </w:tcPr>
          <w:p w14:paraId="286E6F35"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 xml:space="preserve">Charge des sinistres – Brute – Assurance directe </w:t>
            </w:r>
          </w:p>
        </w:tc>
        <w:tc>
          <w:tcPr>
            <w:tcW w:w="5953" w:type="dxa"/>
            <w:tcBorders>
              <w:left w:val="single" w:sz="4" w:space="0" w:color="000000"/>
              <w:right w:val="single" w:sz="4" w:space="0" w:color="000000"/>
            </w:tcBorders>
          </w:tcPr>
          <w:p w14:paraId="2FAD0644"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 xml:space="preserve">Charge des sinistres au titre de l’exercice, au sens de la directive 91/674/CEE, lorsqu’applicable: la charge des sinistres est égale au total des indemnités versées au titre de l’exercice et de la variation de la provision pour sinistres durant cet exercice. Sont ici visés les montants liés à l’assurance directe. </w:t>
            </w:r>
          </w:p>
          <w:p w14:paraId="1BD63985"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Exclut les frais de gestion des sinistres et la variation des provisions pour frais de gestion des sinistres.</w:t>
            </w:r>
          </w:p>
        </w:tc>
      </w:tr>
      <w:tr w:rsidR="00E73B82" w:rsidRPr="00237B85" w:rsidDel="00864227" w14:paraId="69844736" w14:textId="77777777" w:rsidTr="001441D4">
        <w:tc>
          <w:tcPr>
            <w:tcW w:w="1526" w:type="dxa"/>
            <w:tcBorders>
              <w:right w:val="single" w:sz="4" w:space="0" w:color="000000"/>
            </w:tcBorders>
          </w:tcPr>
          <w:p w14:paraId="590DF197" w14:textId="6398EE10"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FE5E8D"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FE5E8D" w:rsidRPr="00237B85">
              <w:rPr>
                <w:rFonts w:ascii="Times New Roman" w:hAnsi="Times New Roman"/>
                <w:color w:val="000000" w:themeColor="text1"/>
                <w:sz w:val="20"/>
              </w:rPr>
              <w:t>230</w:t>
            </w:r>
          </w:p>
          <w:p w14:paraId="06FA00F4"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left w:val="single" w:sz="4" w:space="0" w:color="000000"/>
              <w:right w:val="single" w:sz="4" w:space="0" w:color="000000"/>
            </w:tcBorders>
          </w:tcPr>
          <w:p w14:paraId="400354FA"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Charge des sinistres – Brute – Réassurance proportionnelle acceptée</w:t>
            </w:r>
          </w:p>
          <w:p w14:paraId="5ADFC778"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p>
        </w:tc>
        <w:tc>
          <w:tcPr>
            <w:tcW w:w="5953" w:type="dxa"/>
            <w:tcBorders>
              <w:left w:val="single" w:sz="4" w:space="0" w:color="000000"/>
              <w:right w:val="single" w:sz="4" w:space="0" w:color="000000"/>
            </w:tcBorders>
          </w:tcPr>
          <w:p w14:paraId="55F43FD4"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Charge des sinistres au titre de l’exercice, au sens de la directive 91/674/CEE, lorsqu’applicable: la charge des sinistres est égale au total des indemnités versées au titre de l’exercice et de la variation de la provision pour sinistres durant cet exercice. Sont ici visés les montants bruts liés à la réassurance proportionnelle acceptée.</w:t>
            </w:r>
          </w:p>
          <w:p w14:paraId="16417DD0"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Exclut les frais de gestion des sinistres et la variation des provisions pour frais de gestion des sinistres.</w:t>
            </w:r>
          </w:p>
        </w:tc>
      </w:tr>
      <w:tr w:rsidR="00E73B82" w:rsidRPr="00237B85" w:rsidDel="00864227" w14:paraId="3958BE13" w14:textId="77777777" w:rsidTr="001441D4">
        <w:tc>
          <w:tcPr>
            <w:tcW w:w="1526" w:type="dxa"/>
            <w:tcBorders>
              <w:right w:val="single" w:sz="4" w:space="0" w:color="000000"/>
            </w:tcBorders>
          </w:tcPr>
          <w:p w14:paraId="12ACDABB" w14:textId="53F705CB"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FE5E8D"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FE5E8D" w:rsidRPr="00237B85">
              <w:rPr>
                <w:rFonts w:ascii="Times New Roman" w:hAnsi="Times New Roman"/>
                <w:color w:val="000000" w:themeColor="text1"/>
                <w:sz w:val="20"/>
              </w:rPr>
              <w:t>240</w:t>
            </w:r>
          </w:p>
          <w:p w14:paraId="0C4FF1EE"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left w:val="single" w:sz="4" w:space="0" w:color="000000"/>
              <w:right w:val="single" w:sz="4" w:space="0" w:color="000000"/>
            </w:tcBorders>
          </w:tcPr>
          <w:p w14:paraId="72010190"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Charge des sinistres – Part des réassureurs</w:t>
            </w:r>
          </w:p>
          <w:p w14:paraId="2BA5E3CE"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p>
        </w:tc>
        <w:tc>
          <w:tcPr>
            <w:tcW w:w="5953" w:type="dxa"/>
            <w:tcBorders>
              <w:left w:val="single" w:sz="4" w:space="0" w:color="000000"/>
              <w:right w:val="single" w:sz="4" w:space="0" w:color="000000"/>
            </w:tcBorders>
          </w:tcPr>
          <w:p w14:paraId="16211E4B"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Charge des sinistres au titre de l’exercice, au sens de la directive 91/674/CEE, lorsqu’applicable: part des réassureurs dans le total des indemnités versées au titre de l’exercice et de la variation de la provision pour sinistres durant cet exercice.</w:t>
            </w:r>
          </w:p>
          <w:p w14:paraId="0F93EF87"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Exclut les frais de gestion des sinistres et la variation des provisions pour frais de gestion des sinistres.</w:t>
            </w:r>
          </w:p>
        </w:tc>
      </w:tr>
      <w:tr w:rsidR="00E73B82" w:rsidRPr="00237B85" w:rsidDel="00864227" w14:paraId="72E56FBE" w14:textId="77777777" w:rsidTr="001441D4">
        <w:tc>
          <w:tcPr>
            <w:tcW w:w="1526" w:type="dxa"/>
            <w:tcBorders>
              <w:right w:val="single" w:sz="4" w:space="0" w:color="000000"/>
            </w:tcBorders>
          </w:tcPr>
          <w:p w14:paraId="1C80A2F1" w14:textId="35C416EF"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FE5E8D"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FE5E8D"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D55488" w:rsidRPr="00237B85">
              <w:rPr>
                <w:rFonts w:ascii="Times New Roman" w:hAnsi="Times New Roman"/>
                <w:color w:val="000000" w:themeColor="text1"/>
                <w:sz w:val="20"/>
              </w:rPr>
              <w:t>250</w:t>
            </w:r>
          </w:p>
          <w:p w14:paraId="0DF7A855"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left w:val="single" w:sz="4" w:space="0" w:color="000000"/>
              <w:right w:val="single" w:sz="4" w:space="0" w:color="000000"/>
            </w:tcBorders>
          </w:tcPr>
          <w:p w14:paraId="710181DE" w14:textId="77777777" w:rsidR="008161EF" w:rsidRPr="00237B85" w:rsidDel="00864227"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Charge des sinistres – Nette</w:t>
            </w:r>
          </w:p>
        </w:tc>
        <w:tc>
          <w:tcPr>
            <w:tcW w:w="5953" w:type="dxa"/>
            <w:tcBorders>
              <w:left w:val="single" w:sz="4" w:space="0" w:color="000000"/>
              <w:right w:val="single" w:sz="4" w:space="0" w:color="000000"/>
            </w:tcBorders>
          </w:tcPr>
          <w:p w14:paraId="61E01C4E"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 xml:space="preserve">Charge des sinistres au titre de l’exercice, au sens de la directive 91/674/CEE, lorsqu’applicable: la charge des sinistres est égale au total des indemnités versées au titre de l’exercice et de la variation de la provision pour sinistres durant cet exercice. Est ici visée la somme des montants liés à l’assurance directe et à la réassurance acceptée, diminuée des montants cédés aux réassureurs. </w:t>
            </w:r>
          </w:p>
          <w:p w14:paraId="6DAAC382"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Exclut les frais de gestion des sinistres et la variation des provisions pour frais de gestion des sinistres.</w:t>
            </w:r>
          </w:p>
          <w:p w14:paraId="4B1B5700" w14:textId="77777777" w:rsidR="008161EF" w:rsidRPr="00237B85" w:rsidDel="00864227" w:rsidRDefault="008161EF" w:rsidP="001441D4">
            <w:pPr>
              <w:spacing w:after="0" w:line="240" w:lineRule="auto"/>
              <w:jc w:val="both"/>
              <w:rPr>
                <w:rFonts w:ascii="Times New Roman" w:hAnsi="Times New Roman" w:cs="Times New Roman"/>
                <w:color w:val="000000" w:themeColor="text1"/>
                <w:sz w:val="20"/>
                <w:szCs w:val="20"/>
              </w:rPr>
            </w:pPr>
          </w:p>
        </w:tc>
      </w:tr>
      <w:tr w:rsidR="00E73B82" w:rsidRPr="00237B85" w14:paraId="369BC57A" w14:textId="77777777" w:rsidTr="001441D4">
        <w:tc>
          <w:tcPr>
            <w:tcW w:w="1526" w:type="dxa"/>
            <w:tcBorders>
              <w:right w:val="single" w:sz="4" w:space="0" w:color="000000"/>
            </w:tcBorders>
          </w:tcPr>
          <w:p w14:paraId="66FCB692" w14:textId="79D8CDFA" w:rsidR="008161EF" w:rsidRPr="00237B85" w:rsidRDefault="008161EF" w:rsidP="00D55488">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D55488"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D55488"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D55488" w:rsidRPr="00237B85">
              <w:rPr>
                <w:rFonts w:ascii="Times New Roman" w:hAnsi="Times New Roman"/>
                <w:color w:val="000000" w:themeColor="text1"/>
                <w:sz w:val="20"/>
              </w:rPr>
              <w:t>260</w:t>
            </w:r>
          </w:p>
        </w:tc>
        <w:tc>
          <w:tcPr>
            <w:tcW w:w="1701" w:type="dxa"/>
            <w:tcBorders>
              <w:left w:val="single" w:sz="4" w:space="0" w:color="000000"/>
              <w:right w:val="single" w:sz="4" w:space="0" w:color="000000"/>
            </w:tcBorders>
          </w:tcPr>
          <w:p w14:paraId="07F4E445"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 xml:space="preserve">Variation des autres provisions techniques – Brute – Assurance directe </w:t>
            </w:r>
          </w:p>
        </w:tc>
        <w:tc>
          <w:tcPr>
            <w:tcW w:w="5953" w:type="dxa"/>
            <w:tcBorders>
              <w:left w:val="single" w:sz="4" w:space="0" w:color="000000"/>
              <w:right w:val="single" w:sz="4" w:space="0" w:color="000000"/>
            </w:tcBorders>
          </w:tcPr>
          <w:p w14:paraId="58E5EDC0" w14:textId="77777777" w:rsidR="008161EF" w:rsidRPr="00237B85" w:rsidRDefault="008161EF" w:rsidP="001441D4">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Variation des autres provisions techniques au sens de la directive 91/674/CEE, lorsqu’applicable: variation des autres provisions techniques. Sont ici visés les montants bruts liés à l’assurance directe.</w:t>
            </w:r>
          </w:p>
          <w:p w14:paraId="07DED1EB" w14:textId="77777777" w:rsidR="008161EF" w:rsidRPr="00237B85" w:rsidRDefault="008161EF" w:rsidP="001441D4">
            <w:pPr>
              <w:spacing w:after="0" w:line="240" w:lineRule="auto"/>
              <w:jc w:val="both"/>
              <w:rPr>
                <w:rFonts w:ascii="Times New Roman" w:hAnsi="Times New Roman"/>
                <w:color w:val="000000" w:themeColor="text1"/>
                <w:sz w:val="20"/>
              </w:rPr>
            </w:pPr>
          </w:p>
          <w:p w14:paraId="0A27DED2"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technique).</w:t>
            </w:r>
          </w:p>
        </w:tc>
      </w:tr>
      <w:tr w:rsidR="00E73B82" w:rsidRPr="00237B85" w14:paraId="6D02AB0E" w14:textId="77777777" w:rsidTr="001441D4">
        <w:tc>
          <w:tcPr>
            <w:tcW w:w="1526" w:type="dxa"/>
            <w:tcBorders>
              <w:right w:val="single" w:sz="4" w:space="0" w:color="000000"/>
            </w:tcBorders>
          </w:tcPr>
          <w:p w14:paraId="10F3B316" w14:textId="53095AF7" w:rsidR="008161EF" w:rsidRPr="00237B85" w:rsidRDefault="008161EF" w:rsidP="00D55488">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D55488"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D55488"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D55488" w:rsidRPr="00237B85">
              <w:rPr>
                <w:rFonts w:ascii="Times New Roman" w:hAnsi="Times New Roman"/>
                <w:color w:val="000000" w:themeColor="text1"/>
                <w:sz w:val="20"/>
              </w:rPr>
              <w:t>270</w:t>
            </w:r>
          </w:p>
        </w:tc>
        <w:tc>
          <w:tcPr>
            <w:tcW w:w="1701" w:type="dxa"/>
            <w:tcBorders>
              <w:left w:val="single" w:sz="4" w:space="0" w:color="000000"/>
              <w:right w:val="single" w:sz="4" w:space="0" w:color="000000"/>
            </w:tcBorders>
          </w:tcPr>
          <w:p w14:paraId="702A1DB1"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Variation des autres provisions techniques – Brute – Réassurance proportionnelle acceptée</w:t>
            </w:r>
          </w:p>
        </w:tc>
        <w:tc>
          <w:tcPr>
            <w:tcW w:w="5953" w:type="dxa"/>
            <w:tcBorders>
              <w:left w:val="single" w:sz="4" w:space="0" w:color="000000"/>
              <w:right w:val="single" w:sz="4" w:space="0" w:color="000000"/>
            </w:tcBorders>
          </w:tcPr>
          <w:p w14:paraId="1AC2132D"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Variation des autres provisions techniques au sens de la directive 91/674/CEE, lorsqu’applicable: variation des autres provisions techniques. Sont ici visés les montants bruts liés à la réassurance proportionnelle acceptée.</w:t>
            </w:r>
          </w:p>
          <w:p w14:paraId="22667333"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p>
          <w:p w14:paraId="4F5E3ACD"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technique).</w:t>
            </w:r>
          </w:p>
        </w:tc>
      </w:tr>
      <w:tr w:rsidR="00E73B82" w:rsidRPr="00237B85" w14:paraId="5971A1F5" w14:textId="77777777" w:rsidTr="001441D4">
        <w:tc>
          <w:tcPr>
            <w:tcW w:w="1526" w:type="dxa"/>
            <w:tcBorders>
              <w:right w:val="single" w:sz="4" w:space="0" w:color="000000"/>
            </w:tcBorders>
          </w:tcPr>
          <w:p w14:paraId="1A691719" w14:textId="6A7944BB" w:rsidR="008161EF" w:rsidRPr="00237B85" w:rsidRDefault="008161EF" w:rsidP="00D55488">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D55488"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D55488"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D55488" w:rsidRPr="00237B85">
              <w:rPr>
                <w:rFonts w:ascii="Times New Roman" w:hAnsi="Times New Roman"/>
                <w:color w:val="000000" w:themeColor="text1"/>
                <w:sz w:val="20"/>
              </w:rPr>
              <w:t>280</w:t>
            </w:r>
          </w:p>
        </w:tc>
        <w:tc>
          <w:tcPr>
            <w:tcW w:w="1701" w:type="dxa"/>
            <w:tcBorders>
              <w:left w:val="single" w:sz="4" w:space="0" w:color="000000"/>
              <w:right w:val="single" w:sz="4" w:space="0" w:color="000000"/>
            </w:tcBorders>
          </w:tcPr>
          <w:p w14:paraId="4CA7D9D8"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Variation des autres provisions techniques – Part des réassureurs</w:t>
            </w:r>
          </w:p>
        </w:tc>
        <w:tc>
          <w:tcPr>
            <w:tcW w:w="5953" w:type="dxa"/>
            <w:tcBorders>
              <w:left w:val="single" w:sz="4" w:space="0" w:color="000000"/>
              <w:right w:val="single" w:sz="4" w:space="0" w:color="000000"/>
            </w:tcBorders>
          </w:tcPr>
          <w:p w14:paraId="5E5D2369" w14:textId="77777777" w:rsidR="008161EF" w:rsidRPr="00237B85" w:rsidRDefault="008161EF" w:rsidP="001441D4">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Variation des autres provisions techniques au sens de la directive 91/674/CEE, lorsqu’applicable: variation des autres provisions techniques. Sont ici visés les montants liés aux cessions en réassurance.</w:t>
            </w:r>
          </w:p>
          <w:p w14:paraId="36245B39" w14:textId="77777777" w:rsidR="008161EF" w:rsidRPr="00237B85" w:rsidRDefault="008161EF" w:rsidP="001441D4">
            <w:pPr>
              <w:spacing w:after="0" w:line="240" w:lineRule="auto"/>
              <w:jc w:val="both"/>
              <w:rPr>
                <w:rFonts w:ascii="Times New Roman" w:hAnsi="Times New Roman"/>
                <w:color w:val="000000" w:themeColor="text1"/>
                <w:sz w:val="20"/>
              </w:rPr>
            </w:pPr>
          </w:p>
          <w:p w14:paraId="2BCC58A6"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La valeur indiquée doit être positive si la variation est négative, et doit être négative si la variation est positive.</w:t>
            </w:r>
          </w:p>
        </w:tc>
      </w:tr>
      <w:tr w:rsidR="00E73B82" w:rsidRPr="00237B85" w14:paraId="7BAEACB2" w14:textId="77777777" w:rsidTr="001441D4">
        <w:tc>
          <w:tcPr>
            <w:tcW w:w="1526" w:type="dxa"/>
            <w:tcBorders>
              <w:right w:val="single" w:sz="4" w:space="0" w:color="000000"/>
            </w:tcBorders>
          </w:tcPr>
          <w:p w14:paraId="775F230B" w14:textId="685BAD63" w:rsidR="008161EF" w:rsidRPr="00237B85" w:rsidRDefault="008161EF" w:rsidP="00D55488">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lastRenderedPageBreak/>
              <w:t>C0</w:t>
            </w:r>
            <w:r w:rsidR="00D55488"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D55488"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D55488" w:rsidRPr="00237B85">
              <w:rPr>
                <w:rFonts w:ascii="Times New Roman" w:hAnsi="Times New Roman"/>
                <w:color w:val="000000" w:themeColor="text1"/>
                <w:sz w:val="20"/>
              </w:rPr>
              <w:t>290</w:t>
            </w:r>
          </w:p>
        </w:tc>
        <w:tc>
          <w:tcPr>
            <w:tcW w:w="1701" w:type="dxa"/>
            <w:tcBorders>
              <w:left w:val="single" w:sz="4" w:space="0" w:color="000000"/>
              <w:right w:val="single" w:sz="4" w:space="0" w:color="000000"/>
            </w:tcBorders>
          </w:tcPr>
          <w:p w14:paraId="17D0648B"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Variation des autres provisions techniques – Nette</w:t>
            </w:r>
          </w:p>
        </w:tc>
        <w:tc>
          <w:tcPr>
            <w:tcW w:w="5953" w:type="dxa"/>
            <w:tcBorders>
              <w:left w:val="single" w:sz="4" w:space="0" w:color="000000"/>
              <w:right w:val="single" w:sz="4" w:space="0" w:color="000000"/>
            </w:tcBorders>
          </w:tcPr>
          <w:p w14:paraId="30ADF29A" w14:textId="77777777" w:rsidR="008161EF" w:rsidRPr="00237B85" w:rsidRDefault="008161EF" w:rsidP="001441D4">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 xml:space="preserve">Variation des autres provisions techniques au sens de la directive 91/674/CEE, lorsqu’applicable: la variation nette des autres provisions techniques représente la somme des montants liés à l’assurance directe et à la réassurance acceptée, diminuée des montants cédés aux réassureurs. </w:t>
            </w:r>
          </w:p>
          <w:p w14:paraId="1C40CA13" w14:textId="77777777" w:rsidR="008161EF" w:rsidRPr="00237B85" w:rsidRDefault="008161EF" w:rsidP="001441D4">
            <w:pPr>
              <w:spacing w:after="0" w:line="240" w:lineRule="auto"/>
              <w:jc w:val="both"/>
              <w:rPr>
                <w:rFonts w:ascii="Times New Roman" w:hAnsi="Times New Roman"/>
                <w:color w:val="000000" w:themeColor="text1"/>
                <w:sz w:val="20"/>
              </w:rPr>
            </w:pPr>
          </w:p>
          <w:p w14:paraId="7C95035B"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technique).</w:t>
            </w:r>
          </w:p>
        </w:tc>
      </w:tr>
      <w:tr w:rsidR="00E73B82" w:rsidRPr="00237B85" w14:paraId="751C39F4" w14:textId="77777777" w:rsidTr="001441D4">
        <w:tc>
          <w:tcPr>
            <w:tcW w:w="1526" w:type="dxa"/>
            <w:tcBorders>
              <w:right w:val="single" w:sz="4" w:space="0" w:color="000000"/>
            </w:tcBorders>
          </w:tcPr>
          <w:p w14:paraId="77242591" w14:textId="45B75A06"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D55488" w:rsidRPr="00237B85">
              <w:rPr>
                <w:rFonts w:ascii="Times New Roman" w:hAnsi="Times New Roman"/>
                <w:color w:val="000000" w:themeColor="text1"/>
                <w:sz w:val="20"/>
              </w:rPr>
              <w:t>080</w:t>
            </w:r>
            <w:r w:rsidRPr="00237B85">
              <w:rPr>
                <w:rFonts w:ascii="Times New Roman" w:hAnsi="Times New Roman"/>
                <w:color w:val="000000" w:themeColor="text1"/>
                <w:sz w:val="20"/>
              </w:rPr>
              <w:t xml:space="preserve"> à C0</w:t>
            </w:r>
            <w:r w:rsidR="00D55488"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D55488" w:rsidRPr="00237B85">
              <w:rPr>
                <w:rFonts w:ascii="Times New Roman" w:hAnsi="Times New Roman"/>
                <w:color w:val="000000" w:themeColor="text1"/>
                <w:sz w:val="20"/>
              </w:rPr>
              <w:t>300</w:t>
            </w:r>
          </w:p>
          <w:p w14:paraId="40C22416" w14:textId="77777777" w:rsidR="008161EF" w:rsidRPr="00237B85" w:rsidRDefault="008161EF" w:rsidP="001441D4">
            <w:pPr>
              <w:spacing w:after="0" w:line="240" w:lineRule="auto"/>
              <w:rPr>
                <w:rFonts w:ascii="Times New Roman" w:hAnsi="Times New Roman" w:cs="Times New Roman"/>
                <w:color w:val="000000" w:themeColor="text1"/>
                <w:sz w:val="20"/>
                <w:szCs w:val="20"/>
              </w:rPr>
            </w:pPr>
          </w:p>
        </w:tc>
        <w:tc>
          <w:tcPr>
            <w:tcW w:w="1701" w:type="dxa"/>
            <w:tcBorders>
              <w:left w:val="single" w:sz="4" w:space="0" w:color="000000"/>
              <w:right w:val="single" w:sz="4" w:space="0" w:color="000000"/>
            </w:tcBorders>
          </w:tcPr>
          <w:p w14:paraId="72EF35EF"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Dépenses engagées</w:t>
            </w:r>
          </w:p>
        </w:tc>
        <w:tc>
          <w:tcPr>
            <w:tcW w:w="5953" w:type="dxa"/>
            <w:tcBorders>
              <w:left w:val="single" w:sz="4" w:space="0" w:color="000000"/>
              <w:right w:val="single" w:sz="4" w:space="0" w:color="000000"/>
            </w:tcBorders>
          </w:tcPr>
          <w:p w14:paraId="5DF4F8C6" w14:textId="24B4B54B"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Toutes les dépen</w:t>
            </w:r>
            <w:r w:rsidR="00D04203" w:rsidRPr="00237B85">
              <w:rPr>
                <w:rFonts w:ascii="Times New Roman" w:hAnsi="Times New Roman"/>
                <w:color w:val="000000" w:themeColor="text1"/>
                <w:sz w:val="20"/>
              </w:rPr>
              <w:t>ses techniques engagées par l’O</w:t>
            </w:r>
            <w:r w:rsidRPr="00237B85">
              <w:rPr>
                <w:rFonts w:ascii="Times New Roman" w:hAnsi="Times New Roman"/>
                <w:color w:val="000000" w:themeColor="text1"/>
                <w:sz w:val="20"/>
              </w:rPr>
              <w:t>RPS durant la période de référence, en comptabilité d’exercice.</w:t>
            </w:r>
          </w:p>
          <w:p w14:paraId="19F8B3F3"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p>
        </w:tc>
      </w:tr>
      <w:tr w:rsidR="00E73B82" w:rsidRPr="00237B85" w14:paraId="61CC7694" w14:textId="77777777" w:rsidTr="001441D4">
        <w:tc>
          <w:tcPr>
            <w:tcW w:w="1526" w:type="dxa"/>
            <w:tcBorders>
              <w:top w:val="single" w:sz="4" w:space="0" w:color="auto"/>
              <w:left w:val="single" w:sz="4" w:space="0" w:color="auto"/>
              <w:bottom w:val="single" w:sz="4" w:space="0" w:color="auto"/>
              <w:right w:val="single" w:sz="4" w:space="0" w:color="auto"/>
            </w:tcBorders>
          </w:tcPr>
          <w:p w14:paraId="56E84D2F" w14:textId="6B9C0429" w:rsidR="008161EF" w:rsidRPr="00237B85" w:rsidDel="00A75F78" w:rsidRDefault="008161EF" w:rsidP="00D55488">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C0</w:t>
            </w:r>
            <w:r w:rsidR="00D55488" w:rsidRPr="00237B85">
              <w:rPr>
                <w:rFonts w:ascii="Times New Roman" w:hAnsi="Times New Roman"/>
                <w:color w:val="000000" w:themeColor="text1"/>
                <w:sz w:val="20"/>
              </w:rPr>
              <w:t>080</w:t>
            </w:r>
            <w:r w:rsidRPr="00237B85">
              <w:rPr>
                <w:rFonts w:ascii="Times New Roman" w:hAnsi="Times New Roman"/>
                <w:color w:val="000000" w:themeColor="text1"/>
                <w:sz w:val="20"/>
              </w:rPr>
              <w:t>/R0</w:t>
            </w:r>
            <w:r w:rsidR="00D55488" w:rsidRPr="00237B85">
              <w:rPr>
                <w:rFonts w:ascii="Times New Roman" w:hAnsi="Times New Roman"/>
                <w:color w:val="000000" w:themeColor="text1"/>
                <w:sz w:val="20"/>
              </w:rPr>
              <w:t>140</w:t>
            </w:r>
            <w:r w:rsidRPr="00237B85">
              <w:rPr>
                <w:rFonts w:ascii="Times New Roman" w:hAnsi="Times New Roman"/>
                <w:color w:val="000000" w:themeColor="text1"/>
                <w:sz w:val="20"/>
              </w:rPr>
              <w:t>–R</w:t>
            </w:r>
            <w:r w:rsidR="00D55488" w:rsidRPr="00237B85">
              <w:rPr>
                <w:rFonts w:ascii="Times New Roman" w:hAnsi="Times New Roman"/>
                <w:color w:val="000000" w:themeColor="text1"/>
                <w:sz w:val="20"/>
              </w:rPr>
              <w:t>0300</w:t>
            </w:r>
          </w:p>
        </w:tc>
        <w:tc>
          <w:tcPr>
            <w:tcW w:w="1701" w:type="dxa"/>
            <w:tcBorders>
              <w:top w:val="single" w:sz="4" w:space="0" w:color="auto"/>
              <w:left w:val="single" w:sz="4" w:space="0" w:color="auto"/>
              <w:bottom w:val="single" w:sz="4" w:space="0" w:color="auto"/>
              <w:right w:val="single" w:sz="4" w:space="0" w:color="auto"/>
            </w:tcBorders>
          </w:tcPr>
          <w:p w14:paraId="28E5F48B" w14:textId="77777777" w:rsidR="008161EF" w:rsidRPr="00237B85" w:rsidRDefault="008161EF" w:rsidP="001441D4">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Incapacité - Invalidité</w:t>
            </w:r>
          </w:p>
        </w:tc>
        <w:tc>
          <w:tcPr>
            <w:tcW w:w="5953" w:type="dxa"/>
            <w:tcBorders>
              <w:top w:val="single" w:sz="4" w:space="0" w:color="auto"/>
              <w:left w:val="single" w:sz="4" w:space="0" w:color="auto"/>
              <w:bottom w:val="single" w:sz="4" w:space="0" w:color="auto"/>
              <w:right w:val="single" w:sz="4" w:space="0" w:color="auto"/>
            </w:tcBorders>
          </w:tcPr>
          <w:p w14:paraId="18E344A0" w14:textId="77777777" w:rsidR="008161EF" w:rsidRPr="00237B85" w:rsidRDefault="008161EF" w:rsidP="001441D4">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Valeurs prises par les différents postes pour les garanties accessoires (hors acceptations) d’incapacité et invalidité</w:t>
            </w:r>
          </w:p>
        </w:tc>
      </w:tr>
      <w:tr w:rsidR="00E73B82" w:rsidRPr="00237B85" w14:paraId="63A362B0" w14:textId="77777777" w:rsidTr="001441D4">
        <w:tc>
          <w:tcPr>
            <w:tcW w:w="1526" w:type="dxa"/>
            <w:tcBorders>
              <w:top w:val="single" w:sz="4" w:space="0" w:color="auto"/>
              <w:left w:val="single" w:sz="4" w:space="0" w:color="auto"/>
              <w:bottom w:val="single" w:sz="4" w:space="0" w:color="auto"/>
              <w:right w:val="single" w:sz="4" w:space="0" w:color="auto"/>
            </w:tcBorders>
          </w:tcPr>
          <w:p w14:paraId="7BEDFE67" w14:textId="3DA4A798" w:rsidR="008161EF" w:rsidRPr="00237B85" w:rsidDel="00A75F78" w:rsidRDefault="008161EF" w:rsidP="00D55488">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C0</w:t>
            </w:r>
            <w:r w:rsidR="00D55488" w:rsidRPr="00237B85">
              <w:rPr>
                <w:rFonts w:ascii="Times New Roman" w:hAnsi="Times New Roman"/>
                <w:color w:val="000000" w:themeColor="text1"/>
                <w:sz w:val="20"/>
              </w:rPr>
              <w:t>090</w:t>
            </w:r>
            <w:r w:rsidRPr="00237B85">
              <w:rPr>
                <w:rFonts w:ascii="Times New Roman" w:hAnsi="Times New Roman"/>
                <w:color w:val="000000" w:themeColor="text1"/>
                <w:sz w:val="20"/>
              </w:rPr>
              <w:t>/R</w:t>
            </w:r>
            <w:r w:rsidR="00D55488" w:rsidRPr="00237B85">
              <w:rPr>
                <w:rFonts w:ascii="Times New Roman" w:hAnsi="Times New Roman"/>
                <w:color w:val="000000" w:themeColor="text1"/>
                <w:sz w:val="20"/>
              </w:rPr>
              <w:t>014</w:t>
            </w:r>
            <w:r w:rsidRPr="00237B85">
              <w:rPr>
                <w:rFonts w:ascii="Times New Roman" w:hAnsi="Times New Roman"/>
                <w:color w:val="000000" w:themeColor="text1"/>
                <w:sz w:val="20"/>
              </w:rPr>
              <w:t>0–R</w:t>
            </w:r>
            <w:r w:rsidR="00D55488" w:rsidRPr="00237B85">
              <w:rPr>
                <w:rFonts w:ascii="Times New Roman" w:hAnsi="Times New Roman"/>
                <w:color w:val="000000" w:themeColor="text1"/>
                <w:sz w:val="20"/>
              </w:rPr>
              <w:t>0300</w:t>
            </w:r>
          </w:p>
        </w:tc>
        <w:tc>
          <w:tcPr>
            <w:tcW w:w="1701" w:type="dxa"/>
            <w:tcBorders>
              <w:top w:val="single" w:sz="4" w:space="0" w:color="auto"/>
              <w:left w:val="single" w:sz="4" w:space="0" w:color="auto"/>
              <w:bottom w:val="single" w:sz="4" w:space="0" w:color="auto"/>
              <w:right w:val="single" w:sz="4" w:space="0" w:color="auto"/>
            </w:tcBorders>
          </w:tcPr>
          <w:p w14:paraId="7445B22C" w14:textId="77777777" w:rsidR="008161EF" w:rsidRPr="00237B85" w:rsidRDefault="008161EF" w:rsidP="001441D4">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Autres</w:t>
            </w:r>
          </w:p>
        </w:tc>
        <w:tc>
          <w:tcPr>
            <w:tcW w:w="5953" w:type="dxa"/>
            <w:tcBorders>
              <w:top w:val="single" w:sz="4" w:space="0" w:color="auto"/>
              <w:left w:val="single" w:sz="4" w:space="0" w:color="auto"/>
              <w:bottom w:val="single" w:sz="4" w:space="0" w:color="auto"/>
              <w:right w:val="single" w:sz="4" w:space="0" w:color="auto"/>
            </w:tcBorders>
          </w:tcPr>
          <w:p w14:paraId="30D12C75" w14:textId="77777777" w:rsidR="008161EF" w:rsidRPr="00237B85" w:rsidRDefault="008161EF" w:rsidP="001441D4">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Valeurs prises par les différents postes pour les autres garanties accessoires (hors acceptation)</w:t>
            </w:r>
          </w:p>
        </w:tc>
      </w:tr>
      <w:tr w:rsidR="00E73B82" w:rsidRPr="00237B85" w14:paraId="6B1A87F1" w14:textId="77777777" w:rsidTr="001441D4">
        <w:tc>
          <w:tcPr>
            <w:tcW w:w="1526" w:type="dxa"/>
            <w:tcBorders>
              <w:top w:val="single" w:sz="4" w:space="0" w:color="auto"/>
              <w:left w:val="single" w:sz="4" w:space="0" w:color="auto"/>
              <w:bottom w:val="single" w:sz="4" w:space="0" w:color="auto"/>
              <w:right w:val="single" w:sz="4" w:space="0" w:color="auto"/>
            </w:tcBorders>
          </w:tcPr>
          <w:p w14:paraId="0E0DE025" w14:textId="71A1FA0C" w:rsidR="008161EF" w:rsidRPr="00237B85" w:rsidDel="00A75F78" w:rsidRDefault="008161EF" w:rsidP="00D55488">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C0</w:t>
            </w:r>
            <w:r w:rsidR="00D55488" w:rsidRPr="00237B85">
              <w:rPr>
                <w:rFonts w:ascii="Times New Roman" w:hAnsi="Times New Roman"/>
                <w:color w:val="000000" w:themeColor="text1"/>
                <w:sz w:val="20"/>
              </w:rPr>
              <w:t>100</w:t>
            </w:r>
            <w:r w:rsidRPr="00237B85">
              <w:rPr>
                <w:rFonts w:ascii="Times New Roman" w:hAnsi="Times New Roman"/>
                <w:color w:val="000000" w:themeColor="text1"/>
                <w:sz w:val="20"/>
              </w:rPr>
              <w:t>/R0</w:t>
            </w:r>
            <w:r w:rsidR="00D55488" w:rsidRPr="00237B85">
              <w:rPr>
                <w:rFonts w:ascii="Times New Roman" w:hAnsi="Times New Roman"/>
                <w:color w:val="000000" w:themeColor="text1"/>
                <w:sz w:val="20"/>
              </w:rPr>
              <w:t>140</w:t>
            </w:r>
            <w:r w:rsidRPr="00237B85">
              <w:rPr>
                <w:rFonts w:ascii="Times New Roman" w:hAnsi="Times New Roman"/>
                <w:color w:val="000000" w:themeColor="text1"/>
                <w:sz w:val="20"/>
              </w:rPr>
              <w:t>–R</w:t>
            </w:r>
            <w:r w:rsidR="00D55488" w:rsidRPr="00237B85">
              <w:rPr>
                <w:rFonts w:ascii="Times New Roman" w:hAnsi="Times New Roman"/>
                <w:color w:val="000000" w:themeColor="text1"/>
                <w:sz w:val="20"/>
              </w:rPr>
              <w:t>0300</w:t>
            </w:r>
          </w:p>
        </w:tc>
        <w:tc>
          <w:tcPr>
            <w:tcW w:w="1701" w:type="dxa"/>
            <w:tcBorders>
              <w:top w:val="single" w:sz="4" w:space="0" w:color="auto"/>
              <w:left w:val="single" w:sz="4" w:space="0" w:color="auto"/>
              <w:bottom w:val="single" w:sz="4" w:space="0" w:color="auto"/>
              <w:right w:val="single" w:sz="4" w:space="0" w:color="auto"/>
            </w:tcBorders>
          </w:tcPr>
          <w:p w14:paraId="455C95A0" w14:textId="77777777" w:rsidR="008161EF" w:rsidRPr="00237B85" w:rsidRDefault="008161EF" w:rsidP="001441D4">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 xml:space="preserve">Acceptations – Incapacité – Invalidité </w:t>
            </w:r>
          </w:p>
        </w:tc>
        <w:tc>
          <w:tcPr>
            <w:tcW w:w="5953" w:type="dxa"/>
            <w:tcBorders>
              <w:top w:val="single" w:sz="4" w:space="0" w:color="auto"/>
              <w:left w:val="single" w:sz="4" w:space="0" w:color="auto"/>
              <w:bottom w:val="single" w:sz="4" w:space="0" w:color="auto"/>
              <w:right w:val="single" w:sz="4" w:space="0" w:color="auto"/>
            </w:tcBorders>
          </w:tcPr>
          <w:p w14:paraId="0BE4FF15" w14:textId="77777777" w:rsidR="008161EF" w:rsidRPr="00237B85" w:rsidRDefault="008161EF" w:rsidP="001441D4">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Valeurs prises par les différents postes pour les acceptations de garanties accessoires d’incapacité et invalidité</w:t>
            </w:r>
          </w:p>
        </w:tc>
      </w:tr>
      <w:tr w:rsidR="00E73B82" w:rsidRPr="00237B85" w14:paraId="690A49E9" w14:textId="77777777" w:rsidTr="001441D4">
        <w:tc>
          <w:tcPr>
            <w:tcW w:w="1526" w:type="dxa"/>
            <w:tcBorders>
              <w:top w:val="single" w:sz="4" w:space="0" w:color="auto"/>
              <w:left w:val="single" w:sz="4" w:space="0" w:color="auto"/>
              <w:bottom w:val="single" w:sz="4" w:space="0" w:color="auto"/>
              <w:right w:val="single" w:sz="4" w:space="0" w:color="auto"/>
            </w:tcBorders>
          </w:tcPr>
          <w:p w14:paraId="73DE150B" w14:textId="7F6AB504" w:rsidR="008161EF" w:rsidRPr="00237B85" w:rsidDel="00A75F78" w:rsidRDefault="008161EF" w:rsidP="00D55488">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C0</w:t>
            </w:r>
            <w:r w:rsidR="00D55488" w:rsidRPr="00237B85">
              <w:rPr>
                <w:rFonts w:ascii="Times New Roman" w:hAnsi="Times New Roman"/>
                <w:color w:val="000000" w:themeColor="text1"/>
                <w:sz w:val="20"/>
              </w:rPr>
              <w:t>110</w:t>
            </w:r>
            <w:r w:rsidRPr="00237B85">
              <w:rPr>
                <w:rFonts w:ascii="Times New Roman" w:hAnsi="Times New Roman"/>
                <w:color w:val="000000" w:themeColor="text1"/>
                <w:sz w:val="20"/>
              </w:rPr>
              <w:t>/R0</w:t>
            </w:r>
            <w:r w:rsidR="00D55488" w:rsidRPr="00237B85">
              <w:rPr>
                <w:rFonts w:ascii="Times New Roman" w:hAnsi="Times New Roman"/>
                <w:color w:val="000000" w:themeColor="text1"/>
                <w:sz w:val="20"/>
              </w:rPr>
              <w:t>140</w:t>
            </w:r>
            <w:r w:rsidRPr="00237B85">
              <w:rPr>
                <w:rFonts w:ascii="Times New Roman" w:hAnsi="Times New Roman"/>
                <w:color w:val="000000" w:themeColor="text1"/>
                <w:sz w:val="20"/>
              </w:rPr>
              <w:t>–R</w:t>
            </w:r>
            <w:r w:rsidR="00D55488" w:rsidRPr="00237B85">
              <w:rPr>
                <w:rFonts w:ascii="Times New Roman" w:hAnsi="Times New Roman"/>
                <w:color w:val="000000" w:themeColor="text1"/>
                <w:sz w:val="20"/>
              </w:rPr>
              <w:t>0300</w:t>
            </w:r>
          </w:p>
        </w:tc>
        <w:tc>
          <w:tcPr>
            <w:tcW w:w="1701" w:type="dxa"/>
            <w:tcBorders>
              <w:top w:val="single" w:sz="4" w:space="0" w:color="auto"/>
              <w:left w:val="single" w:sz="4" w:space="0" w:color="auto"/>
              <w:bottom w:val="single" w:sz="4" w:space="0" w:color="auto"/>
              <w:right w:val="single" w:sz="4" w:space="0" w:color="auto"/>
            </w:tcBorders>
          </w:tcPr>
          <w:p w14:paraId="29DA47CD" w14:textId="77777777" w:rsidR="008161EF" w:rsidRPr="00237B85" w:rsidRDefault="008161EF" w:rsidP="001441D4">
            <w:pPr>
              <w:spacing w:after="0" w:line="240" w:lineRule="auto"/>
              <w:rPr>
                <w:rFonts w:ascii="Times New Roman" w:hAnsi="Times New Roman"/>
                <w:color w:val="000000" w:themeColor="text1"/>
                <w:sz w:val="20"/>
              </w:rPr>
            </w:pPr>
            <w:r w:rsidRPr="00237B85">
              <w:rPr>
                <w:rFonts w:ascii="Times New Roman" w:hAnsi="Times New Roman"/>
                <w:color w:val="000000" w:themeColor="text1"/>
                <w:sz w:val="20"/>
              </w:rPr>
              <w:t xml:space="preserve">Acceptations – autres </w:t>
            </w:r>
          </w:p>
        </w:tc>
        <w:tc>
          <w:tcPr>
            <w:tcW w:w="5953" w:type="dxa"/>
            <w:tcBorders>
              <w:top w:val="single" w:sz="4" w:space="0" w:color="auto"/>
              <w:left w:val="single" w:sz="4" w:space="0" w:color="auto"/>
              <w:bottom w:val="single" w:sz="4" w:space="0" w:color="auto"/>
              <w:right w:val="single" w:sz="4" w:space="0" w:color="auto"/>
            </w:tcBorders>
          </w:tcPr>
          <w:p w14:paraId="3601403E" w14:textId="513FE255" w:rsidR="008161EF" w:rsidRPr="00237B85" w:rsidRDefault="008161EF" w:rsidP="001441D4">
            <w:pPr>
              <w:spacing w:after="0" w:line="240" w:lineRule="auto"/>
              <w:jc w:val="both"/>
              <w:rPr>
                <w:rFonts w:ascii="Times New Roman" w:hAnsi="Times New Roman"/>
                <w:color w:val="000000" w:themeColor="text1"/>
                <w:sz w:val="20"/>
              </w:rPr>
            </w:pPr>
            <w:r w:rsidRPr="00237B85">
              <w:rPr>
                <w:rFonts w:ascii="Times New Roman" w:hAnsi="Times New Roman"/>
                <w:color w:val="000000" w:themeColor="text1"/>
                <w:sz w:val="20"/>
              </w:rPr>
              <w:t>Valeurs prises par les différents postes pour les acceptation</w:t>
            </w:r>
            <w:r w:rsidR="00C42C88" w:rsidRPr="00237B85">
              <w:rPr>
                <w:rFonts w:ascii="Times New Roman" w:hAnsi="Times New Roman"/>
                <w:color w:val="000000" w:themeColor="text1"/>
                <w:sz w:val="20"/>
              </w:rPr>
              <w:t>s</w:t>
            </w:r>
            <w:r w:rsidRPr="00237B85">
              <w:rPr>
                <w:rFonts w:ascii="Times New Roman" w:hAnsi="Times New Roman"/>
                <w:color w:val="000000" w:themeColor="text1"/>
                <w:sz w:val="20"/>
              </w:rPr>
              <w:t xml:space="preserve"> d’autres garanties accessoires </w:t>
            </w:r>
          </w:p>
        </w:tc>
      </w:tr>
      <w:tr w:rsidR="008161EF" w:rsidRPr="00237B85" w14:paraId="5E88B05E" w14:textId="77777777" w:rsidTr="001441D4">
        <w:tc>
          <w:tcPr>
            <w:tcW w:w="1526" w:type="dxa"/>
            <w:tcBorders>
              <w:top w:val="single" w:sz="4" w:space="0" w:color="auto"/>
              <w:left w:val="single" w:sz="4" w:space="0" w:color="auto"/>
              <w:bottom w:val="single" w:sz="4" w:space="0" w:color="auto"/>
              <w:right w:val="single" w:sz="4" w:space="0" w:color="auto"/>
            </w:tcBorders>
          </w:tcPr>
          <w:p w14:paraId="4AC2631C" w14:textId="09AE07DC" w:rsidR="008161EF" w:rsidRPr="00237B85" w:rsidRDefault="008161EF" w:rsidP="00D55488">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C0</w:t>
            </w:r>
            <w:r w:rsidR="00D55488" w:rsidRPr="00237B85">
              <w:rPr>
                <w:rFonts w:ascii="Times New Roman" w:hAnsi="Times New Roman"/>
                <w:color w:val="000000" w:themeColor="text1"/>
                <w:sz w:val="20"/>
              </w:rPr>
              <w:t>120</w:t>
            </w:r>
            <w:r w:rsidRPr="00237B85">
              <w:rPr>
                <w:rFonts w:ascii="Times New Roman" w:hAnsi="Times New Roman"/>
                <w:color w:val="000000" w:themeColor="text1"/>
                <w:sz w:val="20"/>
              </w:rPr>
              <w:t>/R01</w:t>
            </w:r>
            <w:r w:rsidR="00D55488" w:rsidRPr="00237B85">
              <w:rPr>
                <w:rFonts w:ascii="Times New Roman" w:hAnsi="Times New Roman"/>
                <w:color w:val="000000" w:themeColor="text1"/>
                <w:sz w:val="20"/>
              </w:rPr>
              <w:t>4</w:t>
            </w:r>
            <w:r w:rsidRPr="00237B85">
              <w:rPr>
                <w:rFonts w:ascii="Times New Roman" w:hAnsi="Times New Roman"/>
                <w:color w:val="000000" w:themeColor="text1"/>
                <w:sz w:val="20"/>
              </w:rPr>
              <w:t>0–R</w:t>
            </w:r>
            <w:r w:rsidR="00D55488" w:rsidRPr="00237B85">
              <w:rPr>
                <w:rFonts w:ascii="Times New Roman" w:hAnsi="Times New Roman"/>
                <w:color w:val="000000" w:themeColor="text1"/>
                <w:sz w:val="20"/>
              </w:rPr>
              <w:t>0300</w:t>
            </w:r>
          </w:p>
        </w:tc>
        <w:tc>
          <w:tcPr>
            <w:tcW w:w="1701" w:type="dxa"/>
            <w:tcBorders>
              <w:top w:val="single" w:sz="4" w:space="0" w:color="auto"/>
              <w:left w:val="single" w:sz="4" w:space="0" w:color="auto"/>
              <w:bottom w:val="single" w:sz="4" w:space="0" w:color="auto"/>
              <w:right w:val="single" w:sz="4" w:space="0" w:color="auto"/>
            </w:tcBorders>
          </w:tcPr>
          <w:p w14:paraId="1E60FF7E" w14:textId="77777777" w:rsidR="008161EF" w:rsidRPr="00237B85" w:rsidRDefault="008161EF" w:rsidP="001441D4">
            <w:pPr>
              <w:spacing w:after="0" w:line="240" w:lineRule="auto"/>
              <w:rPr>
                <w:rFonts w:ascii="Times New Roman" w:hAnsi="Times New Roman" w:cs="Times New Roman"/>
                <w:color w:val="000000" w:themeColor="text1"/>
                <w:sz w:val="20"/>
                <w:szCs w:val="20"/>
              </w:rPr>
            </w:pPr>
            <w:r w:rsidRPr="00237B85">
              <w:rPr>
                <w:rFonts w:ascii="Times New Roman" w:hAnsi="Times New Roman"/>
                <w:color w:val="000000" w:themeColor="text1"/>
                <w:sz w:val="20"/>
              </w:rPr>
              <w:t>Total</w:t>
            </w:r>
          </w:p>
        </w:tc>
        <w:tc>
          <w:tcPr>
            <w:tcW w:w="5953" w:type="dxa"/>
            <w:tcBorders>
              <w:top w:val="single" w:sz="4" w:space="0" w:color="auto"/>
              <w:left w:val="single" w:sz="4" w:space="0" w:color="auto"/>
              <w:bottom w:val="single" w:sz="4" w:space="0" w:color="auto"/>
              <w:right w:val="single" w:sz="4" w:space="0" w:color="auto"/>
            </w:tcBorders>
          </w:tcPr>
          <w:p w14:paraId="0A3641D8" w14:textId="77777777" w:rsidR="008161EF" w:rsidRPr="00237B85" w:rsidRDefault="008161EF" w:rsidP="001441D4">
            <w:pPr>
              <w:spacing w:after="0" w:line="240" w:lineRule="auto"/>
              <w:jc w:val="both"/>
              <w:rPr>
                <w:rFonts w:ascii="Times New Roman" w:hAnsi="Times New Roman" w:cs="Times New Roman"/>
                <w:color w:val="000000" w:themeColor="text1"/>
                <w:sz w:val="20"/>
                <w:szCs w:val="20"/>
              </w:rPr>
            </w:pPr>
            <w:r w:rsidRPr="00237B85">
              <w:rPr>
                <w:rFonts w:ascii="Times New Roman" w:hAnsi="Times New Roman"/>
                <w:color w:val="000000" w:themeColor="text1"/>
                <w:sz w:val="20"/>
              </w:rPr>
              <w:t>Total des différents postes pour toutes les garanties accessoires</w:t>
            </w:r>
          </w:p>
        </w:tc>
      </w:tr>
    </w:tbl>
    <w:p w14:paraId="792B6A8D" w14:textId="77777777" w:rsidR="008E6879" w:rsidRPr="00237B85" w:rsidRDefault="008E6879" w:rsidP="008E6879">
      <w:pPr>
        <w:spacing w:after="0" w:line="240" w:lineRule="auto"/>
        <w:ind w:left="-113"/>
        <w:jc w:val="both"/>
        <w:rPr>
          <w:rFonts w:ascii="Calibri" w:hAnsi="Calibri" w:cs="Calibri"/>
          <w:b/>
          <w:sz w:val="20"/>
        </w:rPr>
      </w:pPr>
    </w:p>
    <w:p w14:paraId="555B31E6" w14:textId="77777777" w:rsidR="009C6151" w:rsidRPr="00237B85" w:rsidRDefault="009C6151" w:rsidP="008E6879">
      <w:pPr>
        <w:spacing w:after="0" w:line="240" w:lineRule="auto"/>
        <w:ind w:left="-113"/>
        <w:jc w:val="both"/>
        <w:rPr>
          <w:rFonts w:ascii="Calibri" w:hAnsi="Calibri" w:cs="Calibri"/>
          <w:b/>
          <w:sz w:val="20"/>
        </w:rPr>
      </w:pPr>
    </w:p>
    <w:p w14:paraId="57DB6D14" w14:textId="408CB248" w:rsidR="00D04203" w:rsidRPr="00237B85" w:rsidRDefault="00D04203" w:rsidP="008E6879">
      <w:pPr>
        <w:spacing w:after="0" w:line="240" w:lineRule="auto"/>
        <w:ind w:left="-113"/>
        <w:jc w:val="both"/>
        <w:rPr>
          <w:rFonts w:ascii="Calibri" w:hAnsi="Calibri" w:cs="Calibri"/>
          <w:b/>
          <w:sz w:val="20"/>
        </w:rPr>
      </w:pPr>
      <w:r w:rsidRPr="00237B85">
        <w:rPr>
          <w:rFonts w:ascii="Calibri" w:hAnsi="Calibri" w:cs="Calibri"/>
          <w:b/>
          <w:sz w:val="20"/>
        </w:rPr>
        <w:t>Tableau</w:t>
      </w:r>
      <w:r w:rsidR="004C327A" w:rsidRPr="00237B85">
        <w:rPr>
          <w:rFonts w:ascii="Calibri" w:hAnsi="Calibri" w:cs="Calibri"/>
          <w:b/>
          <w:sz w:val="20"/>
        </w:rPr>
        <w:t>x</w:t>
      </w:r>
      <w:r w:rsidRPr="00237B85">
        <w:rPr>
          <w:rFonts w:ascii="Calibri" w:hAnsi="Calibri" w:cs="Calibri"/>
          <w:b/>
          <w:sz w:val="20"/>
        </w:rPr>
        <w:t xml:space="preserve"> de l’état</w:t>
      </w:r>
    </w:p>
    <w:p w14:paraId="0289992E" w14:textId="73C633B4" w:rsidR="008E6879" w:rsidRPr="00237B85" w:rsidRDefault="008E6879" w:rsidP="00D04203">
      <w:pPr>
        <w:spacing w:after="0" w:line="240" w:lineRule="auto"/>
        <w:jc w:val="both"/>
        <w:rPr>
          <w:rFonts w:ascii="Calibri" w:hAnsi="Calibri" w:cs="Calibri"/>
          <w:b/>
          <w:sz w:val="20"/>
        </w:rPr>
      </w:pPr>
    </w:p>
    <w:p w14:paraId="15BA70DD" w14:textId="1240EDC2" w:rsidR="008E6879" w:rsidRPr="00237B85" w:rsidRDefault="00787ED9" w:rsidP="00787ED9">
      <w:pPr>
        <w:spacing w:after="0" w:line="240" w:lineRule="auto"/>
        <w:ind w:left="-113"/>
        <w:jc w:val="both"/>
        <w:rPr>
          <w:rFonts w:ascii="Times New Roman" w:hAnsi="Times New Roman"/>
          <w:b/>
          <w:sz w:val="20"/>
        </w:rPr>
      </w:pPr>
      <w:r w:rsidRPr="00237B85">
        <w:rPr>
          <w:rFonts w:ascii="Times New Roman" w:hAnsi="Times New Roman"/>
          <w:b/>
          <w:noProof/>
          <w:sz w:val="20"/>
          <w:lang w:bidi="ar-SA"/>
        </w:rPr>
        <w:drawing>
          <wp:inline distT="0" distB="0" distL="0" distR="0" wp14:anchorId="4C88D1E0" wp14:editId="1027F0DF">
            <wp:extent cx="6393600" cy="2995200"/>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93600" cy="2995200"/>
                    </a:xfrm>
                    <a:prstGeom prst="rect">
                      <a:avLst/>
                    </a:prstGeom>
                  </pic:spPr>
                </pic:pic>
              </a:graphicData>
            </a:graphic>
          </wp:inline>
        </w:drawing>
      </w:r>
    </w:p>
    <w:p w14:paraId="5FEDD5E2" w14:textId="77777777" w:rsidR="00787ED9" w:rsidRPr="00237B85" w:rsidRDefault="00787ED9" w:rsidP="00787ED9">
      <w:pPr>
        <w:spacing w:after="0" w:line="240" w:lineRule="auto"/>
        <w:ind w:left="-113"/>
        <w:jc w:val="both"/>
        <w:rPr>
          <w:rFonts w:ascii="Times New Roman" w:hAnsi="Times New Roman"/>
          <w:b/>
          <w:sz w:val="20"/>
        </w:rPr>
      </w:pPr>
    </w:p>
    <w:p w14:paraId="59D9056D" w14:textId="5C7A4EED" w:rsidR="001F1217" w:rsidRDefault="00787ED9" w:rsidP="004C327A">
      <w:pPr>
        <w:spacing w:after="0" w:line="240" w:lineRule="auto"/>
        <w:ind w:left="-283"/>
        <w:jc w:val="both"/>
        <w:rPr>
          <w:rFonts w:ascii="Times New Roman" w:hAnsi="Times New Roman"/>
          <w:b/>
          <w:sz w:val="20"/>
        </w:rPr>
      </w:pPr>
      <w:r w:rsidRPr="00237B85">
        <w:rPr>
          <w:rFonts w:ascii="Times New Roman" w:hAnsi="Times New Roman"/>
          <w:b/>
          <w:noProof/>
          <w:sz w:val="20"/>
          <w:lang w:bidi="ar-SA"/>
        </w:rPr>
        <w:lastRenderedPageBreak/>
        <w:drawing>
          <wp:inline distT="0" distB="0" distL="0" distR="0" wp14:anchorId="4570472D" wp14:editId="2A656D89">
            <wp:extent cx="5644800" cy="3445200"/>
            <wp:effectExtent l="0" t="0" r="0"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44800" cy="3445200"/>
                    </a:xfrm>
                    <a:prstGeom prst="rect">
                      <a:avLst/>
                    </a:prstGeom>
                  </pic:spPr>
                </pic:pic>
              </a:graphicData>
            </a:graphic>
          </wp:inline>
        </w:drawing>
      </w:r>
    </w:p>
    <w:p w14:paraId="4CA18E00" w14:textId="1ABBCDEC" w:rsidR="001F1217" w:rsidRDefault="001F1217" w:rsidP="00D04203">
      <w:pPr>
        <w:spacing w:after="0" w:line="240" w:lineRule="auto"/>
        <w:jc w:val="both"/>
        <w:rPr>
          <w:rFonts w:ascii="Times New Roman" w:hAnsi="Times New Roman"/>
          <w:b/>
          <w:sz w:val="20"/>
        </w:rPr>
      </w:pPr>
    </w:p>
    <w:p w14:paraId="4BE891CE" w14:textId="56CEE053" w:rsidR="001F1217" w:rsidRPr="00D04203" w:rsidRDefault="001F1217" w:rsidP="00D04203">
      <w:pPr>
        <w:spacing w:after="0" w:line="240" w:lineRule="auto"/>
        <w:jc w:val="both"/>
        <w:rPr>
          <w:rFonts w:ascii="Times New Roman" w:hAnsi="Times New Roman"/>
          <w:b/>
          <w:sz w:val="20"/>
        </w:rPr>
      </w:pPr>
    </w:p>
    <w:sectPr w:rsidR="001F1217" w:rsidRPr="00D04203"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B3907" w14:textId="77777777" w:rsidR="00185A94" w:rsidRDefault="00185A94" w:rsidP="0051516F">
      <w:pPr>
        <w:spacing w:after="0" w:line="240" w:lineRule="auto"/>
      </w:pPr>
      <w:r>
        <w:separator/>
      </w:r>
    </w:p>
  </w:endnote>
  <w:endnote w:type="continuationSeparator" w:id="0">
    <w:p w14:paraId="731FEE38" w14:textId="77777777" w:rsidR="00185A94" w:rsidRDefault="00185A94"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E8675" w14:textId="77777777" w:rsidR="00185A94" w:rsidRDefault="00185A94" w:rsidP="0051516F">
      <w:pPr>
        <w:spacing w:after="0" w:line="240" w:lineRule="auto"/>
      </w:pPr>
      <w:r>
        <w:separator/>
      </w:r>
    </w:p>
  </w:footnote>
  <w:footnote w:type="continuationSeparator" w:id="0">
    <w:p w14:paraId="48D248CA" w14:textId="77777777" w:rsidR="00185A94" w:rsidRDefault="00185A94"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1858"/>
    <w:rsid w:val="000A20C4"/>
    <w:rsid w:val="000A21AE"/>
    <w:rsid w:val="000A55AA"/>
    <w:rsid w:val="000A66DC"/>
    <w:rsid w:val="000B1310"/>
    <w:rsid w:val="000C45A0"/>
    <w:rsid w:val="000C4A9C"/>
    <w:rsid w:val="000C6BAE"/>
    <w:rsid w:val="000D2E4C"/>
    <w:rsid w:val="000D3256"/>
    <w:rsid w:val="000D4830"/>
    <w:rsid w:val="000D7BD0"/>
    <w:rsid w:val="000E3B15"/>
    <w:rsid w:val="000F1290"/>
    <w:rsid w:val="000F4484"/>
    <w:rsid w:val="000F4F41"/>
    <w:rsid w:val="0010016B"/>
    <w:rsid w:val="001062B8"/>
    <w:rsid w:val="0010649D"/>
    <w:rsid w:val="0010788F"/>
    <w:rsid w:val="0011455D"/>
    <w:rsid w:val="00117DA1"/>
    <w:rsid w:val="00124DC1"/>
    <w:rsid w:val="0012637F"/>
    <w:rsid w:val="00126B85"/>
    <w:rsid w:val="00132A41"/>
    <w:rsid w:val="001441D4"/>
    <w:rsid w:val="00144777"/>
    <w:rsid w:val="00157CC7"/>
    <w:rsid w:val="001635A8"/>
    <w:rsid w:val="00166F34"/>
    <w:rsid w:val="001716A8"/>
    <w:rsid w:val="0017378A"/>
    <w:rsid w:val="00175AA7"/>
    <w:rsid w:val="00180169"/>
    <w:rsid w:val="00180D7E"/>
    <w:rsid w:val="00182441"/>
    <w:rsid w:val="00182F92"/>
    <w:rsid w:val="00185A94"/>
    <w:rsid w:val="00187BC4"/>
    <w:rsid w:val="0019116F"/>
    <w:rsid w:val="0019271B"/>
    <w:rsid w:val="0019645C"/>
    <w:rsid w:val="001A6891"/>
    <w:rsid w:val="001B2D41"/>
    <w:rsid w:val="001B32BC"/>
    <w:rsid w:val="001B5A71"/>
    <w:rsid w:val="001B67DD"/>
    <w:rsid w:val="001D06F5"/>
    <w:rsid w:val="001D0DE2"/>
    <w:rsid w:val="001D212F"/>
    <w:rsid w:val="001D2292"/>
    <w:rsid w:val="001D3D3D"/>
    <w:rsid w:val="001D4914"/>
    <w:rsid w:val="001E2E9D"/>
    <w:rsid w:val="001E7E5D"/>
    <w:rsid w:val="001F1217"/>
    <w:rsid w:val="001F33AD"/>
    <w:rsid w:val="002037B9"/>
    <w:rsid w:val="0020511C"/>
    <w:rsid w:val="0020548A"/>
    <w:rsid w:val="0020581A"/>
    <w:rsid w:val="00213DFA"/>
    <w:rsid w:val="00214026"/>
    <w:rsid w:val="0022080E"/>
    <w:rsid w:val="00223ABA"/>
    <w:rsid w:val="002247D6"/>
    <w:rsid w:val="00226AF2"/>
    <w:rsid w:val="00235E62"/>
    <w:rsid w:val="00237B85"/>
    <w:rsid w:val="00240D74"/>
    <w:rsid w:val="00241EF2"/>
    <w:rsid w:val="002447AA"/>
    <w:rsid w:val="0025281F"/>
    <w:rsid w:val="00262318"/>
    <w:rsid w:val="00262375"/>
    <w:rsid w:val="00266BEC"/>
    <w:rsid w:val="00270A08"/>
    <w:rsid w:val="00272B7C"/>
    <w:rsid w:val="00276645"/>
    <w:rsid w:val="00276C4C"/>
    <w:rsid w:val="00284994"/>
    <w:rsid w:val="0028500E"/>
    <w:rsid w:val="00286AA4"/>
    <w:rsid w:val="00291673"/>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0E26"/>
    <w:rsid w:val="00325F40"/>
    <w:rsid w:val="00330A0E"/>
    <w:rsid w:val="003316D5"/>
    <w:rsid w:val="003327D2"/>
    <w:rsid w:val="00334E4B"/>
    <w:rsid w:val="00344A73"/>
    <w:rsid w:val="0034585D"/>
    <w:rsid w:val="00345A4E"/>
    <w:rsid w:val="003466C0"/>
    <w:rsid w:val="003506B2"/>
    <w:rsid w:val="00352D31"/>
    <w:rsid w:val="0036363B"/>
    <w:rsid w:val="00380326"/>
    <w:rsid w:val="003854FB"/>
    <w:rsid w:val="003871CE"/>
    <w:rsid w:val="00390330"/>
    <w:rsid w:val="0039140E"/>
    <w:rsid w:val="0039387E"/>
    <w:rsid w:val="00393DCD"/>
    <w:rsid w:val="003A149C"/>
    <w:rsid w:val="003A1841"/>
    <w:rsid w:val="003A207D"/>
    <w:rsid w:val="003A7CA4"/>
    <w:rsid w:val="003B2B5D"/>
    <w:rsid w:val="003B315C"/>
    <w:rsid w:val="003B3EC6"/>
    <w:rsid w:val="003B5C85"/>
    <w:rsid w:val="003C09CC"/>
    <w:rsid w:val="003C27DA"/>
    <w:rsid w:val="003C60E6"/>
    <w:rsid w:val="003D2920"/>
    <w:rsid w:val="003D361D"/>
    <w:rsid w:val="003D56C4"/>
    <w:rsid w:val="003D5D09"/>
    <w:rsid w:val="003E0378"/>
    <w:rsid w:val="003E0D32"/>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481E"/>
    <w:rsid w:val="00457489"/>
    <w:rsid w:val="00460B44"/>
    <w:rsid w:val="0046361A"/>
    <w:rsid w:val="00463B3E"/>
    <w:rsid w:val="00463F41"/>
    <w:rsid w:val="00464B85"/>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327A"/>
    <w:rsid w:val="004C5083"/>
    <w:rsid w:val="004D51A9"/>
    <w:rsid w:val="004D683A"/>
    <w:rsid w:val="004E2CD5"/>
    <w:rsid w:val="004E7A49"/>
    <w:rsid w:val="004F1DD8"/>
    <w:rsid w:val="004F2256"/>
    <w:rsid w:val="004F7035"/>
    <w:rsid w:val="004F7145"/>
    <w:rsid w:val="004F7860"/>
    <w:rsid w:val="00503D92"/>
    <w:rsid w:val="0051516F"/>
    <w:rsid w:val="00525199"/>
    <w:rsid w:val="00525538"/>
    <w:rsid w:val="005255A2"/>
    <w:rsid w:val="00525F28"/>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68D5"/>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45CE7"/>
    <w:rsid w:val="00651E3F"/>
    <w:rsid w:val="00653451"/>
    <w:rsid w:val="0067006B"/>
    <w:rsid w:val="006707A9"/>
    <w:rsid w:val="006746F6"/>
    <w:rsid w:val="00674FAB"/>
    <w:rsid w:val="00677115"/>
    <w:rsid w:val="00681AAB"/>
    <w:rsid w:val="006822AF"/>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14C8"/>
    <w:rsid w:val="007124A9"/>
    <w:rsid w:val="0071342B"/>
    <w:rsid w:val="00717C2D"/>
    <w:rsid w:val="0072092D"/>
    <w:rsid w:val="00724947"/>
    <w:rsid w:val="00734AA4"/>
    <w:rsid w:val="00741991"/>
    <w:rsid w:val="007435FF"/>
    <w:rsid w:val="00743B6B"/>
    <w:rsid w:val="0076289F"/>
    <w:rsid w:val="007700FA"/>
    <w:rsid w:val="00771597"/>
    <w:rsid w:val="00772673"/>
    <w:rsid w:val="00774358"/>
    <w:rsid w:val="007772EF"/>
    <w:rsid w:val="00777AEA"/>
    <w:rsid w:val="007834C8"/>
    <w:rsid w:val="00787ED9"/>
    <w:rsid w:val="00791304"/>
    <w:rsid w:val="007922EF"/>
    <w:rsid w:val="00793BC4"/>
    <w:rsid w:val="007A3B9F"/>
    <w:rsid w:val="007A4D0F"/>
    <w:rsid w:val="007B0187"/>
    <w:rsid w:val="007B38BB"/>
    <w:rsid w:val="007C2E95"/>
    <w:rsid w:val="007C51B5"/>
    <w:rsid w:val="007C59DC"/>
    <w:rsid w:val="007D2414"/>
    <w:rsid w:val="007D51B0"/>
    <w:rsid w:val="007E3D53"/>
    <w:rsid w:val="007E61F8"/>
    <w:rsid w:val="007F1DF0"/>
    <w:rsid w:val="00800E84"/>
    <w:rsid w:val="00803166"/>
    <w:rsid w:val="008077CC"/>
    <w:rsid w:val="00813D07"/>
    <w:rsid w:val="008146D3"/>
    <w:rsid w:val="008161EF"/>
    <w:rsid w:val="00823DDB"/>
    <w:rsid w:val="0082485F"/>
    <w:rsid w:val="00825BA0"/>
    <w:rsid w:val="00830094"/>
    <w:rsid w:val="008349EC"/>
    <w:rsid w:val="00837E57"/>
    <w:rsid w:val="008415AF"/>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0524"/>
    <w:rsid w:val="008B3312"/>
    <w:rsid w:val="008B4B0B"/>
    <w:rsid w:val="008B5455"/>
    <w:rsid w:val="008B5B64"/>
    <w:rsid w:val="008C4238"/>
    <w:rsid w:val="008D0186"/>
    <w:rsid w:val="008E0BDF"/>
    <w:rsid w:val="008E4B74"/>
    <w:rsid w:val="008E4C19"/>
    <w:rsid w:val="008E4D75"/>
    <w:rsid w:val="008E6879"/>
    <w:rsid w:val="008E7FB7"/>
    <w:rsid w:val="008F0FAD"/>
    <w:rsid w:val="008F1627"/>
    <w:rsid w:val="008F6A3E"/>
    <w:rsid w:val="0090087B"/>
    <w:rsid w:val="009016F2"/>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C6151"/>
    <w:rsid w:val="009D14BC"/>
    <w:rsid w:val="009D3D9E"/>
    <w:rsid w:val="009D74C4"/>
    <w:rsid w:val="009D7D95"/>
    <w:rsid w:val="009E4617"/>
    <w:rsid w:val="009E5725"/>
    <w:rsid w:val="009E7E1B"/>
    <w:rsid w:val="009F41F3"/>
    <w:rsid w:val="00A07329"/>
    <w:rsid w:val="00A07F19"/>
    <w:rsid w:val="00A25866"/>
    <w:rsid w:val="00A261B3"/>
    <w:rsid w:val="00A27E73"/>
    <w:rsid w:val="00A314F2"/>
    <w:rsid w:val="00A36D30"/>
    <w:rsid w:val="00A418E1"/>
    <w:rsid w:val="00A41C3B"/>
    <w:rsid w:val="00A46097"/>
    <w:rsid w:val="00A4650B"/>
    <w:rsid w:val="00A47885"/>
    <w:rsid w:val="00A63304"/>
    <w:rsid w:val="00A65703"/>
    <w:rsid w:val="00A741AB"/>
    <w:rsid w:val="00A75F78"/>
    <w:rsid w:val="00A80F3C"/>
    <w:rsid w:val="00A82A9F"/>
    <w:rsid w:val="00A84FD7"/>
    <w:rsid w:val="00A850E3"/>
    <w:rsid w:val="00A85140"/>
    <w:rsid w:val="00A85457"/>
    <w:rsid w:val="00A86581"/>
    <w:rsid w:val="00AA28EC"/>
    <w:rsid w:val="00AA7992"/>
    <w:rsid w:val="00AA7A36"/>
    <w:rsid w:val="00AB3236"/>
    <w:rsid w:val="00AC3357"/>
    <w:rsid w:val="00AC6C39"/>
    <w:rsid w:val="00AD4A46"/>
    <w:rsid w:val="00AD5867"/>
    <w:rsid w:val="00AE2109"/>
    <w:rsid w:val="00AE3A78"/>
    <w:rsid w:val="00AE65C0"/>
    <w:rsid w:val="00AF0B98"/>
    <w:rsid w:val="00AF2ABF"/>
    <w:rsid w:val="00B05B5B"/>
    <w:rsid w:val="00B14441"/>
    <w:rsid w:val="00B14D00"/>
    <w:rsid w:val="00B17730"/>
    <w:rsid w:val="00B227CF"/>
    <w:rsid w:val="00B26627"/>
    <w:rsid w:val="00B272F3"/>
    <w:rsid w:val="00B31C82"/>
    <w:rsid w:val="00B33FD1"/>
    <w:rsid w:val="00B34115"/>
    <w:rsid w:val="00B41DC2"/>
    <w:rsid w:val="00B446AA"/>
    <w:rsid w:val="00B508C7"/>
    <w:rsid w:val="00B53FAB"/>
    <w:rsid w:val="00B5555A"/>
    <w:rsid w:val="00B62424"/>
    <w:rsid w:val="00B64AFC"/>
    <w:rsid w:val="00B71AE5"/>
    <w:rsid w:val="00B72248"/>
    <w:rsid w:val="00B74AEE"/>
    <w:rsid w:val="00B837D9"/>
    <w:rsid w:val="00B90F65"/>
    <w:rsid w:val="00B91E57"/>
    <w:rsid w:val="00B91E68"/>
    <w:rsid w:val="00B97D0E"/>
    <w:rsid w:val="00BA3AB4"/>
    <w:rsid w:val="00BA5BC0"/>
    <w:rsid w:val="00BA6BC6"/>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CF5F1E"/>
    <w:rsid w:val="00D002C4"/>
    <w:rsid w:val="00D037B6"/>
    <w:rsid w:val="00D04203"/>
    <w:rsid w:val="00D04822"/>
    <w:rsid w:val="00D05F66"/>
    <w:rsid w:val="00D07DBF"/>
    <w:rsid w:val="00D16095"/>
    <w:rsid w:val="00D16A51"/>
    <w:rsid w:val="00D202B9"/>
    <w:rsid w:val="00D25415"/>
    <w:rsid w:val="00D42064"/>
    <w:rsid w:val="00D42F44"/>
    <w:rsid w:val="00D45508"/>
    <w:rsid w:val="00D52B61"/>
    <w:rsid w:val="00D543CF"/>
    <w:rsid w:val="00D55488"/>
    <w:rsid w:val="00D574F5"/>
    <w:rsid w:val="00D76F83"/>
    <w:rsid w:val="00D80E52"/>
    <w:rsid w:val="00D811EE"/>
    <w:rsid w:val="00D85511"/>
    <w:rsid w:val="00D86918"/>
    <w:rsid w:val="00D93828"/>
    <w:rsid w:val="00D95713"/>
    <w:rsid w:val="00D972F0"/>
    <w:rsid w:val="00DA6E2F"/>
    <w:rsid w:val="00DB4054"/>
    <w:rsid w:val="00DB7C64"/>
    <w:rsid w:val="00DC035A"/>
    <w:rsid w:val="00DC3E15"/>
    <w:rsid w:val="00DC4A4A"/>
    <w:rsid w:val="00DC6B56"/>
    <w:rsid w:val="00DD66F8"/>
    <w:rsid w:val="00DD73BA"/>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67A14"/>
    <w:rsid w:val="00E70031"/>
    <w:rsid w:val="00E7065F"/>
    <w:rsid w:val="00E73B82"/>
    <w:rsid w:val="00E83AEE"/>
    <w:rsid w:val="00E852D3"/>
    <w:rsid w:val="00E866C7"/>
    <w:rsid w:val="00E91144"/>
    <w:rsid w:val="00E947B4"/>
    <w:rsid w:val="00EA1390"/>
    <w:rsid w:val="00EA3F2D"/>
    <w:rsid w:val="00EA3F32"/>
    <w:rsid w:val="00EA499D"/>
    <w:rsid w:val="00EB043A"/>
    <w:rsid w:val="00EB240E"/>
    <w:rsid w:val="00EB37FF"/>
    <w:rsid w:val="00EC13B4"/>
    <w:rsid w:val="00ED3D91"/>
    <w:rsid w:val="00EE40A5"/>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72364"/>
    <w:rsid w:val="00F820E5"/>
    <w:rsid w:val="00F8243B"/>
    <w:rsid w:val="00F85A82"/>
    <w:rsid w:val="00F97A90"/>
    <w:rsid w:val="00FA0938"/>
    <w:rsid w:val="00FA1DA8"/>
    <w:rsid w:val="00FA2880"/>
    <w:rsid w:val="00FB3A64"/>
    <w:rsid w:val="00FB3BCA"/>
    <w:rsid w:val="00FB47AF"/>
    <w:rsid w:val="00FB78CE"/>
    <w:rsid w:val="00FD32FA"/>
    <w:rsid w:val="00FE274F"/>
    <w:rsid w:val="00FE5E8D"/>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93DD0483-0BAC-4324-8081-9F53BBCE5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7B30E7DF-4FEE-4938-911D-996AAEB97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6</Pages>
  <Words>2366</Words>
  <Characters>13017</Characters>
  <Application>Microsoft Office Word</Application>
  <DocSecurity>0</DocSecurity>
  <Lines>108</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PARE Kristel (DGSI DDSA)</cp:lastModifiedBy>
  <cp:revision>24</cp:revision>
  <dcterms:created xsi:type="dcterms:W3CDTF">2019-01-17T16:28:00Z</dcterms:created>
  <dcterms:modified xsi:type="dcterms:W3CDTF">2024-09-27T14:10:00Z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