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2F60" w14:textId="77777777" w:rsidR="00272186" w:rsidRDefault="00272186" w:rsidP="00272186">
      <w:pPr>
        <w:pStyle w:val="adresse-date"/>
        <w:tabs>
          <w:tab w:val="left" w:pos="5670"/>
          <w:tab w:val="left" w:pos="6804"/>
        </w:tabs>
        <w:spacing w:line="240" w:lineRule="auto"/>
      </w:pPr>
      <w:r>
        <w:rPr>
          <w:rFonts w:ascii="Arial" w:hAnsi="Arial" w:cs="Arial"/>
          <w:noProof/>
          <w:color w:val="1F497D"/>
          <w:sz w:val="22"/>
          <w:szCs w:val="22"/>
        </w:rPr>
        <w:drawing>
          <wp:inline distT="0" distB="0" distL="0" distR="0" wp14:anchorId="6AA372A3" wp14:editId="1B71CFC7">
            <wp:extent cx="1188720" cy="1173480"/>
            <wp:effectExtent l="0" t="0" r="0" b="7620"/>
            <wp:docPr id="8" name="Image 8" descr="cid:image002.png@01D65B54.23514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65B54.23514F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0BA12C55" w14:textId="77777777" w:rsidR="00272186" w:rsidRDefault="00272186" w:rsidP="00272186">
      <w:pPr>
        <w:pStyle w:val="adresse-date"/>
        <w:tabs>
          <w:tab w:val="left" w:pos="6237"/>
        </w:tabs>
        <w:spacing w:line="240" w:lineRule="auto"/>
        <w:rPr>
          <w:b/>
          <w:i/>
        </w:rPr>
      </w:pPr>
    </w:p>
    <w:tbl>
      <w:tblPr>
        <w:tblpPr w:leftFromText="141" w:rightFromText="141" w:vertAnchor="text" w:horzAnchor="margin" w:tblpY="-60"/>
        <w:tblW w:w="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167"/>
        <w:gridCol w:w="5670"/>
      </w:tblGrid>
      <w:tr w:rsidR="00272186" w14:paraId="447A68E4" w14:textId="77777777" w:rsidTr="00272186">
        <w:trPr>
          <w:cantSplit/>
          <w:trHeight w:hRule="exact" w:val="710"/>
        </w:trPr>
        <w:tc>
          <w:tcPr>
            <w:tcW w:w="4167" w:type="dxa"/>
            <w:hideMark/>
          </w:tcPr>
          <w:p w14:paraId="412E763F" w14:textId="77777777" w:rsidR="00272186" w:rsidRDefault="00272186">
            <w:pPr>
              <w:pStyle w:val="en-ttedirection"/>
              <w:spacing w:before="0"/>
              <w:jc w:val="center"/>
              <w:rPr>
                <w:b/>
              </w:rPr>
            </w:pPr>
            <w:r>
              <w:rPr>
                <w:b/>
              </w:rPr>
              <w:t>direction deS RESSOURCES HUMAINES ET DES MOYENS</w:t>
            </w:r>
          </w:p>
        </w:tc>
        <w:tc>
          <w:tcPr>
            <w:tcW w:w="5670" w:type="dxa"/>
          </w:tcPr>
          <w:p w14:paraId="2E7B1FA9" w14:textId="77777777" w:rsidR="00272186" w:rsidRDefault="00272186">
            <w:pPr>
              <w:pStyle w:val="en-ttedirection"/>
              <w:spacing w:before="0"/>
              <w:jc w:val="center"/>
              <w:rPr>
                <w:b/>
                <w:caps w:val="0"/>
              </w:rPr>
            </w:pPr>
          </w:p>
        </w:tc>
      </w:tr>
      <w:tr w:rsidR="00272186" w14:paraId="3E9DB3F0" w14:textId="77777777" w:rsidTr="00272186">
        <w:trPr>
          <w:cantSplit/>
          <w:trHeight w:hRule="exact" w:val="987"/>
        </w:trPr>
        <w:tc>
          <w:tcPr>
            <w:tcW w:w="4167" w:type="dxa"/>
          </w:tcPr>
          <w:p w14:paraId="2716CC25" w14:textId="77777777" w:rsidR="00272186" w:rsidRDefault="00272186">
            <w:pPr>
              <w:pStyle w:val="en-ttedirection"/>
              <w:spacing w:before="0"/>
              <w:jc w:val="center"/>
            </w:pPr>
            <w:r>
              <w:t>service d’ASSISTANCE, DE GESTION DES APPLICATIONS ET DE MAITRISE D'ouvrage</w:t>
            </w:r>
          </w:p>
          <w:p w14:paraId="30A26EB3" w14:textId="77777777" w:rsidR="00272186" w:rsidRDefault="00272186">
            <w:pPr>
              <w:pStyle w:val="en-ttedg"/>
              <w:jc w:val="center"/>
              <w:rPr>
                <w:caps w:val="0"/>
              </w:rPr>
            </w:pPr>
          </w:p>
          <w:p w14:paraId="627D98E6" w14:textId="77777777" w:rsidR="00272186" w:rsidRDefault="00272186">
            <w:pPr>
              <w:pStyle w:val="en-ttedg"/>
              <w:jc w:val="center"/>
              <w:rPr>
                <w:caps w:val="0"/>
              </w:rPr>
            </w:pPr>
          </w:p>
          <w:p w14:paraId="075FA186" w14:textId="77777777" w:rsidR="00272186" w:rsidRDefault="00272186">
            <w:pPr>
              <w:pStyle w:val="en-ttedg"/>
              <w:jc w:val="center"/>
              <w:rPr>
                <w:caps w:val="0"/>
              </w:rPr>
            </w:pPr>
          </w:p>
          <w:p w14:paraId="7AC44FB8" w14:textId="77777777" w:rsidR="00272186" w:rsidRDefault="00272186">
            <w:pPr>
              <w:pStyle w:val="en-ttedg"/>
              <w:jc w:val="center"/>
            </w:pPr>
          </w:p>
        </w:tc>
        <w:tc>
          <w:tcPr>
            <w:tcW w:w="5670" w:type="dxa"/>
          </w:tcPr>
          <w:p w14:paraId="58332EF8" w14:textId="77777777" w:rsidR="00272186" w:rsidRDefault="00272186">
            <w:pPr>
              <w:pStyle w:val="en-ttedirection"/>
              <w:spacing w:before="0"/>
              <w:jc w:val="center"/>
              <w:rPr>
                <w:rFonts w:ascii="Bookman Old Style" w:hAnsi="Bookman Old Style"/>
                <w:b/>
                <w:caps w:val="0"/>
                <w:sz w:val="28"/>
                <w:u w:val="single"/>
              </w:rPr>
            </w:pPr>
          </w:p>
        </w:tc>
      </w:tr>
    </w:tbl>
    <w:p w14:paraId="430CE1D8" w14:textId="05E24AA9" w:rsidR="00272186" w:rsidRDefault="00272186" w:rsidP="00272186">
      <w:pPr>
        <w:pStyle w:val="adresse-date"/>
        <w:tabs>
          <w:tab w:val="left" w:pos="6663"/>
          <w:tab w:val="left" w:pos="7088"/>
        </w:tabs>
        <w:spacing w:line="240" w:lineRule="auto"/>
        <w:jc w:val="right"/>
      </w:pPr>
      <w:r>
        <w:t xml:space="preserve">Paris, le </w:t>
      </w:r>
      <w:r w:rsidR="00BF0811">
        <w:t xml:space="preserve">24 </w:t>
      </w:r>
      <w:r w:rsidR="009F0374">
        <w:t>novembre</w:t>
      </w:r>
      <w:r>
        <w:t xml:space="preserve"> 202</w:t>
      </w:r>
      <w:r w:rsidR="009F0374">
        <w:t>5</w:t>
      </w:r>
    </w:p>
    <w:p w14:paraId="6040E545" w14:textId="77777777" w:rsidR="00272186" w:rsidRDefault="00272186" w:rsidP="00272186">
      <w:pPr>
        <w:pStyle w:val="adresse-date"/>
        <w:tabs>
          <w:tab w:val="left" w:pos="6237"/>
        </w:tabs>
        <w:spacing w:line="240" w:lineRule="auto"/>
        <w:rPr>
          <w:b/>
          <w:i/>
        </w:rPr>
      </w:pPr>
    </w:p>
    <w:p w14:paraId="34A8850C" w14:textId="77777777" w:rsidR="00272186" w:rsidRDefault="00272186" w:rsidP="00272186">
      <w:pPr>
        <w:pStyle w:val="adresse-date"/>
        <w:tabs>
          <w:tab w:val="left" w:pos="6237"/>
        </w:tabs>
        <w:spacing w:line="240" w:lineRule="auto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272186" w14:paraId="5C2D8BE8" w14:textId="77777777" w:rsidTr="00272186">
        <w:trPr>
          <w:trHeight w:val="57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004F64D" w14:textId="77777777" w:rsidR="00272186" w:rsidRDefault="00272186">
            <w:pPr>
              <w:pStyle w:val="adresse-date"/>
              <w:spacing w:line="240" w:lineRule="auto"/>
              <w:jc w:val="center"/>
              <w:rPr>
                <w:b/>
              </w:rPr>
            </w:pPr>
          </w:p>
          <w:p w14:paraId="1969B2C1" w14:textId="49D2E482" w:rsidR="00272186" w:rsidRDefault="00272186">
            <w:pPr>
              <w:pStyle w:val="adresse-date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 TECHNIQUE n°</w:t>
            </w:r>
            <w:r>
              <w:t> </w:t>
            </w:r>
            <w:r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9F0374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01</w:t>
            </w:r>
          </w:p>
          <w:p w14:paraId="06FB543C" w14:textId="3BB0C44D" w:rsidR="00272186" w:rsidRDefault="00272186">
            <w:pPr>
              <w:pStyle w:val="adresse-date"/>
              <w:spacing w:before="12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Version </w:t>
            </w:r>
            <w:r w:rsidR="009F0374">
              <w:rPr>
                <w:rFonts w:ascii="Arial" w:hAnsi="Arial" w:cs="Arial"/>
                <w:b/>
                <w:szCs w:val="24"/>
              </w:rPr>
              <w:t>Novem</w:t>
            </w:r>
            <w:r>
              <w:rPr>
                <w:rFonts w:ascii="Arial" w:hAnsi="Arial" w:cs="Arial"/>
                <w:b/>
                <w:szCs w:val="24"/>
              </w:rPr>
              <w:t>bre 202</w:t>
            </w:r>
            <w:r w:rsidR="009F0374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2DB2529" w14:textId="77777777" w:rsidR="00272186" w:rsidRDefault="00272186">
            <w:pPr>
              <w:pStyle w:val="adresse-date"/>
              <w:spacing w:line="240" w:lineRule="auto"/>
              <w:jc w:val="center"/>
              <w:rPr>
                <w:b/>
              </w:rPr>
            </w:pPr>
          </w:p>
        </w:tc>
      </w:tr>
    </w:tbl>
    <w:p w14:paraId="5A5D206A" w14:textId="77777777" w:rsidR="00272186" w:rsidRDefault="00272186" w:rsidP="00272186">
      <w:pPr>
        <w:tabs>
          <w:tab w:val="left" w:pos="4678"/>
        </w:tabs>
      </w:pPr>
    </w:p>
    <w:p w14:paraId="41B17A3E" w14:textId="77777777" w:rsidR="00272186" w:rsidRDefault="00272186" w:rsidP="00272186">
      <w:pPr>
        <w:tabs>
          <w:tab w:val="left" w:pos="4678"/>
        </w:tabs>
        <w:jc w:val="both"/>
      </w:pPr>
    </w:p>
    <w:p w14:paraId="50AB8067" w14:textId="77777777" w:rsidR="00272186" w:rsidRDefault="00272186" w:rsidP="00272186">
      <w:pPr>
        <w:tabs>
          <w:tab w:val="left" w:pos="851"/>
          <w:tab w:val="left" w:pos="4678"/>
        </w:tabs>
        <w:jc w:val="both"/>
      </w:pPr>
    </w:p>
    <w:p w14:paraId="5E69CE20" w14:textId="77777777" w:rsidR="00272186" w:rsidRDefault="00272186" w:rsidP="00272186">
      <w:pPr>
        <w:tabs>
          <w:tab w:val="left" w:pos="4678"/>
        </w:tabs>
        <w:jc w:val="both"/>
      </w:pPr>
    </w:p>
    <w:p w14:paraId="1C15923F" w14:textId="30ED2029" w:rsidR="00272186" w:rsidRDefault="00272186" w:rsidP="00272186">
      <w:pPr>
        <w:tabs>
          <w:tab w:val="left" w:pos="4678"/>
        </w:tabs>
        <w:ind w:left="851" w:hanging="851"/>
        <w:jc w:val="both"/>
        <w:rPr>
          <w:szCs w:val="24"/>
        </w:rPr>
      </w:pPr>
      <w:r>
        <w:rPr>
          <w:u w:val="single"/>
        </w:rPr>
        <w:t>Objet</w:t>
      </w:r>
      <w:r>
        <w:t xml:space="preserve"> : </w:t>
      </w:r>
      <w:bookmarkStart w:id="0" w:name="OLE_LINK1"/>
      <w:r>
        <w:tab/>
        <w:t xml:space="preserve">Précisions sur les modalités de remise en </w:t>
      </w:r>
      <w:r>
        <w:rPr>
          <w:b/>
        </w:rPr>
        <w:t>XBR</w:t>
      </w:r>
      <w:r w:rsidR="00B01F5B">
        <w:rPr>
          <w:b/>
        </w:rPr>
        <w:t>L</w:t>
      </w:r>
      <w:r w:rsidR="009F0374">
        <w:rPr>
          <w:b/>
        </w:rPr>
        <w:t xml:space="preserve"> </w:t>
      </w:r>
      <w:r>
        <w:t xml:space="preserve">du reporting des </w:t>
      </w:r>
      <w:r>
        <w:rPr>
          <w:i/>
        </w:rPr>
        <w:t>templates</w:t>
      </w:r>
      <w:r>
        <w:t xml:space="preserve"> pour le calcul des contributions </w:t>
      </w:r>
      <w:r>
        <w:rPr>
          <w:i/>
        </w:rPr>
        <w:t>ex-ante</w:t>
      </w:r>
      <w:r>
        <w:t xml:space="preserve"> au FRU et au FRN, ainsi que pour les </w:t>
      </w:r>
      <w:r>
        <w:rPr>
          <w:i/>
        </w:rPr>
        <w:t>templates</w:t>
      </w:r>
      <w:r>
        <w:t xml:space="preserve"> permettant l’établissement des plans de résolution </w:t>
      </w:r>
      <w:bookmarkEnd w:id="0"/>
    </w:p>
    <w:p w14:paraId="02982E97" w14:textId="77777777" w:rsidR="00272186" w:rsidRDefault="00272186" w:rsidP="00272186">
      <w:pPr>
        <w:tabs>
          <w:tab w:val="left" w:pos="851"/>
        </w:tabs>
        <w:rPr>
          <w:szCs w:val="24"/>
        </w:rPr>
      </w:pPr>
    </w:p>
    <w:p w14:paraId="23401712" w14:textId="77777777" w:rsidR="00272186" w:rsidRDefault="00272186" w:rsidP="00272186">
      <w:pPr>
        <w:ind w:left="142"/>
        <w:jc w:val="both"/>
        <w:rPr>
          <w:szCs w:val="24"/>
        </w:rPr>
      </w:pPr>
    </w:p>
    <w:p w14:paraId="6CC1DA91" w14:textId="77777777" w:rsidR="00272186" w:rsidRDefault="00272186" w:rsidP="00272186">
      <w:pPr>
        <w:ind w:left="142"/>
        <w:jc w:val="both"/>
        <w:rPr>
          <w:szCs w:val="24"/>
        </w:rPr>
      </w:pPr>
    </w:p>
    <w:p w14:paraId="63EAD307" w14:textId="4460685E" w:rsidR="00272186" w:rsidRDefault="00272186" w:rsidP="00272186">
      <w:pPr>
        <w:ind w:left="142"/>
        <w:jc w:val="both"/>
        <w:rPr>
          <w:szCs w:val="24"/>
        </w:rPr>
      </w:pPr>
      <w:r>
        <w:rPr>
          <w:szCs w:val="24"/>
        </w:rPr>
        <w:t xml:space="preserve">La présente note a pour </w:t>
      </w:r>
      <w:r w:rsidR="00B01F5B">
        <w:rPr>
          <w:szCs w:val="24"/>
        </w:rPr>
        <w:t>objectif</w:t>
      </w:r>
      <w:r>
        <w:rPr>
          <w:szCs w:val="24"/>
        </w:rPr>
        <w:t xml:space="preserve"> de préciser les modalités techniques concernant les remises relatives aux obligations déclaratives dans le cadre des contributions </w:t>
      </w:r>
      <w:r>
        <w:rPr>
          <w:i/>
          <w:szCs w:val="24"/>
        </w:rPr>
        <w:t>ex-ante</w:t>
      </w:r>
      <w:r>
        <w:rPr>
          <w:szCs w:val="24"/>
        </w:rPr>
        <w:t xml:space="preserve"> au FRU</w:t>
      </w:r>
      <w:r w:rsidR="00B01F5B">
        <w:rPr>
          <w:szCs w:val="24"/>
        </w:rPr>
        <w:t> ,</w:t>
      </w:r>
      <w:r>
        <w:rPr>
          <w:szCs w:val="24"/>
        </w:rPr>
        <w:t xml:space="preserve"> </w:t>
      </w:r>
      <w:r w:rsidR="00A00BE8" w:rsidRPr="00D86A58">
        <w:rPr>
          <w:szCs w:val="24"/>
        </w:rPr>
        <w:t>FRN</w:t>
      </w:r>
      <w:r w:rsidR="00381C61" w:rsidRPr="00E73A2C">
        <w:rPr>
          <w:szCs w:val="24"/>
        </w:rPr>
        <w:t>, au</w:t>
      </w:r>
      <w:r w:rsidR="00E73A2C" w:rsidRPr="00E73A2C">
        <w:rPr>
          <w:szCs w:val="24"/>
        </w:rPr>
        <w:t>x</w:t>
      </w:r>
      <w:r w:rsidR="00381C61" w:rsidRPr="00E73A2C">
        <w:rPr>
          <w:szCs w:val="24"/>
        </w:rPr>
        <w:t xml:space="preserve"> </w:t>
      </w:r>
      <w:r w:rsidR="00A00BE8" w:rsidRPr="00D86A58">
        <w:rPr>
          <w:szCs w:val="24"/>
        </w:rPr>
        <w:t>plan</w:t>
      </w:r>
      <w:r w:rsidR="00E73A2C" w:rsidRPr="00D86A58">
        <w:rPr>
          <w:szCs w:val="24"/>
        </w:rPr>
        <w:t>s</w:t>
      </w:r>
      <w:r w:rsidR="00A00BE8" w:rsidRPr="00D86A58">
        <w:rPr>
          <w:szCs w:val="24"/>
        </w:rPr>
        <w:t xml:space="preserve"> de résolution (RESOL1</w:t>
      </w:r>
      <w:r w:rsidRPr="00D86A58">
        <w:rPr>
          <w:szCs w:val="24"/>
        </w:rPr>
        <w:t xml:space="preserve">, </w:t>
      </w:r>
      <w:r w:rsidR="00A00BE8" w:rsidRPr="00D86A58">
        <w:rPr>
          <w:szCs w:val="24"/>
        </w:rPr>
        <w:t>RESOL2</w:t>
      </w:r>
      <w:r w:rsidR="00E73A2C" w:rsidRPr="00E73A2C">
        <w:rPr>
          <w:szCs w:val="24"/>
        </w:rPr>
        <w:t>)</w:t>
      </w:r>
      <w:r w:rsidR="00A00BE8" w:rsidRPr="00E73A2C">
        <w:rPr>
          <w:szCs w:val="24"/>
        </w:rPr>
        <w:t>,</w:t>
      </w:r>
      <w:r w:rsidR="00A00BE8">
        <w:rPr>
          <w:szCs w:val="24"/>
        </w:rPr>
        <w:t xml:space="preserve"> </w:t>
      </w:r>
      <w:r w:rsidR="00381C61">
        <w:rPr>
          <w:szCs w:val="24"/>
        </w:rPr>
        <w:t>ainsi que les modalités relatives au</w:t>
      </w:r>
      <w:r w:rsidR="00E73A2C">
        <w:rPr>
          <w:szCs w:val="24"/>
        </w:rPr>
        <w:t>x</w:t>
      </w:r>
      <w:r w:rsidR="00381C61">
        <w:rPr>
          <w:szCs w:val="24"/>
        </w:rPr>
        <w:t xml:space="preserve"> reporting</w:t>
      </w:r>
      <w:r w:rsidR="00E73A2C">
        <w:rPr>
          <w:szCs w:val="24"/>
        </w:rPr>
        <w:t>s</w:t>
      </w:r>
      <w:r w:rsidR="00381C61">
        <w:rPr>
          <w:szCs w:val="24"/>
        </w:rPr>
        <w:t xml:space="preserve"> </w:t>
      </w:r>
      <w:r>
        <w:rPr>
          <w:szCs w:val="24"/>
        </w:rPr>
        <w:t>MREL-TLAC et Notif_Impraticability).</w:t>
      </w:r>
    </w:p>
    <w:p w14:paraId="42AE922D" w14:textId="77777777" w:rsidR="00272186" w:rsidRDefault="00272186" w:rsidP="00272186">
      <w:pPr>
        <w:ind w:left="142"/>
        <w:jc w:val="both"/>
      </w:pPr>
    </w:p>
    <w:p w14:paraId="3E2AB1FF" w14:textId="77777777" w:rsidR="00272186" w:rsidRDefault="00272186" w:rsidP="00272186">
      <w:pPr>
        <w:ind w:left="142"/>
        <w:jc w:val="both"/>
      </w:pPr>
    </w:p>
    <w:p w14:paraId="06FB61D3" w14:textId="77777777" w:rsidR="00272186" w:rsidRDefault="00272186" w:rsidP="00272186">
      <w:pPr>
        <w:ind w:left="142"/>
        <w:jc w:val="both"/>
      </w:pPr>
      <w:r>
        <w:t>Pour tout renseignement complémentaire, vous pouvez contacter le Service d’Assistance de Gestion des applications et de Maitrise d’Ouvrage - SAGEMOA à l’adresse électronique suivante :</w:t>
      </w:r>
    </w:p>
    <w:p w14:paraId="74E49B7D" w14:textId="77777777" w:rsidR="00272186" w:rsidRDefault="00272186" w:rsidP="00272186">
      <w:pPr>
        <w:ind w:left="142"/>
        <w:jc w:val="center"/>
        <w:rPr>
          <w:b/>
        </w:rPr>
      </w:pPr>
      <w:hyperlink r:id="rId9" w:history="1">
        <w:r>
          <w:rPr>
            <w:rStyle w:val="Lienhypertexte"/>
            <w:rFonts w:eastAsiaTheme="majorEastAsia"/>
          </w:rPr>
          <w:t>2718-FONGAR-UT@acpr.banque-france.fr</w:t>
        </w:r>
      </w:hyperlink>
    </w:p>
    <w:p w14:paraId="012E0153" w14:textId="77777777" w:rsidR="00272186" w:rsidRDefault="00272186" w:rsidP="00272186">
      <w:pPr>
        <w:rPr>
          <w:b/>
        </w:rPr>
      </w:pPr>
    </w:p>
    <w:p w14:paraId="5CF58AD1" w14:textId="77777777" w:rsidR="00272186" w:rsidRDefault="00272186" w:rsidP="00272186">
      <w:pPr>
        <w:jc w:val="center"/>
        <w:rPr>
          <w:b/>
        </w:rPr>
      </w:pPr>
    </w:p>
    <w:p w14:paraId="52DB6092" w14:textId="77777777" w:rsidR="00272186" w:rsidRDefault="00272186" w:rsidP="00272186">
      <w:pPr>
        <w:jc w:val="center"/>
        <w:rPr>
          <w:b/>
        </w:rPr>
      </w:pPr>
    </w:p>
    <w:p w14:paraId="4514B4E1" w14:textId="77777777" w:rsidR="00272186" w:rsidRDefault="00272186" w:rsidP="00272186">
      <w:pPr>
        <w:jc w:val="center"/>
        <w:rPr>
          <w:b/>
        </w:rPr>
      </w:pPr>
      <w:r>
        <w:rPr>
          <w:b/>
        </w:rPr>
        <w:br w:type="page"/>
      </w:r>
    </w:p>
    <w:p w14:paraId="466BEE89" w14:textId="77777777" w:rsidR="00272186" w:rsidRDefault="00272186" w:rsidP="00272186">
      <w:pPr>
        <w:jc w:val="center"/>
        <w:rPr>
          <w:b/>
        </w:rPr>
      </w:pPr>
    </w:p>
    <w:p w14:paraId="35AACC98" w14:textId="77777777" w:rsidR="00272186" w:rsidRDefault="00272186" w:rsidP="00272186">
      <w:pPr>
        <w:jc w:val="center"/>
        <w:rPr>
          <w:b/>
        </w:rPr>
      </w:pPr>
    </w:p>
    <w:p w14:paraId="7477C05A" w14:textId="77777777" w:rsidR="00272186" w:rsidRDefault="00272186" w:rsidP="00272186">
      <w:pPr>
        <w:jc w:val="center"/>
        <w:rPr>
          <w:b/>
        </w:rPr>
      </w:pPr>
    </w:p>
    <w:p w14:paraId="311B346F" w14:textId="77777777" w:rsidR="00272186" w:rsidRDefault="00272186" w:rsidP="00272186">
      <w:pPr>
        <w:jc w:val="center"/>
        <w:rPr>
          <w:b/>
        </w:rPr>
      </w:pPr>
    </w:p>
    <w:p w14:paraId="7BB743FD" w14:textId="77777777" w:rsidR="00272186" w:rsidRDefault="00272186" w:rsidP="00272186">
      <w:pPr>
        <w:jc w:val="center"/>
        <w:rPr>
          <w:b/>
        </w:rPr>
      </w:pPr>
    </w:p>
    <w:p w14:paraId="40B82D8E" w14:textId="77777777" w:rsidR="00272186" w:rsidRDefault="00272186" w:rsidP="00272186">
      <w:pPr>
        <w:jc w:val="center"/>
        <w:rPr>
          <w:b/>
        </w:rPr>
      </w:pPr>
    </w:p>
    <w:p w14:paraId="74B8891C" w14:textId="77777777" w:rsidR="00272186" w:rsidRDefault="00272186" w:rsidP="00272186">
      <w:pPr>
        <w:jc w:val="center"/>
        <w:rPr>
          <w:b/>
        </w:rPr>
      </w:pPr>
      <w:r>
        <w:rPr>
          <w:b/>
        </w:rPr>
        <w:t>TABLES DES MATIERES</w:t>
      </w:r>
    </w:p>
    <w:p w14:paraId="6670DFEB" w14:textId="77777777" w:rsidR="00272186" w:rsidRDefault="00272186" w:rsidP="00272186">
      <w:pPr>
        <w:jc w:val="center"/>
        <w:rPr>
          <w:b/>
        </w:rPr>
      </w:pPr>
    </w:p>
    <w:p w14:paraId="134B382E" w14:textId="77777777" w:rsidR="00272186" w:rsidRDefault="00272186" w:rsidP="00272186">
      <w:pPr>
        <w:jc w:val="center"/>
        <w:rPr>
          <w:b/>
        </w:rPr>
      </w:pPr>
    </w:p>
    <w:p w14:paraId="649F2750" w14:textId="7C5D7CD6" w:rsidR="0087014C" w:rsidRDefault="0027218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46949" w:history="1">
        <w:r w:rsidR="0087014C" w:rsidRPr="00C577B8">
          <w:rPr>
            <w:rStyle w:val="Lienhypertexte"/>
            <w:rFonts w:ascii="Calibri" w:hAnsi="Calibri"/>
          </w:rPr>
          <w:t>1.</w:t>
        </w:r>
        <w:r w:rsidR="0087014C"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="0087014C" w:rsidRPr="00C577B8">
          <w:rPr>
            <w:rStyle w:val="Lienhypertexte"/>
            <w:rFonts w:ascii="Calibri" w:hAnsi="Calibri"/>
          </w:rPr>
          <w:t>Présentation générale</w:t>
        </w:r>
        <w:r w:rsidR="0087014C">
          <w:rPr>
            <w:webHidden/>
          </w:rPr>
          <w:tab/>
        </w:r>
        <w:r w:rsidR="0087014C">
          <w:rPr>
            <w:webHidden/>
          </w:rPr>
          <w:fldChar w:fldCharType="begin"/>
        </w:r>
        <w:r w:rsidR="0087014C">
          <w:rPr>
            <w:webHidden/>
          </w:rPr>
          <w:instrText xml:space="preserve"> PAGEREF _Toc216046949 \h </w:instrText>
        </w:r>
        <w:r w:rsidR="0087014C">
          <w:rPr>
            <w:webHidden/>
          </w:rPr>
        </w:r>
        <w:r w:rsidR="0087014C">
          <w:rPr>
            <w:webHidden/>
          </w:rPr>
          <w:fldChar w:fldCharType="separate"/>
        </w:r>
        <w:r w:rsidR="0087014C">
          <w:rPr>
            <w:webHidden/>
          </w:rPr>
          <w:t>4</w:t>
        </w:r>
        <w:r w:rsidR="0087014C">
          <w:rPr>
            <w:webHidden/>
          </w:rPr>
          <w:fldChar w:fldCharType="end"/>
        </w:r>
      </w:hyperlink>
    </w:p>
    <w:p w14:paraId="48B40CD7" w14:textId="198F88CB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0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Collecte FRU-FRN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5D79B5" w14:textId="702B0C78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1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Collecte RESREP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12FA49" w14:textId="4C1AF4F3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2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Collecte RESOL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187AB8" w14:textId="47FA3F44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3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Collectes MREL-TLAC et IMPRACTICABILITY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28A12A" w14:textId="1C060B14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4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Détail des attendus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BB8434" w14:textId="307B1555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5" w:history="1">
        <w:r w:rsidRPr="00C577B8">
          <w:rPr>
            <w:rStyle w:val="Lienhypertexte"/>
            <w:rFonts w:ascii="Symbol" w:hAnsi="Symbol"/>
            <w:noProof/>
          </w:rPr>
          <w:t>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Règle générale de remise en XBRL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CB7E5B" w14:textId="7830088E" w:rsidR="0087014C" w:rsidRDefault="0087014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16046956" w:history="1">
        <w:r w:rsidRPr="00C577B8">
          <w:rPr>
            <w:rStyle w:val="Lienhypertexte"/>
            <w:rFonts w:ascii="Calibri" w:hAnsi="Calibri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rFonts w:ascii="Calibri" w:hAnsi="Calibri"/>
          </w:rPr>
          <w:t>Canal de transmission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_Toc216046956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BB3D21" w14:textId="42E07321" w:rsidR="0087014C" w:rsidRDefault="0087014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hyperlink w:anchor="_Toc216046957" w:history="1">
        <w:r w:rsidRPr="00C577B8">
          <w:rPr>
            <w:rStyle w:val="Lienhypertexte"/>
            <w:rFonts w:ascii="Calibri" w:hAnsi="Calibri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rFonts w:ascii="Calibri" w:hAnsi="Calibri"/>
          </w:rPr>
          <w:t>Contenu des Fichiers et règles de format (</w:t>
        </w:r>
        <w:r w:rsidRPr="00C577B8">
          <w:rPr>
            <w:rStyle w:val="Lienhypertexte"/>
            <w:rFonts w:ascii="Calibri" w:hAnsi="Calibri"/>
            <w:i/>
          </w:rPr>
          <w:t>filing rules</w:t>
        </w:r>
        <w:r w:rsidRPr="00C577B8">
          <w:rPr>
            <w:rStyle w:val="Lienhypertexte"/>
            <w:rFonts w:ascii="Calibri" w:hAnsi="Calibri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_Toc216046957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24ED30" w14:textId="16528EEA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8" w:history="1">
        <w:r w:rsidRPr="00C577B8">
          <w:rPr>
            <w:rStyle w:val="Lienhypertexte"/>
            <w:noProof/>
          </w:rPr>
          <w:t>Remarque générale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AC07E0" w14:textId="537F6B3D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59" w:history="1">
        <w:r w:rsidRPr="00C577B8">
          <w:rPr>
            <w:rStyle w:val="Lienhypertexte"/>
            <w:rFonts w:eastAsiaTheme="majorEastAsia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Règles applicables aux remises au format XBRL-XML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B71A7B" w14:textId="5DE50B7A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0" w:history="1">
        <w:r w:rsidRPr="00C577B8">
          <w:rPr>
            <w:rStyle w:val="Lienhypertexte"/>
            <w:rFonts w:eastAsiaTheme="majorEastAsia"/>
            <w:noProof/>
          </w:rPr>
          <w:t>3.1.1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Monnaie de remise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7FAF22" w14:textId="32602B5D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1" w:history="1">
        <w:r w:rsidRPr="00C577B8">
          <w:rPr>
            <w:rStyle w:val="Lienhypertexte"/>
            <w:b/>
            <w:noProof/>
          </w:rPr>
          <w:t>3.1.2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Spécificités des remises bureautiques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6E8C02" w14:textId="020D46EE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2" w:history="1">
        <w:r w:rsidRPr="00C577B8">
          <w:rPr>
            <w:rStyle w:val="Lienhypertexte"/>
            <w:b/>
            <w:noProof/>
          </w:rPr>
          <w:t>3.1.3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Période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FE0EDB" w14:textId="29727476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3" w:history="1">
        <w:r w:rsidRPr="00C577B8">
          <w:rPr>
            <w:rStyle w:val="Lienhypertexte"/>
            <w:b/>
            <w:noProof/>
          </w:rPr>
          <w:t>3.1.4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Identification des entités et niveau de consolidation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8CB136" w14:textId="0E4A5BDE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4" w:history="1">
        <w:r w:rsidRPr="00C577B8">
          <w:rPr>
            <w:rStyle w:val="Lienhypertexte"/>
            <w:b/>
            <w:noProof/>
          </w:rPr>
          <w:t>3.1.5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Schéma ref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7753A9" w14:textId="427AAB68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5" w:history="1">
        <w:r w:rsidRPr="00C577B8">
          <w:rPr>
            <w:rStyle w:val="Lienhypertexte"/>
            <w:b/>
            <w:noProof/>
          </w:rPr>
          <w:t>3.1.6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Niveau de consolidation à déclarer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D15B94" w14:textId="6C4B4DC3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6" w:history="1">
        <w:r w:rsidRPr="00C577B8">
          <w:rPr>
            <w:rStyle w:val="Lienhypertexte"/>
            <w:b/>
            <w:noProof/>
          </w:rPr>
          <w:t>3.1.7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Filing rules pour les remises FRU / FRN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BB306DF" w14:textId="28D07C49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7" w:history="1">
        <w:r w:rsidRPr="00C577B8">
          <w:rPr>
            <w:rStyle w:val="Lienhypertexte"/>
            <w:b/>
            <w:noProof/>
          </w:rPr>
          <w:t>3.1.8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Filing indicators pour LDR, CFR, FMIR et CIR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E1B6524" w14:textId="2C7C0CFA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8" w:history="1">
        <w:r w:rsidRPr="00C577B8">
          <w:rPr>
            <w:rStyle w:val="Lienhypertexte"/>
            <w:b/>
            <w:noProof/>
            <w:lang w:val="en-US"/>
          </w:rPr>
          <w:t>3.1.9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  <w:lang w:val="en-US"/>
          </w:rPr>
          <w:t>Filing indicators pour MREL-TLAC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C03DE89" w14:textId="5DF6B7F5" w:rsidR="0087014C" w:rsidRDefault="0087014C">
      <w:pPr>
        <w:pStyle w:val="TM2"/>
        <w:tabs>
          <w:tab w:val="left" w:pos="120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69" w:history="1">
        <w:r w:rsidRPr="00C577B8">
          <w:rPr>
            <w:rStyle w:val="Lienhypertexte"/>
            <w:b/>
            <w:noProof/>
            <w:lang w:val="en-US"/>
          </w:rPr>
          <w:t>3.1.10</w:t>
        </w:r>
        <w:r w:rsidR="00144AD7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 xml:space="preserve"> </w:t>
        </w:r>
        <w:r w:rsidRPr="00C577B8">
          <w:rPr>
            <w:rStyle w:val="Lienhypertexte"/>
            <w:b/>
            <w:noProof/>
            <w:lang w:val="en-US"/>
          </w:rPr>
          <w:t>Filing rules pour NOTIF IMPRACTICABILITY (art. 55 BRRD)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B7CFA0B" w14:textId="7C8DE74F" w:rsidR="0087014C" w:rsidRDefault="0087014C">
      <w:pPr>
        <w:pStyle w:val="TM2"/>
        <w:tabs>
          <w:tab w:val="left" w:pos="120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0" w:history="1">
        <w:r w:rsidRPr="00C577B8">
          <w:rPr>
            <w:rStyle w:val="Lienhypertexte"/>
            <w:b/>
            <w:noProof/>
          </w:rPr>
          <w:t>3.1.11</w:t>
        </w:r>
        <w:r w:rsidR="00144AD7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 xml:space="preserve"> </w:t>
        </w:r>
        <w:r w:rsidRPr="00C577B8">
          <w:rPr>
            <w:rStyle w:val="Lienhypertexte"/>
            <w:b/>
            <w:noProof/>
          </w:rPr>
          <w:t>Règles de nommage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49174C1" w14:textId="1045EFBC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1" w:history="1">
        <w:r w:rsidRPr="00C577B8">
          <w:rPr>
            <w:rStyle w:val="Lienhypertexte"/>
            <w:rFonts w:eastAsiaTheme="majorEastAsia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Règles applicables aux remises au format XBRL-CSV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B38D439" w14:textId="18295161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2" w:history="1">
        <w:r w:rsidRPr="00C577B8">
          <w:rPr>
            <w:rStyle w:val="Lienhypertexte"/>
            <w:b/>
            <w:noProof/>
          </w:rPr>
          <w:t>3.2.1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Période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E326CD2" w14:textId="68C878C2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3" w:history="1">
        <w:r w:rsidRPr="00C577B8">
          <w:rPr>
            <w:rStyle w:val="Lienhypertexte"/>
            <w:b/>
            <w:noProof/>
          </w:rPr>
          <w:t>3.2.2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Identification des entités et niveau de consolidation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F856D28" w14:textId="14120343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4" w:history="1">
        <w:r w:rsidRPr="00C577B8">
          <w:rPr>
            <w:rStyle w:val="Lienhypertexte"/>
            <w:b/>
            <w:noProof/>
          </w:rPr>
          <w:t>3.2.3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Paramètre « Extends » (ex-Schéma ref)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CB99291" w14:textId="39396221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5" w:history="1">
        <w:r w:rsidRPr="00C577B8">
          <w:rPr>
            <w:rStyle w:val="Lienhypertexte"/>
            <w:b/>
            <w:noProof/>
          </w:rPr>
          <w:t>3.2.4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Obligations déclaratives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63881E5" w14:textId="05274B5E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6" w:history="1">
        <w:r w:rsidRPr="00C577B8">
          <w:rPr>
            <w:rStyle w:val="Lienhypertexte"/>
            <w:b/>
            <w:noProof/>
          </w:rPr>
          <w:t>3.2.5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Filing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0DBF108" w14:textId="395E10B2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7" w:history="1">
        <w:r w:rsidRPr="00C577B8">
          <w:rPr>
            <w:rStyle w:val="Lienhypertexte"/>
            <w:b/>
            <w:noProof/>
          </w:rPr>
          <w:t>3.2.6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Structure des remises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0BA7448" w14:textId="5D4C88F0" w:rsidR="0087014C" w:rsidRDefault="0087014C">
      <w:pPr>
        <w:pStyle w:val="TM2"/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16046978" w:history="1">
        <w:r w:rsidRPr="00C577B8">
          <w:rPr>
            <w:rStyle w:val="Lienhypertexte"/>
            <w:b/>
            <w:noProof/>
          </w:rPr>
          <w:t>3.2.7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C577B8">
          <w:rPr>
            <w:rStyle w:val="Lienhypertexte"/>
            <w:b/>
            <w:noProof/>
          </w:rPr>
          <w:t>Règles de nommage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_Toc216046978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AF8FFC" w14:textId="2A761930" w:rsidR="00272186" w:rsidRDefault="00272186" w:rsidP="00272186">
      <w:r>
        <w:fldChar w:fldCharType="end"/>
      </w:r>
    </w:p>
    <w:p w14:paraId="7E337EB3" w14:textId="77777777" w:rsidR="00272186" w:rsidRDefault="00272186" w:rsidP="00272186"/>
    <w:p w14:paraId="18909629" w14:textId="77777777" w:rsidR="00272186" w:rsidRDefault="00272186" w:rsidP="00272186"/>
    <w:p w14:paraId="7DDD638E" w14:textId="77777777" w:rsidR="00272186" w:rsidRDefault="00272186" w:rsidP="00272186"/>
    <w:p w14:paraId="3141356C" w14:textId="77777777" w:rsidR="00272186" w:rsidRDefault="00272186" w:rsidP="00272186"/>
    <w:p w14:paraId="2DAB4D5F" w14:textId="77777777" w:rsidR="00272186" w:rsidRDefault="00272186" w:rsidP="00272186">
      <w:r>
        <w:br w:type="page"/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02"/>
        <w:gridCol w:w="1134"/>
        <w:gridCol w:w="6208"/>
      </w:tblGrid>
      <w:tr w:rsidR="00272186" w14:paraId="0CD2FC7B" w14:textId="77777777" w:rsidTr="004B0499">
        <w:trPr>
          <w:trHeight w:val="4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C406E3" w14:textId="4190AC39" w:rsidR="00272186" w:rsidRDefault="002721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Suivi des Ma</w:t>
            </w:r>
            <w:r w:rsidR="00A5324F">
              <w:rPr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 xml:space="preserve"> 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48EFFB" w14:textId="77777777" w:rsidR="00272186" w:rsidRDefault="0027218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2B4EE5" w14:textId="77777777" w:rsidR="00272186" w:rsidRDefault="002721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7E7173" w14:textId="77777777" w:rsidR="00272186" w:rsidRDefault="002721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Commentaire</w:t>
            </w:r>
          </w:p>
        </w:tc>
      </w:tr>
      <w:tr w:rsidR="00272186" w14:paraId="5F58AEC0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BAE6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Janvier 2019</w:t>
            </w:r>
          </w:p>
          <w:p w14:paraId="700AD694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1.0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17A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2019-01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CF2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31/01/2019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1D8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14:paraId="12AF04D2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Initialisation de la note technique n° </w:t>
            </w:r>
            <w:r>
              <w:rPr>
                <w:color w:val="auto"/>
                <w:sz w:val="23"/>
                <w:szCs w:val="23"/>
              </w:rPr>
              <w:t>2019-01</w:t>
            </w:r>
          </w:p>
        </w:tc>
      </w:tr>
      <w:tr w:rsidR="00272186" w14:paraId="56540147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DA02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Décembre 2019</w:t>
            </w:r>
          </w:p>
          <w:p w14:paraId="4E9C6BE6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2.0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22FB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2019-01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B84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31/12/2019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2BF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Mises à jour pour les taxonomies Résolution de la campagne 2020</w:t>
            </w:r>
          </w:p>
        </w:tc>
      </w:tr>
      <w:tr w:rsidR="00272186" w14:paraId="333FAEFD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D1A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Février 2020</w:t>
            </w:r>
          </w:p>
          <w:p w14:paraId="7B4C2641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2.1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7689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2019-01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767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07/02/2020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07E4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Mises jour des modalités de collecte pour le reporting RESREP-CFR</w:t>
            </w:r>
          </w:p>
        </w:tc>
      </w:tr>
      <w:tr w:rsidR="00272186" w14:paraId="79E20369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ED0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Décembre 2020</w:t>
            </w:r>
          </w:p>
          <w:p w14:paraId="165E5F4E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2.2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0096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5EBF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02/12/2020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A093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Mises à jour pour les taxonomies Résolution de la campagne 2021</w:t>
            </w:r>
          </w:p>
        </w:tc>
      </w:tr>
      <w:tr w:rsidR="00272186" w14:paraId="3C64735A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D571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Décembre 2021</w:t>
            </w:r>
          </w:p>
          <w:p w14:paraId="046E4B76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2.3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A7A4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2021-01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F3C7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02/12/2021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F1C8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Mises à jour pour les taxonomies Résolution de la campagne 2022</w:t>
            </w:r>
          </w:p>
        </w:tc>
      </w:tr>
      <w:tr w:rsidR="00272186" w14:paraId="5F462BFC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1A89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Aout 2022</w:t>
            </w:r>
          </w:p>
          <w:p w14:paraId="3CC8E79D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 2.4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56F8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0EE8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16/08/2022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B791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Mises à jour pour la taxonomie FRU-FRN pour la campagne 2023</w:t>
            </w:r>
          </w:p>
        </w:tc>
      </w:tr>
      <w:tr w:rsidR="00272186" w14:paraId="210D49BD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B8F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 Septembre 2022</w:t>
            </w:r>
          </w:p>
          <w:p w14:paraId="354F3DD7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V2.5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01F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2022-02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15E3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06/09/2022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6A07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Précision sur les </w:t>
            </w:r>
            <w:r>
              <w:rPr>
                <w:i/>
                <w:sz w:val="23"/>
                <w:szCs w:val="23"/>
              </w:rPr>
              <w:t>filing rules</w:t>
            </w:r>
            <w:r>
              <w:rPr>
                <w:sz w:val="23"/>
                <w:szCs w:val="23"/>
              </w:rPr>
              <w:t xml:space="preserve"> pour FRU-FRN 2023</w:t>
            </w:r>
          </w:p>
        </w:tc>
      </w:tr>
      <w:tr w:rsidR="00272186" w14:paraId="78A8AAFE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9E2C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29/09/2022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AE8A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2022-03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B295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29/09/2022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EC9" w14:textId="662BEAE2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 à jour taxonomie RESREP 2023</w:t>
            </w:r>
          </w:p>
        </w:tc>
      </w:tr>
      <w:tr w:rsidR="00272186" w14:paraId="7AA55768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DAA4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30/10/2023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5E6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F6D2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2/10/2023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ADF5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 à jour taxonomie FRU-FRN 2024 et RESREP 2024</w:t>
            </w:r>
          </w:p>
        </w:tc>
      </w:tr>
      <w:tr w:rsidR="00272186" w14:paraId="18CB06BC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4F5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15/10/2024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5E5C" w14:textId="77777777" w:rsidR="00272186" w:rsidRDefault="00272186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2024-01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AF1" w14:textId="77777777" w:rsidR="00272186" w:rsidRDefault="00272186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17/10/2024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AB6B" w14:textId="77777777" w:rsidR="00272186" w:rsidRDefault="00272186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Mise à jour taxonomie FRU-FRN 2025 et RESREP 2025</w:t>
            </w:r>
          </w:p>
        </w:tc>
      </w:tr>
      <w:tr w:rsidR="004B0499" w14:paraId="1460E8DD" w14:textId="77777777" w:rsidTr="004B0499">
        <w:trPr>
          <w:trHeight w:val="91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DC6" w14:textId="6A5842A6" w:rsidR="004B0499" w:rsidRDefault="00BF081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24/11/2025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4B9" w14:textId="713EE775" w:rsidR="004B0499" w:rsidRDefault="004B0499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NT 2025-01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D759" w14:textId="4843A16C" w:rsidR="004B0499" w:rsidRDefault="003D7444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D86A58">
              <w:rPr>
                <w:color w:val="auto"/>
                <w:sz w:val="18"/>
                <w:szCs w:val="18"/>
              </w:rPr>
              <w:t>03/11/2025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883" w14:textId="5701C42D" w:rsidR="004B0499" w:rsidRDefault="00F1532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Mise à jour taxonomie FRU-FRN 2026 et </w:t>
            </w:r>
            <w:r w:rsidR="00381C61">
              <w:rPr>
                <w:sz w:val="23"/>
                <w:szCs w:val="23"/>
              </w:rPr>
              <w:t xml:space="preserve">mise en œuvre de la taxonomie RESOL (campagne 2026) </w:t>
            </w:r>
          </w:p>
        </w:tc>
      </w:tr>
    </w:tbl>
    <w:p w14:paraId="3FCE0C20" w14:textId="77777777" w:rsidR="00272186" w:rsidRDefault="00272186" w:rsidP="00272186"/>
    <w:p w14:paraId="5EB3F972" w14:textId="77777777" w:rsidR="00E00B0F" w:rsidRDefault="00E00B0F">
      <w:pPr>
        <w:spacing w:after="160" w:line="259" w:lineRule="auto"/>
      </w:pPr>
      <w:r>
        <w:br w:type="page"/>
      </w:r>
    </w:p>
    <w:p w14:paraId="397571BE" w14:textId="77777777" w:rsidR="00272186" w:rsidRDefault="00272186" w:rsidP="00272186">
      <w:pPr>
        <w:pStyle w:val="Titre1"/>
        <w:keepLines w:val="0"/>
        <w:numPr>
          <w:ilvl w:val="0"/>
          <w:numId w:val="1"/>
        </w:numPr>
        <w:spacing w:before="480" w:after="240"/>
        <w:ind w:left="805" w:hanging="448"/>
        <w:rPr>
          <w:rFonts w:ascii="Calibri" w:hAnsi="Calibri"/>
          <w:caps/>
          <w:sz w:val="28"/>
          <w:szCs w:val="28"/>
        </w:rPr>
      </w:pPr>
      <w:bookmarkStart w:id="1" w:name="_Toc216046949"/>
      <w:r>
        <w:rPr>
          <w:rFonts w:ascii="Calibri" w:hAnsi="Calibri"/>
          <w:caps/>
          <w:sz w:val="28"/>
          <w:szCs w:val="28"/>
        </w:rPr>
        <w:lastRenderedPageBreak/>
        <w:t>Présentation générale</w:t>
      </w:r>
      <w:bookmarkEnd w:id="1"/>
    </w:p>
    <w:p w14:paraId="4EE33AD7" w14:textId="77777777" w:rsidR="00586AD7" w:rsidRDefault="00586AD7" w:rsidP="00272186">
      <w:pPr>
        <w:tabs>
          <w:tab w:val="left" w:pos="4678"/>
        </w:tabs>
        <w:jc w:val="both"/>
        <w:rPr>
          <w:i/>
          <w:szCs w:val="24"/>
        </w:rPr>
      </w:pPr>
    </w:p>
    <w:p w14:paraId="68EB5405" w14:textId="77777777" w:rsidR="00586AD7" w:rsidRPr="00D86A58" w:rsidRDefault="00586AD7" w:rsidP="00586AD7">
      <w:pPr>
        <w:tabs>
          <w:tab w:val="left" w:pos="4678"/>
        </w:tabs>
        <w:jc w:val="both"/>
        <w:rPr>
          <w:i/>
          <w:szCs w:val="24"/>
        </w:rPr>
      </w:pPr>
      <w:r w:rsidRPr="00D86A58">
        <w:rPr>
          <w:i/>
          <w:szCs w:val="24"/>
        </w:rPr>
        <w:t>La présente note a vocation à présenter :</w:t>
      </w:r>
    </w:p>
    <w:p w14:paraId="30B80418" w14:textId="0739A132" w:rsidR="00586AD7" w:rsidRPr="00D86A58" w:rsidRDefault="00586AD7" w:rsidP="00586AD7">
      <w:pPr>
        <w:pStyle w:val="Paragraphedeliste"/>
        <w:numPr>
          <w:ilvl w:val="0"/>
          <w:numId w:val="12"/>
        </w:numPr>
        <w:tabs>
          <w:tab w:val="left" w:pos="4678"/>
        </w:tabs>
        <w:jc w:val="both"/>
        <w:rPr>
          <w:i/>
          <w:szCs w:val="24"/>
        </w:rPr>
      </w:pPr>
      <w:r w:rsidRPr="00D86A58">
        <w:rPr>
          <w:i/>
          <w:szCs w:val="24"/>
        </w:rPr>
        <w:t xml:space="preserve"> la </w:t>
      </w:r>
      <w:r w:rsidRPr="00D86A58">
        <w:rPr>
          <w:bCs/>
          <w:i/>
          <w:szCs w:val="24"/>
        </w:rPr>
        <w:t>taxonomie au format XBRL-XML</w:t>
      </w:r>
      <w:r w:rsidRPr="00D86A58">
        <w:rPr>
          <w:i/>
          <w:szCs w:val="24"/>
        </w:rPr>
        <w:t xml:space="preserve"> </w:t>
      </w:r>
      <w:r w:rsidR="00FF1687" w:rsidRPr="00D86A58">
        <w:rPr>
          <w:i/>
          <w:szCs w:val="24"/>
        </w:rPr>
        <w:t>applicables</w:t>
      </w:r>
      <w:r w:rsidRPr="00D86A58">
        <w:rPr>
          <w:i/>
          <w:szCs w:val="24"/>
        </w:rPr>
        <w:t xml:space="preserve"> </w:t>
      </w:r>
      <w:r w:rsidR="00FF1687" w:rsidRPr="00D86A58">
        <w:rPr>
          <w:i/>
          <w:szCs w:val="24"/>
        </w:rPr>
        <w:t>aux</w:t>
      </w:r>
      <w:r w:rsidRPr="00D86A58">
        <w:rPr>
          <w:i/>
          <w:szCs w:val="24"/>
        </w:rPr>
        <w:t xml:space="preserve"> déclarations des données servant aux calculs des contributions au FRU et au FRN </w:t>
      </w:r>
      <w:r w:rsidR="00FF1687" w:rsidRPr="00D86A58">
        <w:rPr>
          <w:i/>
          <w:szCs w:val="24"/>
        </w:rPr>
        <w:t xml:space="preserve">en </w:t>
      </w:r>
      <w:r w:rsidRPr="00D86A58">
        <w:rPr>
          <w:i/>
          <w:szCs w:val="24"/>
        </w:rPr>
        <w:t>2026</w:t>
      </w:r>
      <w:r w:rsidR="00FF1687" w:rsidRPr="00D86A58">
        <w:rPr>
          <w:i/>
          <w:szCs w:val="24"/>
        </w:rPr>
        <w:t xml:space="preserve"> et aux remises MREL-TLAC</w:t>
      </w:r>
      <w:r w:rsidR="00381C61" w:rsidRPr="00D86A58">
        <w:rPr>
          <w:i/>
          <w:szCs w:val="24"/>
        </w:rPr>
        <w:t xml:space="preserve"> (jusqu’à l’arrêté déclaratif de 12/2025) </w:t>
      </w:r>
      <w:r w:rsidR="00FF1687" w:rsidRPr="00D86A58">
        <w:rPr>
          <w:i/>
          <w:szCs w:val="24"/>
        </w:rPr>
        <w:t xml:space="preserve">et les notifications d’impraticabilité liées à l’article 55 de BRRD </w:t>
      </w:r>
      <w:r w:rsidR="00D33D53" w:rsidRPr="00D86A58">
        <w:rPr>
          <w:i/>
          <w:szCs w:val="24"/>
          <w:u w:val="single"/>
        </w:rPr>
        <w:t>(</w:t>
      </w:r>
      <w:r w:rsidR="00FF1687" w:rsidRPr="00D86A58">
        <w:rPr>
          <w:i/>
          <w:szCs w:val="24"/>
        </w:rPr>
        <w:t>jusqu’à l’</w:t>
      </w:r>
      <w:r w:rsidR="00D33D53">
        <w:rPr>
          <w:i/>
          <w:szCs w:val="24"/>
        </w:rPr>
        <w:t>arrêté</w:t>
      </w:r>
      <w:r w:rsidR="00FF1687" w:rsidRPr="00D86A58">
        <w:rPr>
          <w:i/>
          <w:szCs w:val="24"/>
        </w:rPr>
        <w:t xml:space="preserve"> de février 2026</w:t>
      </w:r>
      <w:r w:rsidR="00D33D53" w:rsidRPr="00D86A58">
        <w:rPr>
          <w:iCs/>
          <w:szCs w:val="24"/>
          <w:u w:val="single"/>
        </w:rPr>
        <w:t>)</w:t>
      </w:r>
      <w:r w:rsidR="00BF0811" w:rsidRPr="00D86A58">
        <w:rPr>
          <w:iCs/>
          <w:szCs w:val="24"/>
        </w:rPr>
        <w:t>.</w:t>
      </w:r>
    </w:p>
    <w:p w14:paraId="2F6ECC13" w14:textId="77777777" w:rsidR="00BF0811" w:rsidRPr="00D86A58" w:rsidRDefault="00BF0811" w:rsidP="00D86A58">
      <w:pPr>
        <w:pStyle w:val="Paragraphedeliste"/>
        <w:tabs>
          <w:tab w:val="left" w:pos="4678"/>
        </w:tabs>
        <w:jc w:val="both"/>
        <w:rPr>
          <w:i/>
          <w:szCs w:val="24"/>
        </w:rPr>
      </w:pPr>
    </w:p>
    <w:p w14:paraId="79459F51" w14:textId="29A4AABB" w:rsidR="00586AD7" w:rsidRPr="00487FC1" w:rsidRDefault="00586AD7" w:rsidP="00586AD7">
      <w:pPr>
        <w:pStyle w:val="Paragraphedeliste"/>
        <w:numPr>
          <w:ilvl w:val="0"/>
          <w:numId w:val="12"/>
        </w:numPr>
        <w:tabs>
          <w:tab w:val="left" w:pos="4678"/>
        </w:tabs>
        <w:rPr>
          <w:i/>
          <w:szCs w:val="24"/>
        </w:rPr>
      </w:pPr>
      <w:r w:rsidRPr="00D86A58">
        <w:rPr>
          <w:i/>
          <w:szCs w:val="24"/>
        </w:rPr>
        <w:t xml:space="preserve"> la taxonomie </w:t>
      </w:r>
      <w:r w:rsidR="00381C61" w:rsidRPr="00D86A58">
        <w:rPr>
          <w:i/>
          <w:szCs w:val="24"/>
        </w:rPr>
        <w:t xml:space="preserve">RESOL </w:t>
      </w:r>
      <w:r w:rsidRPr="00D86A58">
        <w:rPr>
          <w:i/>
          <w:szCs w:val="24"/>
        </w:rPr>
        <w:t xml:space="preserve">au format XBRL-CSV </w:t>
      </w:r>
      <w:r w:rsidR="00FF1687" w:rsidRPr="00D86A58">
        <w:rPr>
          <w:i/>
          <w:szCs w:val="24"/>
        </w:rPr>
        <w:t>applicable aux remises</w:t>
      </w:r>
      <w:r w:rsidRPr="00D86A58">
        <w:rPr>
          <w:i/>
          <w:szCs w:val="24"/>
        </w:rPr>
        <w:t xml:space="preserve"> </w:t>
      </w:r>
      <w:r w:rsidR="00FF1687" w:rsidRPr="00D86A58">
        <w:rPr>
          <w:i/>
          <w:szCs w:val="24"/>
        </w:rPr>
        <w:t>d</w:t>
      </w:r>
      <w:r w:rsidRPr="00D86A58">
        <w:rPr>
          <w:i/>
          <w:szCs w:val="24"/>
        </w:rPr>
        <w:t>es collectes RESOL1 et RESOL2</w:t>
      </w:r>
      <w:r w:rsidR="00FF1687" w:rsidRPr="00D86A58">
        <w:rPr>
          <w:i/>
          <w:szCs w:val="24"/>
        </w:rPr>
        <w:t xml:space="preserve"> en 2026</w:t>
      </w:r>
      <w:r w:rsidRPr="00D86A58">
        <w:rPr>
          <w:i/>
          <w:szCs w:val="24"/>
        </w:rPr>
        <w:t xml:space="preserve"> ainsi qu</w:t>
      </w:r>
      <w:r w:rsidR="00FF1687" w:rsidRPr="00D86A58">
        <w:rPr>
          <w:i/>
          <w:szCs w:val="24"/>
        </w:rPr>
        <w:t>’aux remises</w:t>
      </w:r>
      <w:r w:rsidRPr="00D86A58">
        <w:rPr>
          <w:i/>
          <w:szCs w:val="24"/>
        </w:rPr>
        <w:t xml:space="preserve"> MREL-TLAC et </w:t>
      </w:r>
      <w:r w:rsidR="00FF1687" w:rsidRPr="00D86A58">
        <w:rPr>
          <w:i/>
          <w:szCs w:val="24"/>
        </w:rPr>
        <w:t>aux</w:t>
      </w:r>
      <w:r w:rsidRPr="00D86A58">
        <w:rPr>
          <w:i/>
          <w:szCs w:val="24"/>
        </w:rPr>
        <w:t xml:space="preserve"> notifications d’impraticabilité liées à l’article 55 de BRRD</w:t>
      </w:r>
      <w:r w:rsidR="00FF1687" w:rsidRPr="00487FC1">
        <w:rPr>
          <w:i/>
          <w:szCs w:val="24"/>
        </w:rPr>
        <w:t xml:space="preserve"> à partir de l’</w:t>
      </w:r>
      <w:r w:rsidR="00D33D53">
        <w:rPr>
          <w:i/>
          <w:szCs w:val="24"/>
        </w:rPr>
        <w:t>arrêté</w:t>
      </w:r>
      <w:r w:rsidR="00FF1687" w:rsidRPr="00487FC1">
        <w:rPr>
          <w:i/>
          <w:szCs w:val="24"/>
        </w:rPr>
        <w:t xml:space="preserve"> de mars 2026</w:t>
      </w:r>
      <w:r w:rsidR="00D33D53">
        <w:rPr>
          <w:i/>
          <w:szCs w:val="24"/>
        </w:rPr>
        <w:t>.</w:t>
      </w:r>
    </w:p>
    <w:p w14:paraId="6B9ECC0C" w14:textId="77777777" w:rsidR="007D6D44" w:rsidRDefault="007D6D44" w:rsidP="007D6D44">
      <w:pPr>
        <w:tabs>
          <w:tab w:val="left" w:pos="4678"/>
        </w:tabs>
        <w:rPr>
          <w:i/>
          <w:szCs w:val="24"/>
        </w:rPr>
      </w:pPr>
    </w:p>
    <w:p w14:paraId="0F25564A" w14:textId="4A4B01BE" w:rsidR="007D6D44" w:rsidRPr="00487FC1" w:rsidRDefault="00C25B68" w:rsidP="007D6D44">
      <w:pPr>
        <w:tabs>
          <w:tab w:val="left" w:pos="4678"/>
        </w:tabs>
        <w:rPr>
          <w:i/>
          <w:szCs w:val="24"/>
        </w:rPr>
      </w:pPr>
      <w:r w:rsidRPr="00D86A58">
        <w:rPr>
          <w:i/>
          <w:szCs w:val="24"/>
        </w:rPr>
        <w:t>NB </w:t>
      </w:r>
      <w:r w:rsidR="007D6D44" w:rsidRPr="00D86A58">
        <w:rPr>
          <w:i/>
          <w:szCs w:val="24"/>
        </w:rPr>
        <w:t xml:space="preserve">: </w:t>
      </w:r>
      <w:r w:rsidR="00EE387A" w:rsidRPr="00D86A58">
        <w:rPr>
          <w:i/>
          <w:szCs w:val="24"/>
        </w:rPr>
        <w:t>le</w:t>
      </w:r>
      <w:r w:rsidR="007D6D44" w:rsidRPr="00D86A58">
        <w:rPr>
          <w:i/>
          <w:szCs w:val="24"/>
        </w:rPr>
        <w:t xml:space="preserve"> </w:t>
      </w:r>
      <w:r w:rsidR="00374A4D" w:rsidRPr="00D86A58">
        <w:rPr>
          <w:i/>
          <w:szCs w:val="24"/>
        </w:rPr>
        <w:t xml:space="preserve">terme </w:t>
      </w:r>
      <w:r w:rsidR="007D6D44" w:rsidRPr="00D86A58">
        <w:rPr>
          <w:i/>
          <w:szCs w:val="24"/>
        </w:rPr>
        <w:t xml:space="preserve">XBRL-XML </w:t>
      </w:r>
      <w:r w:rsidR="00EE387A" w:rsidRPr="00D86A58">
        <w:rPr>
          <w:i/>
          <w:szCs w:val="24"/>
        </w:rPr>
        <w:t>utilisé tout au long d</w:t>
      </w:r>
      <w:r w:rsidR="00374A4D" w:rsidRPr="00D86A58">
        <w:rPr>
          <w:i/>
          <w:szCs w:val="24"/>
        </w:rPr>
        <w:t>e ce</w:t>
      </w:r>
      <w:r w:rsidR="00EE387A" w:rsidRPr="00D86A58">
        <w:rPr>
          <w:i/>
          <w:szCs w:val="24"/>
        </w:rPr>
        <w:t xml:space="preserve"> document désigne ici le format autrefois simplement dénommé XBRL.</w:t>
      </w:r>
      <w:r w:rsidR="00374A4D" w:rsidRPr="00D86A58">
        <w:rPr>
          <w:i/>
          <w:szCs w:val="24"/>
        </w:rPr>
        <w:t xml:space="preserve"> </w:t>
      </w:r>
      <w:r w:rsidR="00EE387A" w:rsidRPr="00D86A58">
        <w:rPr>
          <w:i/>
          <w:szCs w:val="24"/>
        </w:rPr>
        <w:t>Ce</w:t>
      </w:r>
      <w:r w:rsidR="00641026" w:rsidRPr="00D86A58">
        <w:rPr>
          <w:i/>
          <w:szCs w:val="24"/>
        </w:rPr>
        <w:t>tte terminologie plus précise</w:t>
      </w:r>
      <w:r w:rsidR="00EE387A" w:rsidRPr="00D86A58">
        <w:rPr>
          <w:i/>
          <w:szCs w:val="24"/>
        </w:rPr>
        <w:t xml:space="preserve"> </w:t>
      </w:r>
      <w:r w:rsidR="00641026" w:rsidRPr="00D86A58">
        <w:rPr>
          <w:i/>
          <w:szCs w:val="24"/>
        </w:rPr>
        <w:t>(utilisée par l’EBA) permet</w:t>
      </w:r>
      <w:r w:rsidR="00EE387A" w:rsidRPr="00D86A58">
        <w:rPr>
          <w:i/>
          <w:szCs w:val="24"/>
        </w:rPr>
        <w:t xml:space="preserve"> d’éviter </w:t>
      </w:r>
      <w:r w:rsidR="00641026" w:rsidRPr="00D86A58">
        <w:rPr>
          <w:i/>
          <w:szCs w:val="24"/>
        </w:rPr>
        <w:t xml:space="preserve">toute </w:t>
      </w:r>
      <w:r w:rsidR="00EE387A" w:rsidRPr="00D86A58">
        <w:rPr>
          <w:i/>
          <w:szCs w:val="24"/>
        </w:rPr>
        <w:t xml:space="preserve">confusion avec le nouveau format XBRL (XBRL-CSV) appliqué aux collectes </w:t>
      </w:r>
      <w:r w:rsidRPr="00D86A58">
        <w:rPr>
          <w:i/>
          <w:szCs w:val="24"/>
        </w:rPr>
        <w:t xml:space="preserve">RESOL/MREL-TLAC/IMPRACTICABILITY </w:t>
      </w:r>
      <w:r w:rsidR="00EE387A" w:rsidRPr="00D86A58">
        <w:rPr>
          <w:i/>
          <w:szCs w:val="24"/>
        </w:rPr>
        <w:t>à partir de la campagne 2026</w:t>
      </w:r>
      <w:r w:rsidR="007D6D44" w:rsidRPr="00D86A58">
        <w:rPr>
          <w:i/>
          <w:szCs w:val="24"/>
        </w:rPr>
        <w:t>.</w:t>
      </w:r>
    </w:p>
    <w:p w14:paraId="4ACA241F" w14:textId="77777777" w:rsidR="0015371A" w:rsidRPr="00487FC1" w:rsidRDefault="0015371A" w:rsidP="007D6D44">
      <w:pPr>
        <w:tabs>
          <w:tab w:val="left" w:pos="4678"/>
        </w:tabs>
        <w:rPr>
          <w:i/>
          <w:szCs w:val="24"/>
        </w:rPr>
      </w:pPr>
    </w:p>
    <w:p w14:paraId="6C926302" w14:textId="57F02B3A" w:rsidR="0005723D" w:rsidRPr="007D6D44" w:rsidRDefault="0005723D" w:rsidP="007D6D44">
      <w:pPr>
        <w:tabs>
          <w:tab w:val="left" w:pos="4678"/>
        </w:tabs>
        <w:rPr>
          <w:i/>
          <w:szCs w:val="24"/>
        </w:rPr>
      </w:pPr>
      <w:r w:rsidRPr="00D86A58">
        <w:rPr>
          <w:i/>
          <w:szCs w:val="24"/>
        </w:rPr>
        <w:t>Dans ce qui suit l</w:t>
      </w:r>
      <w:r w:rsidR="00541E88" w:rsidRPr="00D86A58">
        <w:rPr>
          <w:i/>
          <w:szCs w:val="24"/>
        </w:rPr>
        <w:t>’emploi du terme</w:t>
      </w:r>
      <w:r w:rsidRPr="00D86A58">
        <w:rPr>
          <w:i/>
          <w:szCs w:val="24"/>
        </w:rPr>
        <w:t xml:space="preserve"> générique XBRL </w:t>
      </w:r>
      <w:r w:rsidR="00541E88" w:rsidRPr="00D86A58">
        <w:rPr>
          <w:i/>
          <w:szCs w:val="24"/>
        </w:rPr>
        <w:t>fera référence à</w:t>
      </w:r>
      <w:r w:rsidRPr="00D86A58">
        <w:rPr>
          <w:i/>
          <w:szCs w:val="24"/>
        </w:rPr>
        <w:t xml:space="preserve"> l’ensemble des formats XBRL (XBRL-XML et XBRL-CSV).</w:t>
      </w:r>
    </w:p>
    <w:p w14:paraId="2405E471" w14:textId="77777777" w:rsidR="00586AD7" w:rsidRDefault="00586AD7" w:rsidP="00272186">
      <w:pPr>
        <w:tabs>
          <w:tab w:val="left" w:pos="4678"/>
        </w:tabs>
        <w:jc w:val="both"/>
        <w:rPr>
          <w:i/>
          <w:szCs w:val="24"/>
        </w:rPr>
      </w:pPr>
    </w:p>
    <w:p w14:paraId="3905B53B" w14:textId="77777777" w:rsidR="00272186" w:rsidRPr="00E00B0F" w:rsidRDefault="00272186" w:rsidP="00272186">
      <w:pPr>
        <w:pStyle w:val="Titre2"/>
        <w:keepLines w:val="0"/>
        <w:numPr>
          <w:ilvl w:val="0"/>
          <w:numId w:val="2"/>
        </w:numPr>
        <w:spacing w:before="240" w:after="120"/>
        <w:rPr>
          <w:rFonts w:ascii="Times New Roman" w:hAnsi="Times New Roman"/>
          <w:b/>
          <w:color w:val="auto"/>
          <w:sz w:val="24"/>
          <w:szCs w:val="24"/>
          <w:u w:val="single"/>
        </w:rPr>
      </w:pPr>
      <w:bookmarkStart w:id="2" w:name="_Toc216046950"/>
      <w:r w:rsidRPr="00E00B0F">
        <w:rPr>
          <w:rFonts w:ascii="Times New Roman" w:hAnsi="Times New Roman"/>
          <w:b/>
          <w:color w:val="auto"/>
          <w:sz w:val="24"/>
          <w:szCs w:val="24"/>
          <w:u w:val="single"/>
        </w:rPr>
        <w:t>Collecte FRU-FRN</w:t>
      </w:r>
      <w:bookmarkEnd w:id="2"/>
    </w:p>
    <w:p w14:paraId="4BB37EEB" w14:textId="77777777" w:rsidR="00D13BA2" w:rsidRPr="004F1663" w:rsidRDefault="00D13BA2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À</w:t>
      </w:r>
      <w:r w:rsidR="00272186">
        <w:rPr>
          <w:szCs w:val="24"/>
        </w:rPr>
        <w:t xml:space="preserve"> compter de la campagne 2023, le format XBRL</w:t>
      </w:r>
      <w:r w:rsidRPr="00D86A58">
        <w:rPr>
          <w:szCs w:val="24"/>
        </w:rPr>
        <w:t>-XML</w:t>
      </w:r>
      <w:r w:rsidR="00272186" w:rsidRPr="004F1663">
        <w:rPr>
          <w:szCs w:val="24"/>
        </w:rPr>
        <w:t xml:space="preserve"> est devenu le format OBLIGATOIRE de remise pour les établissements relevant du Fonds de Résolution National (FRN) ou du Fonds de Résolution Unique (FRU). </w:t>
      </w:r>
    </w:p>
    <w:p w14:paraId="0D2393FF" w14:textId="77777777" w:rsidR="00BF0811" w:rsidRPr="00D86A58" w:rsidRDefault="00BF0811" w:rsidP="00272186">
      <w:pPr>
        <w:tabs>
          <w:tab w:val="left" w:pos="4678"/>
        </w:tabs>
        <w:jc w:val="both"/>
        <w:rPr>
          <w:szCs w:val="24"/>
        </w:rPr>
      </w:pPr>
    </w:p>
    <w:p w14:paraId="2B065D5F" w14:textId="118CE579" w:rsidR="00272186" w:rsidRDefault="00D13BA2" w:rsidP="00272186">
      <w:pPr>
        <w:tabs>
          <w:tab w:val="left" w:pos="4678"/>
        </w:tabs>
        <w:jc w:val="both"/>
        <w:rPr>
          <w:szCs w:val="24"/>
        </w:rPr>
      </w:pPr>
      <w:r w:rsidRPr="00D86A58">
        <w:rPr>
          <w:szCs w:val="24"/>
        </w:rPr>
        <w:t xml:space="preserve">Pour la campagne 2026, la collecte des remises </w:t>
      </w:r>
      <w:r w:rsidR="00272186" w:rsidRPr="00D86A58">
        <w:rPr>
          <w:szCs w:val="24"/>
        </w:rPr>
        <w:t xml:space="preserve">pour le FRU et le FRN, </w:t>
      </w:r>
      <w:r w:rsidR="00272186" w:rsidRPr="00D86A58">
        <w:rPr>
          <w:szCs w:val="24"/>
          <w:u w:val="single"/>
        </w:rPr>
        <w:t xml:space="preserve">débutera </w:t>
      </w:r>
      <w:r w:rsidRPr="00D86A58">
        <w:rPr>
          <w:szCs w:val="24"/>
          <w:u w:val="single"/>
        </w:rPr>
        <w:t>mi-</w:t>
      </w:r>
      <w:r w:rsidR="00272186" w:rsidRPr="00D86A58">
        <w:rPr>
          <w:szCs w:val="24"/>
          <w:u w:val="single"/>
        </w:rPr>
        <w:t>novembre 202</w:t>
      </w:r>
      <w:r w:rsidRPr="00D86A58">
        <w:rPr>
          <w:szCs w:val="24"/>
          <w:u w:val="single"/>
        </w:rPr>
        <w:t>5</w:t>
      </w:r>
      <w:r w:rsidR="00272186" w:rsidRPr="00D86A58">
        <w:rPr>
          <w:szCs w:val="24"/>
          <w:u w:val="single"/>
        </w:rPr>
        <w:t xml:space="preserve"> et se terminera le 15 décembre 202</w:t>
      </w:r>
      <w:r w:rsidR="00BF0811" w:rsidRPr="00D86A58">
        <w:rPr>
          <w:szCs w:val="24"/>
          <w:u w:val="single"/>
        </w:rPr>
        <w:t>5</w:t>
      </w:r>
      <w:r w:rsidR="00272186" w:rsidRPr="00D86A58">
        <w:rPr>
          <w:szCs w:val="24"/>
          <w:u w:val="single"/>
        </w:rPr>
        <w:t>.</w:t>
      </w:r>
    </w:p>
    <w:p w14:paraId="2E38BD2F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1BE8C57" w14:textId="6AF1E80B" w:rsidR="00272186" w:rsidRDefault="00272186" w:rsidP="00272186">
      <w:pPr>
        <w:pStyle w:val="CorpsTexte"/>
        <w:spacing w:before="0"/>
        <w:ind w:left="0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Les </w:t>
      </w:r>
      <w:r w:rsidR="005D107A">
        <w:rPr>
          <w:rFonts w:ascii="Times New Roman" w:hAnsi="Times New Roman" w:cs="Times New Roman"/>
          <w:kern w:val="0"/>
          <w:sz w:val="24"/>
          <w:szCs w:val="24"/>
        </w:rPr>
        <w:t xml:space="preserve">établissements </w:t>
      </w:r>
      <w:r w:rsidR="006A3CCB">
        <w:rPr>
          <w:rFonts w:ascii="Times New Roman" w:hAnsi="Times New Roman" w:cs="Times New Roman"/>
          <w:kern w:val="0"/>
          <w:sz w:val="24"/>
          <w:szCs w:val="24"/>
        </w:rPr>
        <w:t xml:space="preserve">supervisés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peuvent s’appuyer sur les informations taxonomiques disponibles sur le site du CRU à cet emplacement : </w:t>
      </w:r>
      <w:hyperlink r:id="rId10" w:history="1">
        <w:r w:rsidR="005D107A" w:rsidRPr="00D86A58">
          <w:rPr>
            <w:rStyle w:val="Lienhypertexte"/>
            <w:rFonts w:eastAsiaTheme="majorEastAsia"/>
          </w:rPr>
          <w:t>2026 SRF</w:t>
        </w:r>
      </w:hyperlink>
      <w:r w:rsidRPr="00CC6BC5">
        <w:t xml:space="preserve"> </w:t>
      </w:r>
      <w:r w:rsidRPr="00CC6BC5">
        <w:rPr>
          <w:rFonts w:ascii="Times New Roman" w:hAnsi="Times New Roman" w:cs="Times New Roman"/>
          <w:sz w:val="24"/>
          <w:szCs w:val="24"/>
        </w:rPr>
        <w:t xml:space="preserve">et </w:t>
      </w:r>
      <w:r w:rsidR="004D35AF" w:rsidRPr="00CC6BC5">
        <w:rPr>
          <w:rFonts w:ascii="Times New Roman" w:hAnsi="Times New Roman" w:cs="Times New Roman"/>
          <w:sz w:val="24"/>
          <w:szCs w:val="24"/>
        </w:rPr>
        <w:t xml:space="preserve">sur le site </w:t>
      </w:r>
      <w:hyperlink r:id="rId11" w:history="1">
        <w:r w:rsidR="00EC23FF" w:rsidRPr="00D86A58">
          <w:rPr>
            <w:rStyle w:val="Lienhypertexte"/>
            <w:rFonts w:ascii="Times New Roman" w:eastAsiaTheme="majorEastAsia" w:hAnsi="Times New Roman" w:cs="Times New Roman"/>
            <w:sz w:val="24"/>
            <w:szCs w:val="24"/>
          </w:rPr>
          <w:t>eSurfi Banque</w:t>
        </w:r>
      </w:hyperlink>
      <w:r w:rsidR="002A4EB8">
        <w:rPr>
          <w:rFonts w:ascii="Times New Roman" w:hAnsi="Times New Roman" w:cs="Times New Roman"/>
          <w:sz w:val="24"/>
          <w:szCs w:val="24"/>
        </w:rPr>
        <w:t xml:space="preserve"> </w:t>
      </w:r>
      <w:r w:rsidR="00C25B68">
        <w:rPr>
          <w:rFonts w:ascii="Times New Roman" w:hAnsi="Times New Roman" w:cs="Times New Roman"/>
          <w:sz w:val="24"/>
          <w:szCs w:val="24"/>
        </w:rPr>
        <w:t>(Rubrique Fonds de Résolution-campagne 2026)</w:t>
      </w:r>
      <w:r w:rsidR="004D35AF">
        <w:rPr>
          <w:rFonts w:ascii="Times New Roman" w:hAnsi="Times New Roman" w:cs="Times New Roman"/>
          <w:sz w:val="24"/>
          <w:szCs w:val="24"/>
        </w:rPr>
        <w:t>.</w:t>
      </w:r>
    </w:p>
    <w:p w14:paraId="161ABE66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1B070BE6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 xml:space="preserve">Cas spécifique des demandes de corrections des contributions au FRU pour les campagnes précédentes : le format excel reste autorisé seulement pour les remises correctives des campagnes 2015 à 2022, appelées </w:t>
      </w:r>
      <w:r>
        <w:rPr>
          <w:i/>
          <w:szCs w:val="24"/>
        </w:rPr>
        <w:t>restatements,</w:t>
      </w:r>
      <w:r>
        <w:rPr>
          <w:szCs w:val="24"/>
        </w:rPr>
        <w:t xml:space="preserve"> pour les établissements relevant du FRU.</w:t>
      </w:r>
    </w:p>
    <w:p w14:paraId="78603CE9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1F0DA5FE" w14:textId="44572CDD" w:rsidR="00272186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 xml:space="preserve">Les </w:t>
      </w:r>
      <w:r>
        <w:rPr>
          <w:i/>
          <w:szCs w:val="24"/>
        </w:rPr>
        <w:t>restatements</w:t>
      </w:r>
      <w:r>
        <w:rPr>
          <w:szCs w:val="24"/>
        </w:rPr>
        <w:t xml:space="preserve"> des données à partir de la campagne 2023 d</w:t>
      </w:r>
      <w:r w:rsidR="00BA351B">
        <w:rPr>
          <w:szCs w:val="24"/>
        </w:rPr>
        <w:t>oive</w:t>
      </w:r>
      <w:r>
        <w:rPr>
          <w:szCs w:val="24"/>
        </w:rPr>
        <w:t xml:space="preserve">nt être transmis obligatoirement au format </w:t>
      </w:r>
      <w:r w:rsidRPr="007C4100">
        <w:rPr>
          <w:szCs w:val="24"/>
        </w:rPr>
        <w:t>XBRL</w:t>
      </w:r>
      <w:r w:rsidR="00EC23FF" w:rsidRPr="00D86A58">
        <w:rPr>
          <w:szCs w:val="24"/>
        </w:rPr>
        <w:t>-XML</w:t>
      </w:r>
      <w:r w:rsidRPr="007C4100">
        <w:rPr>
          <w:szCs w:val="24"/>
        </w:rPr>
        <w:t>.</w:t>
      </w:r>
    </w:p>
    <w:p w14:paraId="69A5B1C0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14A10099" w14:textId="3FBE6043" w:rsidR="00272186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 xml:space="preserve">Toute demande de </w:t>
      </w:r>
      <w:r>
        <w:rPr>
          <w:i/>
          <w:szCs w:val="24"/>
        </w:rPr>
        <w:t>restatement</w:t>
      </w:r>
      <w:r>
        <w:rPr>
          <w:szCs w:val="24"/>
        </w:rPr>
        <w:t xml:space="preserve"> devra être transmise avant le </w:t>
      </w:r>
      <w:r w:rsidR="00BF0811">
        <w:rPr>
          <w:szCs w:val="24"/>
        </w:rPr>
        <w:t>15 janvier 2026</w:t>
      </w:r>
      <w:r>
        <w:rPr>
          <w:szCs w:val="24"/>
        </w:rPr>
        <w:t xml:space="preserve"> et doit suivre la procédure en ligne sur e-surfi banque.</w:t>
      </w:r>
    </w:p>
    <w:p w14:paraId="7FA0ABFE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51F33B3D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</w:p>
    <w:p w14:paraId="7B3478AF" w14:textId="77777777" w:rsidR="00272186" w:rsidRDefault="00272186" w:rsidP="00272186">
      <w:pPr>
        <w:pStyle w:val="CorpsTexte"/>
        <w:numPr>
          <w:ilvl w:val="0"/>
          <w:numId w:val="2"/>
        </w:numPr>
        <w:spacing w:before="0" w:after="120"/>
        <w:ind w:left="1077" w:hanging="357"/>
        <w:outlineLvl w:val="1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bookmarkStart w:id="3" w:name="_Toc216046951"/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Collecte RESREP</w:t>
      </w:r>
      <w:bookmarkEnd w:id="3"/>
    </w:p>
    <w:p w14:paraId="2706D680" w14:textId="057FD1BF" w:rsidR="00272186" w:rsidRDefault="00C25B68" w:rsidP="00272186">
      <w:pPr>
        <w:pStyle w:val="CorpsTexte"/>
        <w:numPr>
          <w:ilvl w:val="0"/>
          <w:numId w:val="3"/>
        </w:numPr>
        <w:spacing w:before="0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>Jusqu’à la campagne 2025</w:t>
      </w:r>
      <w:r w:rsidR="006E20AF" w:rsidRPr="007C4100">
        <w:rPr>
          <w:rFonts w:ascii="Times New Roman" w:hAnsi="Times New Roman" w:cs="Times New Roman"/>
          <w:kern w:val="0"/>
          <w:sz w:val="24"/>
          <w:szCs w:val="24"/>
          <w:u w:val="single"/>
        </w:rPr>
        <w:t> :</w:t>
      </w:r>
      <w:r w:rsidR="006E20AF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="00272186">
        <w:rPr>
          <w:rFonts w:ascii="Times New Roman" w:hAnsi="Times New Roman" w:cs="Times New Roman"/>
          <w:kern w:val="0"/>
          <w:sz w:val="24"/>
          <w:szCs w:val="24"/>
          <w:u w:val="single"/>
        </w:rPr>
        <w:t>LDR, CFR, FMI et CIR</w:t>
      </w:r>
    </w:p>
    <w:p w14:paraId="4C5FA8F7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0CE1FBFA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Le CRU collecte des données pour établir les plans de résolution en adaptant la taxonomie de l’EBA pour y intégrer des règles de validation supplémentaires.</w:t>
      </w:r>
    </w:p>
    <w:p w14:paraId="548C5D0B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7DA43D1" w14:textId="41CE844E" w:rsidR="00272186" w:rsidRDefault="00152B40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E2977">
        <w:rPr>
          <w:rFonts w:ascii="Times New Roman" w:hAnsi="Times New Roman" w:cs="Times New Roman"/>
          <w:kern w:val="0"/>
          <w:sz w:val="24"/>
          <w:szCs w:val="24"/>
        </w:rPr>
        <w:t>Pour la campagne 2025,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</w:t>
      </w:r>
      <w:r w:rsidR="00272186">
        <w:rPr>
          <w:rFonts w:ascii="Times New Roman" w:hAnsi="Times New Roman" w:cs="Times New Roman"/>
          <w:kern w:val="0"/>
          <w:sz w:val="24"/>
          <w:szCs w:val="24"/>
        </w:rPr>
        <w:t xml:space="preserve">ans les règles de validations publiées sur le </w:t>
      </w:r>
      <w:hyperlink r:id="rId12" w:history="1">
        <w:r w:rsidR="00272186">
          <w:rPr>
            <w:rStyle w:val="Lienhypertexte"/>
            <w:rFonts w:eastAsiaTheme="majorEastAsia"/>
          </w:rPr>
          <w:t>site du CRU</w:t>
        </w:r>
      </w:hyperlink>
      <w:r w:rsidR="00272186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272186">
        <w:rPr>
          <w:rFonts w:ascii="Times New Roman" w:hAnsi="Times New Roman" w:cs="Times New Roman"/>
          <w:i/>
          <w:kern w:val="0"/>
          <w:sz w:val="24"/>
          <w:szCs w:val="24"/>
        </w:rPr>
        <w:t>cf.</w:t>
      </w:r>
      <w:r w:rsidR="00272186">
        <w:rPr>
          <w:rFonts w:ascii="Times New Roman" w:hAnsi="Times New Roman" w:cs="Times New Roman"/>
          <w:kern w:val="0"/>
          <w:sz w:val="24"/>
          <w:szCs w:val="24"/>
        </w:rPr>
        <w:t xml:space="preserve"> tableau ResRep2025_Validation_Rules v6.0), les règles ajoutées par le CRU apparaissent en bleu et celles de l’EBA sont en jaune.</w:t>
      </w:r>
    </w:p>
    <w:p w14:paraId="6A426D66" w14:textId="77777777" w:rsidR="00602493" w:rsidRDefault="00602493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3F4D83D6" w14:textId="420ABA69" w:rsidR="0088718E" w:rsidRDefault="0088718E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3DC8E915" w14:textId="77777777" w:rsidR="00272186" w:rsidRDefault="00272186" w:rsidP="00272186">
      <w:pPr>
        <w:pStyle w:val="CorpsTexte"/>
        <w:spacing w:before="0"/>
        <w:ind w:left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B1FFB89" w14:textId="773F794C" w:rsidR="00C25B68" w:rsidRDefault="00C25B68" w:rsidP="00C25B68">
      <w:pPr>
        <w:pStyle w:val="CorpsTexte"/>
        <w:numPr>
          <w:ilvl w:val="0"/>
          <w:numId w:val="2"/>
        </w:numPr>
        <w:spacing w:before="0" w:after="120"/>
        <w:ind w:left="1077" w:hanging="357"/>
        <w:outlineLvl w:val="1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bookmarkStart w:id="4" w:name="_Toc216046952"/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Collecte RESOL</w:t>
      </w:r>
      <w:bookmarkEnd w:id="4"/>
    </w:p>
    <w:p w14:paraId="0511FE33" w14:textId="77777777" w:rsidR="00C25B68" w:rsidRDefault="00C25B68" w:rsidP="00272186">
      <w:pPr>
        <w:pStyle w:val="CorpsTexte"/>
        <w:spacing w:before="0"/>
        <w:ind w:left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41481ED" w14:textId="69A946A8" w:rsidR="00851E96" w:rsidRPr="00D86A58" w:rsidRDefault="0015371A" w:rsidP="00272186">
      <w:pPr>
        <w:pStyle w:val="CorpsTexte"/>
        <w:numPr>
          <w:ilvl w:val="0"/>
          <w:numId w:val="3"/>
        </w:numPr>
        <w:spacing w:before="0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>À</w:t>
      </w:r>
      <w:r w:rsidR="00851E96"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="00C25B68"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compter </w:t>
      </w:r>
      <w:r w:rsidR="00851E96"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>de la campagne 2026 : RESOL1 et RESOL2</w:t>
      </w:r>
    </w:p>
    <w:p w14:paraId="4858F66D" w14:textId="77777777" w:rsidR="004A75E1" w:rsidRPr="00D86A58" w:rsidRDefault="004A75E1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1AF16586" w14:textId="77C47F6A" w:rsidR="00851E96" w:rsidRPr="00D86A58" w:rsidRDefault="00851E96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À partir de la campagne 2026, les données qui étaient transmises via les collectes LDR, CFR, FMIR et CIR seront transmises via les remises des collectes RESOL1 et RESOL2.</w:t>
      </w:r>
    </w:p>
    <w:p w14:paraId="34D77C18" w14:textId="11FB1F23" w:rsidR="00851E96" w:rsidRPr="00D86A58" w:rsidRDefault="00851E96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Les collectes RESOL1 et RESOL2 seront exclusivement au format XBRL-CSV.</w:t>
      </w:r>
    </w:p>
    <w:p w14:paraId="2DC97923" w14:textId="77777777" w:rsidR="00B54DD7" w:rsidRPr="00D86A58" w:rsidRDefault="00B54DD7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705A5E6" w14:textId="1EBA20E7" w:rsidR="00B54DD7" w:rsidRDefault="00B54DD7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Les dates limites pour les dépôts sont les suivantes :</w:t>
      </w:r>
    </w:p>
    <w:p w14:paraId="6E7F5A0C" w14:textId="77777777" w:rsidR="00B54DD7" w:rsidRDefault="00B54DD7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977"/>
      </w:tblGrid>
      <w:tr w:rsidR="00B54DD7" w14:paraId="55CA1665" w14:textId="77777777" w:rsidTr="00B54DD7">
        <w:tc>
          <w:tcPr>
            <w:tcW w:w="2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E93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80D6C2" w14:textId="77777777" w:rsidR="00B54DD7" w:rsidRDefault="00B54DD7" w:rsidP="000B2D77">
            <w:pPr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lang w:eastAsia="en-GB"/>
              </w:rPr>
              <w:t>Report</w:t>
            </w:r>
          </w:p>
        </w:tc>
        <w:tc>
          <w:tcPr>
            <w:tcW w:w="2977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5E93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B982F" w14:textId="77777777" w:rsidR="00B54DD7" w:rsidRDefault="00B54DD7" w:rsidP="000B2D77">
            <w:pPr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lang w:eastAsia="en-GB"/>
              </w:rPr>
              <w:t>Bank submission deadline</w:t>
            </w:r>
          </w:p>
        </w:tc>
      </w:tr>
      <w:tr w:rsidR="00B54DD7" w14:paraId="17A55A88" w14:textId="77777777" w:rsidTr="00B54DD7"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E93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C9F9EE" w14:textId="717F02BD" w:rsidR="00B54DD7" w:rsidRDefault="00B54DD7" w:rsidP="000B2D77">
            <w:pPr>
              <w:rPr>
                <w:rFonts w:ascii="Arial" w:eastAsia="Calibri" w:hAnsi="Arial" w:cs="Arial"/>
                <w:sz w:val="20"/>
                <w:lang w:val="en-US" w:eastAsia="en-GB"/>
              </w:rPr>
            </w:pPr>
            <w:r>
              <w:rPr>
                <w:rFonts w:ascii="Arial" w:eastAsia="Calibri" w:hAnsi="Arial" w:cs="Arial"/>
                <w:color w:val="FFFFFF"/>
                <w:sz w:val="20"/>
                <w:lang w:val="en-US" w:eastAsia="en-GB"/>
              </w:rPr>
              <w:t>RESOL1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C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86061E" w14:textId="7B97C021" w:rsidR="00B54DD7" w:rsidRDefault="00B54DD7" w:rsidP="000B2D77">
            <w:pPr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31 March 2026</w:t>
            </w:r>
          </w:p>
        </w:tc>
      </w:tr>
      <w:tr w:rsidR="00B54DD7" w14:paraId="6D92ADA8" w14:textId="77777777" w:rsidTr="00B54DD7">
        <w:tc>
          <w:tcPr>
            <w:tcW w:w="22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E93D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8EDEA2" w14:textId="00D2BBF5" w:rsidR="00B54DD7" w:rsidRDefault="00B54DD7" w:rsidP="000B2D77">
            <w:pPr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color w:val="FFFFFF"/>
                <w:sz w:val="20"/>
                <w:lang w:eastAsia="en-GB"/>
              </w:rPr>
              <w:t>RESOL2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EF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FD4C7" w14:textId="1E089158" w:rsidR="00B54DD7" w:rsidRDefault="00B54DD7" w:rsidP="000B2D77">
            <w:pPr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30 April 202</w:t>
            </w:r>
            <w:r w:rsidR="0015371A">
              <w:rPr>
                <w:rFonts w:ascii="Arial" w:eastAsia="Calibri" w:hAnsi="Arial" w:cs="Arial"/>
                <w:sz w:val="20"/>
                <w:lang w:eastAsia="en-GB"/>
              </w:rPr>
              <w:t>6</w:t>
            </w:r>
          </w:p>
        </w:tc>
      </w:tr>
    </w:tbl>
    <w:p w14:paraId="44CBBE34" w14:textId="77777777" w:rsidR="00B54DD7" w:rsidRDefault="00B54DD7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742CE945" w14:textId="77777777" w:rsidR="00926BD1" w:rsidRDefault="00926BD1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A2228F2" w14:textId="2F3945DD" w:rsidR="00926BD1" w:rsidRPr="00D86A58" w:rsidRDefault="00926BD1" w:rsidP="00D86A58">
      <w:pPr>
        <w:pStyle w:val="CorpsTexte"/>
        <w:numPr>
          <w:ilvl w:val="0"/>
          <w:numId w:val="2"/>
        </w:numPr>
        <w:spacing w:before="0" w:after="120"/>
        <w:ind w:left="1077" w:hanging="357"/>
        <w:outlineLvl w:val="1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bookmarkStart w:id="5" w:name="_Toc216046953"/>
      <w:r w:rsidRPr="00D86A58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Collectes MREL-TLAC et IMPRACTICABILITY</w:t>
      </w:r>
      <w:bookmarkEnd w:id="5"/>
    </w:p>
    <w:p w14:paraId="511CB6EA" w14:textId="77777777" w:rsidR="00926BD1" w:rsidRDefault="00926BD1" w:rsidP="00D86A58">
      <w:pPr>
        <w:pStyle w:val="CorpsTexte"/>
        <w:numPr>
          <w:ilvl w:val="0"/>
          <w:numId w:val="3"/>
        </w:numPr>
        <w:spacing w:before="0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Déclaration du respect des exigences de fonds propres (MREL-TLAC)</w:t>
      </w:r>
    </w:p>
    <w:p w14:paraId="55A205C6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43C463CE" w14:textId="3239C489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Le CRU collecte également pour le compte de l’EBA le 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MREL-TLAC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en application du règlement d’exécution 2021/763/UE du 23/04/2021.</w:t>
      </w:r>
    </w:p>
    <w:p w14:paraId="6035BEBC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08E31787" w14:textId="77777777" w:rsidR="00926BD1" w:rsidRPr="00D86A58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Pour la remise de l’arrêté de 12/2025, les deux formats de remise (XBRL-XML et XBRL-CSV) sont acceptés.</w:t>
      </w:r>
    </w:p>
    <w:p w14:paraId="0B0A58BC" w14:textId="77777777" w:rsidR="00926BD1" w:rsidRPr="00D86A58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6FACABD" w14:textId="3E4C9087" w:rsidR="00926BD1" w:rsidRPr="00D86A58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À compter de l’arrêté de Mars 2026, seul le format XBRL-CSV est autorisé.</w:t>
      </w:r>
    </w:p>
    <w:p w14:paraId="7E406F1A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</w:p>
    <w:p w14:paraId="08F32C5D" w14:textId="77777777" w:rsidR="00926BD1" w:rsidRP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 xml:space="preserve">La taxonomie 2026 est publiée sur le site de l’EBA : </w:t>
      </w:r>
      <w:hyperlink r:id="rId13" w:history="1">
        <w:r w:rsidRPr="00D86A58">
          <w:rPr>
            <w:rStyle w:val="Lienhypertexte"/>
            <w:rFonts w:ascii="Times New Roman" w:hAnsi="Times New Roman" w:cs="Times New Roman"/>
            <w:kern w:val="0"/>
            <w:sz w:val="24"/>
            <w:szCs w:val="24"/>
          </w:rPr>
          <w:t>Taxonomie EBA 4.2</w:t>
        </w:r>
      </w:hyperlink>
    </w:p>
    <w:p w14:paraId="73F99F42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Les remises relatives aux arrêtés antérieurs à mars 2026 conservent le format XBRL-XML comme format de remise autorisée/obligatoire.</w:t>
      </w:r>
    </w:p>
    <w:p w14:paraId="4A5F9F03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1640FA1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>Taxonomies à utiliser pour les campagnes antérieures à 2026 :</w:t>
      </w:r>
    </w:p>
    <w:p w14:paraId="06B86FA7" w14:textId="77777777" w:rsidR="00926BD1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Jusqu’à fin 2024, il conviendra d’utiliser </w:t>
      </w:r>
      <w:r>
        <w:rPr>
          <w:rStyle w:val="Lienhypertexte"/>
          <w:rFonts w:eastAsiaTheme="majorEastAsia"/>
        </w:rPr>
        <w:t xml:space="preserve">cette </w:t>
      </w:r>
      <w:hyperlink r:id="rId14" w:history="1">
        <w:r>
          <w:rPr>
            <w:rStyle w:val="Lienhypertexte"/>
            <w:rFonts w:eastAsiaTheme="majorEastAsia"/>
          </w:rPr>
          <w:t>taxonomie de l'EBA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7C69A746" w14:textId="6CA01D2D" w:rsidR="00851E96" w:rsidRDefault="00926BD1" w:rsidP="00926BD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À partir de 2025, il conviendra d’utiliser </w:t>
      </w:r>
      <w:hyperlink r:id="rId15" w:history="1">
        <w:r>
          <w:rPr>
            <w:rStyle w:val="Lienhypertexte"/>
            <w:rFonts w:eastAsiaTheme="majorEastAsia"/>
          </w:rPr>
          <w:t>cette taxonomie</w:t>
        </w:r>
      </w:hyperlink>
    </w:p>
    <w:p w14:paraId="124052D9" w14:textId="77777777" w:rsidR="00926BD1" w:rsidRPr="00851E96" w:rsidRDefault="00926BD1" w:rsidP="00851E9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FA29C13" w14:textId="5302F8ED" w:rsidR="00272186" w:rsidRDefault="00272186" w:rsidP="00272186">
      <w:pPr>
        <w:pStyle w:val="CorpsTexte"/>
        <w:numPr>
          <w:ilvl w:val="0"/>
          <w:numId w:val="3"/>
        </w:numPr>
        <w:spacing w:before="0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Notification de l’autorité de résolution liée à l’article 55 de BRRD</w:t>
      </w:r>
    </w:p>
    <w:p w14:paraId="7C4A6FBF" w14:textId="77777777" w:rsidR="00272186" w:rsidRDefault="00272186" w:rsidP="00272186">
      <w:pPr>
        <w:pStyle w:val="CorpsTexte"/>
        <w:spacing w:before="0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382FB887" w14:textId="66A7216A" w:rsidR="00851E96" w:rsidRDefault="0015371A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À</w:t>
      </w:r>
      <w:r w:rsidR="00851E96">
        <w:rPr>
          <w:rFonts w:ascii="Times New Roman" w:hAnsi="Times New Roman" w:cs="Times New Roman"/>
          <w:kern w:val="0"/>
          <w:sz w:val="24"/>
          <w:szCs w:val="24"/>
        </w:rPr>
        <w:t xml:space="preserve"> partir de l</w:t>
      </w:r>
      <w:r w:rsidR="004A75E1">
        <w:rPr>
          <w:rFonts w:ascii="Times New Roman" w:hAnsi="Times New Roman" w:cs="Times New Roman"/>
          <w:kern w:val="0"/>
          <w:sz w:val="24"/>
          <w:szCs w:val="24"/>
        </w:rPr>
        <w:t xml:space="preserve">a remise relative à l’arrêté de Mars 2026, </w:t>
      </w:r>
      <w:r w:rsidR="00851E96">
        <w:rPr>
          <w:rFonts w:ascii="Times New Roman" w:hAnsi="Times New Roman" w:cs="Times New Roman"/>
          <w:kern w:val="0"/>
          <w:sz w:val="24"/>
          <w:szCs w:val="24"/>
        </w:rPr>
        <w:t xml:space="preserve"> les déclarations par les établissements des passifs sous régime de pays tiers pour lesquels la clause de </w:t>
      </w:r>
      <w:r w:rsidR="00851E96" w:rsidRPr="00D86A58">
        <w:rPr>
          <w:rFonts w:ascii="Times New Roman" w:hAnsi="Times New Roman" w:cs="Times New Roman"/>
          <w:kern w:val="0"/>
          <w:sz w:val="24"/>
          <w:szCs w:val="24"/>
        </w:rPr>
        <w:t>reconnaissance</w:t>
      </w:r>
      <w:r w:rsidR="00851E96" w:rsidRPr="00926BD1">
        <w:rPr>
          <w:rFonts w:ascii="Times New Roman" w:hAnsi="Times New Roman" w:cs="Times New Roman"/>
          <w:kern w:val="0"/>
          <w:sz w:val="24"/>
          <w:szCs w:val="24"/>
        </w:rPr>
        <w:t xml:space="preserve"> du bail-in n’a pas été incluse (</w:t>
      </w:r>
      <w:r w:rsidR="00851E96" w:rsidRPr="00926BD1">
        <w:rPr>
          <w:rFonts w:ascii="Times New Roman" w:hAnsi="Times New Roman" w:cs="Times New Roman"/>
          <w:b/>
          <w:kern w:val="0"/>
          <w:sz w:val="24"/>
          <w:szCs w:val="24"/>
        </w:rPr>
        <w:t>Impraticabilité de l’art 55 de BRRD</w:t>
      </w:r>
      <w:r w:rsidR="00851E96" w:rsidRPr="00926BD1">
        <w:rPr>
          <w:rFonts w:ascii="Times New Roman" w:hAnsi="Times New Roman" w:cs="Times New Roman"/>
          <w:kern w:val="0"/>
          <w:sz w:val="24"/>
          <w:szCs w:val="24"/>
        </w:rPr>
        <w:t>)</w:t>
      </w:r>
      <w:r w:rsidR="004B4FBF" w:rsidRPr="00926BD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B4FBF" w:rsidRPr="00D86A58">
        <w:rPr>
          <w:rFonts w:ascii="Times New Roman" w:hAnsi="Times New Roman" w:cs="Times New Roman"/>
          <w:kern w:val="0"/>
          <w:sz w:val="24"/>
          <w:szCs w:val="24"/>
        </w:rPr>
        <w:t>se feront au format XBRL-CSV</w:t>
      </w:r>
      <w:r w:rsidR="007123D3" w:rsidRPr="00926BD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5699494" w14:textId="77777777" w:rsidR="0015371A" w:rsidRDefault="0015371A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DE0408B" w14:textId="463058A7" w:rsidR="004A75E1" w:rsidRDefault="004A75E1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Pour les arrêtés de 12/2025 à février 2026, les deux formats de remises (XBRL-XML et XBRL-CSV) sont acceptés.</w:t>
      </w:r>
    </w:p>
    <w:p w14:paraId="6121B400" w14:textId="77777777" w:rsidR="0015371A" w:rsidRDefault="0015371A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5199098" w14:textId="02928D72" w:rsidR="004A75E1" w:rsidRDefault="004A75E1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compter de l’arrêté de Mars 2026, seul le format XBRL-CSV sera autorisé. </w:t>
      </w:r>
    </w:p>
    <w:p w14:paraId="4958EEBD" w14:textId="77777777" w:rsidR="004A75E1" w:rsidRDefault="004A75E1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14C81884" w14:textId="217A4EE6" w:rsidR="008B2C0E" w:rsidRDefault="008B2C0E" w:rsidP="00272186">
      <w:pPr>
        <w:pStyle w:val="CorpsTexte"/>
        <w:spacing w:before="0"/>
        <w:ind w:left="0"/>
      </w:pPr>
      <w:r w:rsidRPr="00D86A58">
        <w:rPr>
          <w:rFonts w:ascii="Times New Roman" w:hAnsi="Times New Roman" w:cs="Times New Roman"/>
          <w:kern w:val="0"/>
          <w:sz w:val="24"/>
          <w:szCs w:val="24"/>
        </w:rPr>
        <w:t xml:space="preserve">La taxonomie 2026 est publiée sur le site de l’EBA : </w:t>
      </w:r>
      <w:hyperlink r:id="rId16" w:history="1">
        <w:r w:rsidRPr="00D86A58">
          <w:rPr>
            <w:rStyle w:val="Lienhypertexte"/>
            <w:rFonts w:ascii="Times New Roman" w:hAnsi="Times New Roman" w:cs="Times New Roman"/>
            <w:kern w:val="0"/>
            <w:sz w:val="24"/>
            <w:szCs w:val="24"/>
          </w:rPr>
          <w:t>Taxonomie EBA 4.2</w:t>
        </w:r>
      </w:hyperlink>
    </w:p>
    <w:p w14:paraId="25ED9844" w14:textId="77777777" w:rsidR="0015371A" w:rsidRDefault="0015371A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9890767" w14:textId="1684A808" w:rsidR="008B2C0E" w:rsidRDefault="008B2C0E" w:rsidP="00272186">
      <w:pPr>
        <w:pStyle w:val="CorpsTexte"/>
        <w:spacing w:before="0"/>
        <w:ind w:left="0"/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La taxonomie 2025 est publiée sur le site du CRU : </w:t>
      </w:r>
      <w:hyperlink r:id="rId17" w:history="1">
        <w:r>
          <w:rPr>
            <w:rStyle w:val="Lienhypertexte"/>
            <w:rFonts w:ascii="Times New Roman" w:eastAsiaTheme="majorEastAsia" w:hAnsi="Times New Roman" w:cs="Times New Roman"/>
            <w:kern w:val="0"/>
            <w:sz w:val="24"/>
            <w:szCs w:val="24"/>
          </w:rPr>
          <w:t>Taxonomie Impracticability CRU</w:t>
        </w:r>
      </w:hyperlink>
    </w:p>
    <w:p w14:paraId="3048A91B" w14:textId="77777777" w:rsidR="0015371A" w:rsidRDefault="0015371A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025D1B50" w14:textId="77777777" w:rsidR="00272186" w:rsidRDefault="00272186" w:rsidP="00272186">
      <w:pPr>
        <w:pStyle w:val="CorpsTexte"/>
        <w:spacing w:before="0" w:after="12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Cette collecte est possible tout au long de l’année.</w:t>
      </w:r>
    </w:p>
    <w:p w14:paraId="54C75C6D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7F31AA92" w14:textId="77777777" w:rsidR="00272186" w:rsidRDefault="00272186" w:rsidP="00272186">
      <w:pPr>
        <w:pStyle w:val="CorpsTexte"/>
        <w:numPr>
          <w:ilvl w:val="0"/>
          <w:numId w:val="2"/>
        </w:numPr>
        <w:spacing w:before="0" w:after="120"/>
        <w:ind w:left="1077" w:hanging="357"/>
        <w:outlineLvl w:val="1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bookmarkStart w:id="6" w:name="_Toc216046954"/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Détail des attendus</w:t>
      </w:r>
      <w:bookmarkEnd w:id="6"/>
    </w:p>
    <w:p w14:paraId="2F698F3D" w14:textId="5E21CF6C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L’ACPR met à disposition de chaque </w:t>
      </w:r>
      <w:r w:rsidR="006E0754">
        <w:rPr>
          <w:rFonts w:ascii="Times New Roman" w:hAnsi="Times New Roman" w:cs="Times New Roman"/>
          <w:kern w:val="0"/>
          <w:sz w:val="24"/>
          <w:szCs w:val="24"/>
        </w:rPr>
        <w:t>supervisé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par échéance, la liste détaillée des états attendus dans son système d’information (carte de visite). </w:t>
      </w:r>
    </w:p>
    <w:p w14:paraId="7FA8D5B9" w14:textId="77777777" w:rsidR="00272186" w:rsidRDefault="00272186" w:rsidP="00272186">
      <w:pPr>
        <w:tabs>
          <w:tab w:val="left" w:pos="4678"/>
        </w:tabs>
        <w:jc w:val="both"/>
        <w:rPr>
          <w:i/>
          <w:szCs w:val="24"/>
        </w:rPr>
      </w:pPr>
      <w:r>
        <w:rPr>
          <w:szCs w:val="24"/>
        </w:rPr>
        <w:t>Ce document correspond aux détails des attendus REGAR, disponible sur le portail ONEGATE (Menu SUIVI, Sous-menu : Documents dans le domaine FDE)</w:t>
      </w:r>
      <w:r>
        <w:rPr>
          <w:i/>
          <w:szCs w:val="24"/>
        </w:rPr>
        <w:t>.</w:t>
      </w:r>
    </w:p>
    <w:p w14:paraId="0B1C0DC0" w14:textId="77777777" w:rsidR="00272186" w:rsidRDefault="00272186" w:rsidP="00272186">
      <w:pPr>
        <w:tabs>
          <w:tab w:val="left" w:pos="4678"/>
        </w:tabs>
        <w:jc w:val="both"/>
        <w:rPr>
          <w:i/>
          <w:szCs w:val="24"/>
        </w:rPr>
      </w:pPr>
    </w:p>
    <w:p w14:paraId="4E4835D2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Ce détail des attendus est actualisé à chaque ouverture de collecte pour une campagne et à chaque mise à jour. Vous pourriez donc en recevoir plusieurs pour une même campagne, nous vous prions de bien vouloir consulter régulièrement cette rubrique afin d’être informés des attendus pour votre établissement.</w:t>
      </w:r>
    </w:p>
    <w:p w14:paraId="08D38536" w14:textId="77777777" w:rsidR="0015371A" w:rsidRDefault="0015371A" w:rsidP="00272186">
      <w:pPr>
        <w:tabs>
          <w:tab w:val="left" w:pos="4678"/>
        </w:tabs>
        <w:jc w:val="both"/>
        <w:rPr>
          <w:szCs w:val="24"/>
        </w:rPr>
      </w:pPr>
    </w:p>
    <w:p w14:paraId="4D43B311" w14:textId="77777777" w:rsidR="00C60545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 xml:space="preserve">Depuis la campagne 2024 le détail des attendus </w:t>
      </w:r>
      <w:r w:rsidR="00C60545">
        <w:rPr>
          <w:szCs w:val="24"/>
        </w:rPr>
        <w:t>a été</w:t>
      </w:r>
      <w:r>
        <w:rPr>
          <w:szCs w:val="24"/>
        </w:rPr>
        <w:t xml:space="preserve"> enrichi</w:t>
      </w:r>
      <w:r w:rsidR="00C60545">
        <w:rPr>
          <w:szCs w:val="24"/>
        </w:rPr>
        <w:t>, p</w:t>
      </w:r>
      <w:r>
        <w:rPr>
          <w:szCs w:val="24"/>
        </w:rPr>
        <w:t>our chaque collecte</w:t>
      </w:r>
      <w:r w:rsidR="00C60545">
        <w:rPr>
          <w:szCs w:val="24"/>
        </w:rPr>
        <w:t>,</w:t>
      </w:r>
      <w:r>
        <w:rPr>
          <w:szCs w:val="24"/>
        </w:rPr>
        <w:t xml:space="preserve"> de la date de réception de la dernière remise reçue et de son statut (valide, anomalies constatés, invalide)</w:t>
      </w:r>
      <w:r w:rsidR="00C60545">
        <w:rPr>
          <w:szCs w:val="24"/>
        </w:rPr>
        <w:t>.</w:t>
      </w:r>
    </w:p>
    <w:p w14:paraId="4345A689" w14:textId="381C426E" w:rsidR="00272186" w:rsidRDefault="00C60545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Si</w:t>
      </w:r>
      <w:r w:rsidR="00272186">
        <w:rPr>
          <w:szCs w:val="24"/>
        </w:rPr>
        <w:t xml:space="preserve"> une remise a déjà été traitée lors de l’émission d’une nouvelle carte de visite (pas de réémission de la carte de visite à réception d’une remise, le CRC (compte-rendu de collecte) est toujours remis après chaque dépôt).</w:t>
      </w:r>
    </w:p>
    <w:p w14:paraId="197D9168" w14:textId="77777777" w:rsidR="0015371A" w:rsidRDefault="0015371A" w:rsidP="00272186">
      <w:pPr>
        <w:tabs>
          <w:tab w:val="left" w:pos="4678"/>
        </w:tabs>
        <w:jc w:val="both"/>
        <w:rPr>
          <w:szCs w:val="24"/>
        </w:rPr>
      </w:pPr>
    </w:p>
    <w:p w14:paraId="3AB1138D" w14:textId="1C3D6FC6" w:rsidR="006A3CCB" w:rsidRDefault="006A3CCB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La campagne 2026 verra le format du détail des attendus amendé avec la mise en place du reporting RESOL en lieu et place de la collecte RESREP</w:t>
      </w:r>
      <w:r w:rsidR="001E7360">
        <w:rPr>
          <w:szCs w:val="24"/>
        </w:rPr>
        <w:t>.</w:t>
      </w:r>
    </w:p>
    <w:p w14:paraId="6212A92A" w14:textId="77777777" w:rsidR="00272186" w:rsidRDefault="00272186" w:rsidP="00272186">
      <w:pPr>
        <w:tabs>
          <w:tab w:val="left" w:pos="4678"/>
        </w:tabs>
        <w:jc w:val="both"/>
        <w:rPr>
          <w:i/>
          <w:szCs w:val="24"/>
        </w:rPr>
      </w:pPr>
    </w:p>
    <w:p w14:paraId="00F09078" w14:textId="77777777" w:rsidR="00272186" w:rsidRPr="00D86A58" w:rsidRDefault="00272186" w:rsidP="00272186">
      <w:pPr>
        <w:pStyle w:val="CorpsTexte"/>
        <w:numPr>
          <w:ilvl w:val="0"/>
          <w:numId w:val="2"/>
        </w:numPr>
        <w:spacing w:before="0" w:after="120"/>
        <w:ind w:left="1077" w:hanging="357"/>
        <w:outlineLvl w:val="1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bookmarkStart w:id="7" w:name="_Toc216046955"/>
      <w:r w:rsidRPr="00D86A58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Règle générale de remise en XBRL</w:t>
      </w:r>
      <w:bookmarkEnd w:id="7"/>
    </w:p>
    <w:p w14:paraId="27E307C3" w14:textId="77777777" w:rsidR="00272186" w:rsidRPr="00D86A58" w:rsidRDefault="00272186" w:rsidP="00272186">
      <w:pPr>
        <w:tabs>
          <w:tab w:val="left" w:pos="4678"/>
        </w:tabs>
        <w:jc w:val="both"/>
        <w:rPr>
          <w:szCs w:val="24"/>
        </w:rPr>
      </w:pPr>
      <w:r w:rsidRPr="00D86A58">
        <w:rPr>
          <w:szCs w:val="24"/>
        </w:rPr>
        <w:t>Pour rappel, les remises XBRL Résolution doivent respecter les règles génériques suivantes :</w:t>
      </w:r>
    </w:p>
    <w:p w14:paraId="4BAD9836" w14:textId="77777777" w:rsidR="00272186" w:rsidRPr="00D86A58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5DB522D3" w14:textId="77777777" w:rsidR="00272186" w:rsidRPr="00D86A58" w:rsidRDefault="00272186" w:rsidP="00272186">
      <w:pPr>
        <w:numPr>
          <w:ilvl w:val="2"/>
          <w:numId w:val="4"/>
        </w:numPr>
        <w:tabs>
          <w:tab w:val="clear" w:pos="2160"/>
          <w:tab w:val="num" w:pos="851"/>
          <w:tab w:val="left" w:pos="4678"/>
        </w:tabs>
        <w:ind w:hanging="1593"/>
        <w:jc w:val="both"/>
        <w:rPr>
          <w:szCs w:val="24"/>
        </w:rPr>
      </w:pPr>
      <w:r w:rsidRPr="00D86A58">
        <w:rPr>
          <w:szCs w:val="24"/>
        </w:rPr>
        <w:t>Une remise doit concerner l’instance d’un seul établissement</w:t>
      </w:r>
    </w:p>
    <w:p w14:paraId="0905DAAA" w14:textId="77777777" w:rsidR="00272186" w:rsidRPr="00D86A58" w:rsidRDefault="00272186" w:rsidP="00272186">
      <w:pPr>
        <w:numPr>
          <w:ilvl w:val="2"/>
          <w:numId w:val="4"/>
        </w:numPr>
        <w:tabs>
          <w:tab w:val="clear" w:pos="2160"/>
          <w:tab w:val="num" w:pos="851"/>
          <w:tab w:val="left" w:pos="4678"/>
        </w:tabs>
        <w:ind w:hanging="1593"/>
        <w:jc w:val="both"/>
        <w:rPr>
          <w:szCs w:val="24"/>
        </w:rPr>
      </w:pPr>
      <w:r w:rsidRPr="00D86A58">
        <w:rPr>
          <w:szCs w:val="24"/>
        </w:rPr>
        <w:t>Abandon du préfixe obligatoire dans le nom du fichier</w:t>
      </w:r>
    </w:p>
    <w:p w14:paraId="2DCAEDE3" w14:textId="7B6D6429" w:rsidR="00272186" w:rsidRDefault="00272186" w:rsidP="00272186">
      <w:pPr>
        <w:pStyle w:val="Titre1"/>
        <w:keepLines w:val="0"/>
        <w:numPr>
          <w:ilvl w:val="0"/>
          <w:numId w:val="1"/>
        </w:numPr>
        <w:spacing w:before="480" w:after="240"/>
        <w:ind w:left="805" w:hanging="448"/>
        <w:rPr>
          <w:rFonts w:ascii="Calibri" w:hAnsi="Calibri"/>
          <w:caps/>
          <w:sz w:val="28"/>
          <w:szCs w:val="28"/>
        </w:rPr>
      </w:pPr>
      <w:bookmarkStart w:id="8" w:name="_Toc216046956"/>
      <w:r>
        <w:rPr>
          <w:rFonts w:ascii="Calibri" w:hAnsi="Calibri"/>
          <w:caps/>
          <w:sz w:val="28"/>
          <w:szCs w:val="28"/>
        </w:rPr>
        <w:t>Canal de transmission</w:t>
      </w:r>
      <w:bookmarkEnd w:id="8"/>
    </w:p>
    <w:p w14:paraId="5D14EE29" w14:textId="77777777" w:rsidR="00272186" w:rsidRDefault="00272186" w:rsidP="00272186">
      <w:pPr>
        <w:tabs>
          <w:tab w:val="left" w:pos="4678"/>
        </w:tabs>
        <w:jc w:val="both"/>
        <w:rPr>
          <w:b/>
          <w:szCs w:val="24"/>
        </w:rPr>
      </w:pPr>
      <w:r>
        <w:rPr>
          <w:szCs w:val="24"/>
        </w:rPr>
        <w:t xml:space="preserve">Les établissements remettent leurs déclarations en se connectant au portail OneGate </w:t>
      </w:r>
      <w:r>
        <w:rPr>
          <w:b/>
          <w:szCs w:val="24"/>
        </w:rPr>
        <w:t>(format bureautique).</w:t>
      </w:r>
    </w:p>
    <w:p w14:paraId="07018CCA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6182D874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  <w:r>
        <w:rPr>
          <w:szCs w:val="24"/>
        </w:rPr>
        <w:t>Vous trouverez sur eSurfi banque au lien ci-après, le guide utilisateur dédié aux remises des collectes Résolution ainsi que les démarches à suivre pour les accréditations à Onegate.</w:t>
      </w:r>
    </w:p>
    <w:p w14:paraId="73B6C762" w14:textId="77777777" w:rsidR="00272186" w:rsidRDefault="00272186" w:rsidP="00272186">
      <w:pPr>
        <w:tabs>
          <w:tab w:val="left" w:pos="4678"/>
        </w:tabs>
        <w:jc w:val="both"/>
        <w:rPr>
          <w:szCs w:val="24"/>
        </w:rPr>
      </w:pPr>
    </w:p>
    <w:p w14:paraId="460BF45C" w14:textId="4DFC16AD" w:rsidR="00272186" w:rsidRDefault="00272186" w:rsidP="00272186">
      <w:pPr>
        <w:tabs>
          <w:tab w:val="left" w:pos="4678"/>
        </w:tabs>
        <w:jc w:val="both"/>
        <w:rPr>
          <w:szCs w:val="24"/>
        </w:rPr>
      </w:pPr>
      <w:hyperlink r:id="rId18" w:history="1">
        <w:r w:rsidRPr="00D86A58">
          <w:rPr>
            <w:rStyle w:val="Lienhypertexte"/>
            <w:rFonts w:eastAsiaTheme="majorEastAsia"/>
            <w:szCs w:val="24"/>
          </w:rPr>
          <w:t>Manuel utilisateur Onegate pour collectes demandées par la Direction de la Résolution (REGAR)</w:t>
        </w:r>
      </w:hyperlink>
    </w:p>
    <w:p w14:paraId="53AA4DB4" w14:textId="77777777" w:rsidR="00272186" w:rsidRDefault="00272186" w:rsidP="00272186">
      <w:pPr>
        <w:pStyle w:val="Titre1"/>
        <w:keepLines w:val="0"/>
        <w:numPr>
          <w:ilvl w:val="0"/>
          <w:numId w:val="1"/>
        </w:numPr>
        <w:spacing w:before="480" w:after="240"/>
        <w:ind w:left="805" w:hanging="448"/>
        <w:rPr>
          <w:rFonts w:ascii="Calibri" w:hAnsi="Calibri"/>
          <w:caps/>
          <w:sz w:val="28"/>
          <w:szCs w:val="28"/>
        </w:rPr>
      </w:pPr>
      <w:bookmarkStart w:id="9" w:name="_Toc263669321"/>
      <w:bookmarkStart w:id="10" w:name="_Toc165285726"/>
      <w:bookmarkStart w:id="11" w:name="_Toc165285593"/>
      <w:bookmarkStart w:id="12" w:name="_Toc165285537"/>
      <w:bookmarkStart w:id="13" w:name="_Toc165284905"/>
      <w:bookmarkStart w:id="14" w:name="_Toc165284847"/>
      <w:bookmarkStart w:id="15" w:name="_Toc165284700"/>
      <w:bookmarkStart w:id="16" w:name="_Toc165282979"/>
      <w:bookmarkStart w:id="17" w:name="_Toc164217429"/>
      <w:bookmarkStart w:id="18" w:name="_Toc164217151"/>
      <w:bookmarkStart w:id="19" w:name="_Toc164070499"/>
      <w:bookmarkStart w:id="20" w:name="_Toc164059281"/>
      <w:bookmarkStart w:id="21" w:name="_Toc216046957"/>
      <w:bookmarkStart w:id="22" w:name="_Toc165285727"/>
      <w:bookmarkStart w:id="23" w:name="_Toc165285594"/>
      <w:bookmarkStart w:id="24" w:name="_Toc165285538"/>
      <w:bookmarkStart w:id="25" w:name="_Toc165284906"/>
      <w:bookmarkStart w:id="26" w:name="_Toc165284848"/>
      <w:bookmarkStart w:id="27" w:name="_Toc165284701"/>
      <w:bookmarkStart w:id="28" w:name="_Toc165282980"/>
      <w:bookmarkStart w:id="29" w:name="_Toc164217430"/>
      <w:bookmarkStart w:id="30" w:name="_Toc164217152"/>
      <w:bookmarkStart w:id="31" w:name="_Toc164070500"/>
      <w:bookmarkStart w:id="32" w:name="_Toc164059282"/>
      <w:r>
        <w:rPr>
          <w:rFonts w:ascii="Calibri" w:hAnsi="Calibri"/>
          <w:caps/>
          <w:sz w:val="28"/>
          <w:szCs w:val="28"/>
        </w:rPr>
        <w:lastRenderedPageBreak/>
        <w:t>Contenu des Fichier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Calibri" w:hAnsi="Calibri"/>
          <w:caps/>
          <w:sz w:val="28"/>
          <w:szCs w:val="28"/>
        </w:rPr>
        <w:t>s et règles de format (</w:t>
      </w:r>
      <w:r>
        <w:rPr>
          <w:rFonts w:ascii="Calibri" w:hAnsi="Calibri"/>
          <w:i/>
          <w:caps/>
          <w:sz w:val="28"/>
          <w:szCs w:val="28"/>
        </w:rPr>
        <w:t>filing rules</w:t>
      </w:r>
      <w:r>
        <w:rPr>
          <w:rFonts w:ascii="Calibri" w:hAnsi="Calibri"/>
          <w:caps/>
          <w:sz w:val="28"/>
          <w:szCs w:val="28"/>
        </w:rPr>
        <w:t>)</w:t>
      </w:r>
      <w:bookmarkEnd w:id="21"/>
    </w:p>
    <w:p w14:paraId="4773DBE4" w14:textId="77777777" w:rsidR="00272186" w:rsidRDefault="00272186" w:rsidP="00272186">
      <w:pPr>
        <w:ind w:firstLine="357"/>
        <w:outlineLvl w:val="1"/>
      </w:pPr>
      <w:bookmarkStart w:id="33" w:name="_Toc216046958"/>
      <w:r>
        <w:rPr>
          <w:u w:val="single"/>
        </w:rPr>
        <w:t>Remarque générale</w:t>
      </w:r>
      <w:bookmarkEnd w:id="33"/>
      <w:r>
        <w:t> </w:t>
      </w:r>
    </w:p>
    <w:p w14:paraId="42C78A14" w14:textId="77777777" w:rsidR="00272186" w:rsidRDefault="00272186" w:rsidP="00272186"/>
    <w:p w14:paraId="7C08E958" w14:textId="7C40AFBE" w:rsidR="00272186" w:rsidRPr="003A782F" w:rsidRDefault="00272186" w:rsidP="00272186">
      <w:pPr>
        <w:jc w:val="both"/>
      </w:pPr>
      <w:r w:rsidRPr="003A782F">
        <w:t>Le langage XBRL (</w:t>
      </w:r>
      <w:r w:rsidRPr="003A782F">
        <w:rPr>
          <w:i/>
        </w:rPr>
        <w:t>eXtensible Business Reporting Language</w:t>
      </w:r>
      <w:r w:rsidRPr="003A782F">
        <w:t xml:space="preserve">) </w:t>
      </w:r>
      <w:r w:rsidR="00A82C7E" w:rsidRPr="00D86A58">
        <w:t>qui se décline en deux format</w:t>
      </w:r>
      <w:r w:rsidR="008A7AEB" w:rsidRPr="00D86A58">
        <w:t>s</w:t>
      </w:r>
      <w:r w:rsidR="00A82C7E" w:rsidRPr="00D86A58">
        <w:t xml:space="preserve"> (XBRL-XML et XBRL-CSV</w:t>
      </w:r>
      <w:r w:rsidR="00A82C7E" w:rsidRPr="003A782F">
        <w:t xml:space="preserve">) </w:t>
      </w:r>
      <w:r w:rsidRPr="003A782F">
        <w:t xml:space="preserve">est utilisé pour les collectes structurées de la Résolution et visées au chapitre 1 de ce document. </w:t>
      </w:r>
    </w:p>
    <w:p w14:paraId="7CECCB21" w14:textId="77777777" w:rsidR="00272186" w:rsidRPr="003A782F" w:rsidRDefault="00272186" w:rsidP="00272186">
      <w:pPr>
        <w:jc w:val="both"/>
      </w:pPr>
    </w:p>
    <w:p w14:paraId="23399C10" w14:textId="0D624BDF" w:rsidR="00272186" w:rsidRDefault="00272186" w:rsidP="00272186">
      <w:pPr>
        <w:jc w:val="both"/>
      </w:pPr>
      <w:r w:rsidRPr="003A782F">
        <w:t xml:space="preserve">Une </w:t>
      </w:r>
      <w:r w:rsidR="00D27714" w:rsidRPr="00D86A58">
        <w:t>remise</w:t>
      </w:r>
      <w:r w:rsidRPr="003A782F">
        <w:t xml:space="preserve"> XBRL reçue doit être valide et être conforme à l’ensemble des règles et réglementations applicables (tous les contrôles définis dans la taxonomie doivent, notamment, être satisfaits).</w:t>
      </w:r>
    </w:p>
    <w:p w14:paraId="7424DB04" w14:textId="77777777" w:rsidR="00272186" w:rsidRDefault="00272186" w:rsidP="00272186"/>
    <w:p w14:paraId="78CFAA59" w14:textId="46B41B2A" w:rsidR="008369B1" w:rsidRPr="00D86A58" w:rsidRDefault="00272186" w:rsidP="008369B1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0"/>
        </w:rPr>
      </w:pPr>
      <w:r w:rsidRPr="00D86A58">
        <w:rPr>
          <w:rFonts w:ascii="Times New Roman" w:hAnsi="Times New Roman" w:cs="Times New Roman"/>
          <w:kern w:val="0"/>
          <w:sz w:val="24"/>
          <w:szCs w:val="20"/>
        </w:rPr>
        <w:t xml:space="preserve">L’ACPR publie sur le site eSurfi, les </w:t>
      </w:r>
      <w:r w:rsidR="002A4EB8" w:rsidRPr="00D86A58">
        <w:rPr>
          <w:rFonts w:ascii="Times New Roman" w:hAnsi="Times New Roman" w:cs="Times New Roman"/>
          <w:kern w:val="0"/>
          <w:sz w:val="24"/>
          <w:szCs w:val="20"/>
        </w:rPr>
        <w:t>règles</w:t>
      </w:r>
      <w:r w:rsidRPr="00D86A58">
        <w:rPr>
          <w:rFonts w:ascii="Times New Roman" w:hAnsi="Times New Roman" w:cs="Times New Roman"/>
          <w:kern w:val="0"/>
          <w:sz w:val="24"/>
          <w:szCs w:val="20"/>
        </w:rPr>
        <w:t xml:space="preserve"> de validation établies par le CRU pour la collecte des contributions ex ante aux fonds de résolution (FRU-FRN) : </w:t>
      </w:r>
      <w:hyperlink r:id="rId19" w:history="1">
        <w:r w:rsidR="008369B1" w:rsidRPr="008369B1">
          <w:rPr>
            <w:rStyle w:val="Lienhypertexte"/>
            <w:rFonts w:ascii="Times New Roman" w:eastAsiaTheme="majorEastAsia" w:hAnsi="Times New Roman" w:cs="Times New Roman"/>
            <w:sz w:val="24"/>
          </w:rPr>
          <w:t>eSurfi Banque</w:t>
        </w:r>
      </w:hyperlink>
      <w:r w:rsidR="008369B1" w:rsidRPr="00D86A58">
        <w:rPr>
          <w:rFonts w:ascii="Times New Roman" w:hAnsi="Times New Roman" w:cs="Times New Roman"/>
          <w:kern w:val="0"/>
          <w:sz w:val="24"/>
          <w:szCs w:val="20"/>
        </w:rPr>
        <w:t xml:space="preserve"> (Rubrique Fonds de Résolution-campagne 2026).</w:t>
      </w:r>
    </w:p>
    <w:p w14:paraId="3C550A45" w14:textId="77777777" w:rsidR="00272186" w:rsidRDefault="00272186" w:rsidP="00272186"/>
    <w:p w14:paraId="2577C0DA" w14:textId="67B8E1D0" w:rsidR="00272186" w:rsidRDefault="002A4EB8" w:rsidP="00272186">
      <w:pPr>
        <w:jc w:val="both"/>
        <w:rPr>
          <w:i/>
        </w:rPr>
      </w:pPr>
      <w:r>
        <w:rPr>
          <w:i/>
        </w:rPr>
        <w:t>À</w:t>
      </w:r>
      <w:r w:rsidR="00272186">
        <w:rPr>
          <w:i/>
        </w:rPr>
        <w:t xml:space="preserve"> noter, que certains contrôles de type validation rules présents sur le format excel et absents sur la taxonomie XBRL 202</w:t>
      </w:r>
      <w:r>
        <w:rPr>
          <w:i/>
        </w:rPr>
        <w:t>6</w:t>
      </w:r>
      <w:r w:rsidR="00272186">
        <w:rPr>
          <w:i/>
        </w:rPr>
        <w:t xml:space="preserve"> ont été repris par l’ACPR (label DRF) :</w:t>
      </w:r>
    </w:p>
    <w:p w14:paraId="7E2E1F1E" w14:textId="77777777" w:rsidR="00272186" w:rsidRDefault="00272186" w:rsidP="00272186">
      <w:pPr>
        <w:rPr>
          <w:sz w:val="16"/>
          <w:szCs w:val="16"/>
        </w:rPr>
      </w:pPr>
    </w:p>
    <w:p w14:paraId="6CC51BBD" w14:textId="77777777" w:rsidR="002A471F" w:rsidRPr="00EF4317" w:rsidRDefault="002A471F" w:rsidP="00272186">
      <w:pPr>
        <w:numPr>
          <w:ilvl w:val="1"/>
          <w:numId w:val="5"/>
        </w:numPr>
        <w:spacing w:before="240" w:after="60"/>
        <w:ind w:left="1066" w:hanging="357"/>
        <w:outlineLvl w:val="1"/>
        <w:rPr>
          <w:rFonts w:eastAsiaTheme="majorEastAsia"/>
          <w:u w:val="single"/>
        </w:rPr>
      </w:pPr>
      <w:bookmarkStart w:id="34" w:name="_Toc216046959"/>
      <w:r w:rsidRPr="00D86A58">
        <w:rPr>
          <w:b/>
          <w:u w:val="single"/>
        </w:rPr>
        <w:t>Règles applicables aux remises au format XBRL-XML</w:t>
      </w:r>
      <w:bookmarkEnd w:id="34"/>
    </w:p>
    <w:p w14:paraId="48AA1944" w14:textId="2162F7B2" w:rsidR="00272186" w:rsidRPr="00511DF0" w:rsidRDefault="00272186" w:rsidP="002A471F">
      <w:pPr>
        <w:numPr>
          <w:ilvl w:val="2"/>
          <w:numId w:val="5"/>
        </w:numPr>
        <w:spacing w:before="240" w:after="60"/>
        <w:outlineLvl w:val="1"/>
        <w:rPr>
          <w:rStyle w:val="Lienhypertexte"/>
          <w:rFonts w:eastAsiaTheme="majorEastAsia"/>
          <w:color w:val="auto"/>
        </w:rPr>
      </w:pPr>
      <w:bookmarkStart w:id="35" w:name="_Toc216046960"/>
      <w:r w:rsidRPr="00511DF0">
        <w:rPr>
          <w:b/>
          <w:u w:val="single"/>
        </w:rPr>
        <w:t>Monnaie de remise</w:t>
      </w:r>
      <w:bookmarkEnd w:id="35"/>
      <w:r w:rsidRPr="00511DF0">
        <w:rPr>
          <w:b/>
          <w:u w:val="single"/>
        </w:rPr>
        <w:t xml:space="preserve">  </w:t>
      </w:r>
    </w:p>
    <w:p w14:paraId="4098162D" w14:textId="77777777" w:rsidR="00272186" w:rsidRDefault="00272186" w:rsidP="00272186">
      <w:pPr>
        <w:ind w:left="1072"/>
        <w:rPr>
          <w:rFonts w:eastAsiaTheme="majorEastAsia"/>
        </w:rPr>
      </w:pPr>
    </w:p>
    <w:p w14:paraId="25979956" w14:textId="77777777" w:rsidR="00272186" w:rsidRDefault="00272186" w:rsidP="00272186">
      <w:pPr>
        <w:pStyle w:val="CorpsTexte"/>
        <w:numPr>
          <w:ilvl w:val="0"/>
          <w:numId w:val="6"/>
        </w:numPr>
        <w:spacing w:before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Reporting Contribution </w:t>
      </w:r>
      <w:r>
        <w:rPr>
          <w:rFonts w:ascii="Times New Roman" w:hAnsi="Times New Roman" w:cs="Times New Roman"/>
          <w:i/>
          <w:kern w:val="0"/>
          <w:sz w:val="24"/>
          <w:szCs w:val="24"/>
          <w:u w:val="single"/>
        </w:rPr>
        <w:t>Ex-Ante</w:t>
      </w:r>
      <w:r>
        <w:rPr>
          <w:rFonts w:ascii="Times New Roman" w:hAnsi="Times New Roman" w:cs="Times New Roman"/>
          <w:kern w:val="0"/>
          <w:sz w:val="24"/>
          <w:szCs w:val="24"/>
        </w:rPr>
        <w:t> :</w:t>
      </w:r>
    </w:p>
    <w:p w14:paraId="43E23BAE" w14:textId="0C1FC096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Les montants présents dans les instances XBRL</w:t>
      </w:r>
      <w:r w:rsidR="008C08CE" w:rsidRPr="00D86A58">
        <w:rPr>
          <w:rFonts w:ascii="Times New Roman" w:hAnsi="Times New Roman" w:cs="Times New Roman"/>
          <w:kern w:val="0"/>
          <w:sz w:val="24"/>
          <w:szCs w:val="24"/>
        </w:rPr>
        <w:t>-XML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doivent obligatoirement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être exprimés en euro</w:t>
      </w:r>
    </w:p>
    <w:p w14:paraId="591847F8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138DD30F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83CC2BB" wp14:editId="4E077E0A">
            <wp:extent cx="2735580" cy="563880"/>
            <wp:effectExtent l="19050" t="19050" r="26670" b="266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638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2E69162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22643984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79FF396B" w14:textId="6B9EADD6" w:rsidR="00272186" w:rsidRPr="00D86A58" w:rsidRDefault="00272186" w:rsidP="00272186">
      <w:pPr>
        <w:pStyle w:val="CorpsTexte"/>
        <w:numPr>
          <w:ilvl w:val="0"/>
          <w:numId w:val="6"/>
        </w:numPr>
        <w:spacing w:before="0"/>
        <w:rPr>
          <w:rFonts w:ascii="Times New Roman" w:hAnsi="Times New Roman" w:cs="Times New Roman"/>
          <w:kern w:val="0"/>
          <w:sz w:val="24"/>
          <w:szCs w:val="24"/>
        </w:rPr>
      </w:pPr>
      <w:r w:rsidRPr="00D86A58">
        <w:rPr>
          <w:rFonts w:ascii="Times New Roman" w:hAnsi="Times New Roman" w:cs="Times New Roman"/>
          <w:kern w:val="0"/>
          <w:sz w:val="24"/>
          <w:szCs w:val="24"/>
          <w:u w:val="single"/>
        </w:rPr>
        <w:t>Reporting LDR/CFR/FMI/CIR/MREL-TLAC</w:t>
      </w:r>
      <w:r w:rsidRPr="00D86A58">
        <w:rPr>
          <w:rFonts w:ascii="Times New Roman" w:hAnsi="Times New Roman" w:cs="Times New Roman"/>
          <w:kern w:val="0"/>
          <w:sz w:val="24"/>
          <w:szCs w:val="24"/>
        </w:rPr>
        <w:t> :</w:t>
      </w:r>
      <w:r w:rsidR="00C53F96" w:rsidRPr="00D86A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53F96" w:rsidRPr="00C53F96">
        <w:rPr>
          <w:rFonts w:ascii="Times New Roman" w:hAnsi="Times New Roman" w:cs="Times New Roman"/>
          <w:kern w:val="0"/>
          <w:sz w:val="24"/>
          <w:szCs w:val="24"/>
        </w:rPr>
        <w:t>j</w:t>
      </w:r>
      <w:r w:rsidR="00C53F96" w:rsidRPr="00D86A58">
        <w:rPr>
          <w:rFonts w:ascii="Times New Roman" w:hAnsi="Times New Roman" w:cs="Times New Roman"/>
          <w:kern w:val="0"/>
          <w:sz w:val="24"/>
          <w:szCs w:val="24"/>
        </w:rPr>
        <w:t>usqu’à la</w:t>
      </w:r>
      <w:r w:rsidR="00C53F96">
        <w:rPr>
          <w:rFonts w:ascii="Times New Roman" w:hAnsi="Times New Roman" w:cs="Times New Roman"/>
          <w:kern w:val="0"/>
          <w:sz w:val="24"/>
          <w:szCs w:val="24"/>
        </w:rPr>
        <w:t xml:space="preserve"> campagne 202</w:t>
      </w:r>
      <w:r w:rsidR="00EF4317">
        <w:rPr>
          <w:rFonts w:ascii="Times New Roman" w:hAnsi="Times New Roman" w:cs="Times New Roman"/>
          <w:kern w:val="0"/>
          <w:sz w:val="24"/>
          <w:szCs w:val="24"/>
        </w:rPr>
        <w:t>5</w:t>
      </w:r>
      <w:r w:rsidR="00C53F96">
        <w:rPr>
          <w:rFonts w:ascii="Times New Roman" w:hAnsi="Times New Roman" w:cs="Times New Roman"/>
          <w:kern w:val="0"/>
          <w:sz w:val="24"/>
          <w:szCs w:val="24"/>
        </w:rPr>
        <w:t xml:space="preserve"> et l’arrêté 12/2025 pour MREL-TLAC</w:t>
      </w:r>
    </w:p>
    <w:p w14:paraId="4F4AAE1D" w14:textId="77777777" w:rsidR="00272186" w:rsidRPr="00D86A58" w:rsidRDefault="00272186" w:rsidP="00272186">
      <w:pPr>
        <w:pStyle w:val="CorpsTexte"/>
        <w:spacing w:before="0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7F066C44" w14:textId="0DA182B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Les montants présents dans les instances XBRL</w:t>
      </w:r>
      <w:r w:rsidR="008C08CE" w:rsidRPr="00D86A58">
        <w:rPr>
          <w:rFonts w:ascii="Times New Roman" w:hAnsi="Times New Roman" w:cs="Times New Roman"/>
          <w:kern w:val="0"/>
          <w:sz w:val="24"/>
          <w:szCs w:val="24"/>
        </w:rPr>
        <w:t>-XML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doivent obligatoirement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être exprimés en euro (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>cf.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page 7 de la guidance LDR publiée sur le site du CRU reprise ci-dessous)</w:t>
      </w:r>
    </w:p>
    <w:p w14:paraId="347475D3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72D8E2B6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07B1416" wp14:editId="5CBE4A49">
            <wp:extent cx="5783580" cy="922020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057E4FC4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4"/>
        </w:rPr>
      </w:pPr>
    </w:p>
    <w:p w14:paraId="59C6B831" w14:textId="3812C977" w:rsidR="00272186" w:rsidRDefault="00272186" w:rsidP="002A471F">
      <w:pPr>
        <w:numPr>
          <w:ilvl w:val="2"/>
          <w:numId w:val="5"/>
        </w:numPr>
        <w:outlineLvl w:val="1"/>
        <w:rPr>
          <w:b/>
          <w:u w:val="single"/>
        </w:rPr>
      </w:pPr>
      <w:r>
        <w:rPr>
          <w:szCs w:val="24"/>
        </w:rPr>
        <w:t xml:space="preserve">  </w:t>
      </w:r>
      <w:bookmarkStart w:id="36" w:name="_Toc216046961"/>
      <w:r w:rsidRPr="00D86A58">
        <w:rPr>
          <w:b/>
          <w:szCs w:val="24"/>
          <w:u w:val="single"/>
        </w:rPr>
        <w:t>Spécificités des remises bureautiques</w:t>
      </w:r>
      <w:bookmarkEnd w:id="36"/>
      <w:r>
        <w:rPr>
          <w:b/>
          <w:szCs w:val="24"/>
          <w:u w:val="single"/>
        </w:rPr>
        <w:t xml:space="preserve"> </w:t>
      </w:r>
    </w:p>
    <w:p w14:paraId="37950D2A" w14:textId="77777777" w:rsidR="00272186" w:rsidRDefault="00272186" w:rsidP="00272186">
      <w:pPr>
        <w:ind w:left="1066"/>
        <w:rPr>
          <w:u w:val="single"/>
        </w:rPr>
      </w:pPr>
    </w:p>
    <w:p w14:paraId="6C26C42B" w14:textId="77777777" w:rsidR="00272186" w:rsidRDefault="00272186" w:rsidP="00272186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  <w:u w:val="single"/>
        </w:rPr>
        <w:t xml:space="preserve">Reporting Contribution </w:t>
      </w:r>
      <w:r>
        <w:rPr>
          <w:i/>
          <w:szCs w:val="24"/>
          <w:u w:val="single"/>
        </w:rPr>
        <w:t>Ex-Ante</w:t>
      </w:r>
      <w:r>
        <w:rPr>
          <w:szCs w:val="24"/>
          <w:u w:val="single"/>
        </w:rPr>
        <w:t xml:space="preserve"> et Reporting LDR/CFR/FMI/CIR/MREL-TLAC/IMPRACTICABILITY</w:t>
      </w:r>
      <w:r>
        <w:rPr>
          <w:szCs w:val="24"/>
        </w:rPr>
        <w:t> :</w:t>
      </w:r>
    </w:p>
    <w:p w14:paraId="2640A381" w14:textId="77777777" w:rsidR="00272186" w:rsidRDefault="00272186" w:rsidP="00272186">
      <w:pPr>
        <w:jc w:val="both"/>
        <w:rPr>
          <w:szCs w:val="24"/>
        </w:rPr>
      </w:pPr>
    </w:p>
    <w:p w14:paraId="18CD4556" w14:textId="5A778D6E" w:rsidR="00272186" w:rsidRDefault="00272186" w:rsidP="00272186">
      <w:pPr>
        <w:jc w:val="both"/>
        <w:rPr>
          <w:szCs w:val="24"/>
        </w:rPr>
      </w:pPr>
      <w:r>
        <w:rPr>
          <w:szCs w:val="24"/>
        </w:rPr>
        <w:lastRenderedPageBreak/>
        <w:t>Le fichier doit débuter par la balise &lt;?xml version="1.0" encoding="UTF-8"?&gt;, suivie directement de l’instance XBRL</w:t>
      </w:r>
      <w:r w:rsidR="008C08CE" w:rsidRPr="00D86A58">
        <w:rPr>
          <w:szCs w:val="24"/>
        </w:rPr>
        <w:t>-XML</w:t>
      </w:r>
      <w:r w:rsidRPr="00C96837">
        <w:rPr>
          <w:szCs w:val="24"/>
        </w:rPr>
        <w:t>.</w:t>
      </w:r>
    </w:p>
    <w:p w14:paraId="15E9B3EF" w14:textId="77777777" w:rsidR="00272186" w:rsidRDefault="00272186" w:rsidP="00272186">
      <w:pPr>
        <w:jc w:val="both"/>
        <w:rPr>
          <w:szCs w:val="24"/>
        </w:rPr>
      </w:pPr>
    </w:p>
    <w:p w14:paraId="41A89A70" w14:textId="77777777" w:rsidR="00272186" w:rsidRDefault="00272186" w:rsidP="00272186">
      <w:pPr>
        <w:ind w:left="1069"/>
        <w:rPr>
          <w:rFonts w:ascii="Consolas" w:hAnsi="Consolas" w:cs="Consolas"/>
          <w:sz w:val="22"/>
          <w:szCs w:val="22"/>
          <w:lang w:val="en-US"/>
        </w:rPr>
      </w:pPr>
      <w:r>
        <w:rPr>
          <w:rFonts w:ascii="Consolas" w:hAnsi="Consolas" w:cs="Consolas"/>
          <w:sz w:val="22"/>
          <w:szCs w:val="22"/>
          <w:lang w:val="en-US"/>
        </w:rPr>
        <w:t>Exemple correct</w:t>
      </w:r>
    </w:p>
    <w:p w14:paraId="7C398084" w14:textId="77777777" w:rsidR="00272186" w:rsidRDefault="00272186" w:rsidP="00272186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B34B880" wp14:editId="0096C226">
            <wp:extent cx="5974080" cy="670560"/>
            <wp:effectExtent l="19050" t="19050" r="26670" b="152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6705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504533F" w14:textId="77777777" w:rsidR="00272186" w:rsidRDefault="00272186" w:rsidP="00272186">
      <w:pPr>
        <w:jc w:val="both"/>
        <w:rPr>
          <w:noProof/>
        </w:rPr>
      </w:pPr>
    </w:p>
    <w:p w14:paraId="51FA6523" w14:textId="4DA253D3" w:rsidR="00272186" w:rsidRDefault="00272186" w:rsidP="00272186">
      <w:pPr>
        <w:jc w:val="both"/>
        <w:rPr>
          <w:szCs w:val="24"/>
        </w:rPr>
      </w:pPr>
      <w:r>
        <w:rPr>
          <w:szCs w:val="24"/>
        </w:rPr>
        <w:t xml:space="preserve">Les éléments « administration » , « report » et « instance-generator » utilisés dans le cadre du reporting de supervision (RUBA)  </w:t>
      </w:r>
      <w:r>
        <w:rPr>
          <w:b/>
          <w:szCs w:val="24"/>
          <w:u w:val="single"/>
        </w:rPr>
        <w:t xml:space="preserve">ne doivent </w:t>
      </w:r>
      <w:r w:rsidR="00C96837">
        <w:rPr>
          <w:b/>
          <w:szCs w:val="24"/>
          <w:u w:val="single"/>
        </w:rPr>
        <w:t>pas apparaître</w:t>
      </w:r>
      <w:r>
        <w:rPr>
          <w:szCs w:val="24"/>
        </w:rPr>
        <w:t>:</w:t>
      </w:r>
    </w:p>
    <w:p w14:paraId="0E06D3F9" w14:textId="77777777" w:rsidR="00272186" w:rsidRDefault="00272186" w:rsidP="00272186">
      <w:pPr>
        <w:keepNext/>
        <w:jc w:val="both"/>
        <w:rPr>
          <w:szCs w:val="24"/>
        </w:rPr>
      </w:pPr>
    </w:p>
    <w:p w14:paraId="36FEAC48" w14:textId="77777777" w:rsidR="00272186" w:rsidRDefault="00272186" w:rsidP="00272186">
      <w:pPr>
        <w:keepNext/>
      </w:pPr>
      <w:r>
        <w:t xml:space="preserve">Exemple de balises </w:t>
      </w:r>
      <w:r>
        <w:rPr>
          <w:b/>
          <w:u w:val="single"/>
        </w:rPr>
        <w:t>ne devant pas</w:t>
      </w:r>
      <w:r>
        <w:t xml:space="preserve"> figurer dans l’instance :</w:t>
      </w:r>
    </w:p>
    <w:p w14:paraId="6324222B" w14:textId="77777777" w:rsidR="00272186" w:rsidRDefault="00272186" w:rsidP="00272186">
      <w:pPr>
        <w:keepNext/>
        <w:jc w:val="both"/>
        <w:rPr>
          <w:rFonts w:ascii="Consolas" w:hAnsi="Consolas" w:cs="Consolas"/>
          <w:sz w:val="22"/>
          <w:szCs w:val="22"/>
        </w:rPr>
      </w:pPr>
    </w:p>
    <w:p w14:paraId="7C3FA78E" w14:textId="77777777" w:rsidR="00272186" w:rsidRDefault="00272186" w:rsidP="00272186">
      <w:pPr>
        <w:keepNext/>
        <w:rPr>
          <w:lang w:val="en-US"/>
        </w:rPr>
      </w:pPr>
      <w:r>
        <w:rPr>
          <w:rFonts w:ascii="Consolas" w:hAnsi="Consolas" w:cs="Consolas"/>
          <w:noProof/>
          <w:sz w:val="22"/>
          <w:szCs w:val="22"/>
        </w:rPr>
        <w:drawing>
          <wp:inline distT="0" distB="0" distL="0" distR="0" wp14:anchorId="32A2CF66" wp14:editId="2AFB3A3F">
            <wp:extent cx="5966460" cy="1066800"/>
            <wp:effectExtent l="19050" t="19050" r="15240" b="190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0668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0BEDEB" w14:textId="77777777" w:rsidR="00272186" w:rsidRDefault="00272186" w:rsidP="00272186">
      <w:pPr>
        <w:keepNext/>
        <w:ind w:left="1066"/>
        <w:rPr>
          <w:lang w:val="en-US"/>
        </w:rPr>
      </w:pPr>
    </w:p>
    <w:p w14:paraId="31B3299D" w14:textId="77777777" w:rsidR="00272186" w:rsidRDefault="00272186" w:rsidP="00272186">
      <w:pPr>
        <w:ind w:left="1066"/>
        <w:rPr>
          <w:lang w:val="en-US"/>
        </w:rPr>
      </w:pPr>
    </w:p>
    <w:p w14:paraId="41502C53" w14:textId="77777777" w:rsidR="00272186" w:rsidRDefault="00272186" w:rsidP="00E449F2">
      <w:pPr>
        <w:numPr>
          <w:ilvl w:val="2"/>
          <w:numId w:val="5"/>
        </w:numPr>
        <w:outlineLvl w:val="1"/>
        <w:rPr>
          <w:b/>
          <w:u w:val="single"/>
        </w:rPr>
      </w:pPr>
      <w:bookmarkStart w:id="37" w:name="_Ref213687982"/>
      <w:bookmarkStart w:id="38" w:name="_Toc216046962"/>
      <w:r>
        <w:rPr>
          <w:b/>
          <w:u w:val="single"/>
        </w:rPr>
        <w:t>Période</w:t>
      </w:r>
      <w:bookmarkEnd w:id="37"/>
      <w:bookmarkEnd w:id="38"/>
    </w:p>
    <w:p w14:paraId="3BC14026" w14:textId="77777777" w:rsidR="00272186" w:rsidRDefault="00272186" w:rsidP="00272186">
      <w:pPr>
        <w:ind w:left="1066"/>
      </w:pPr>
    </w:p>
    <w:p w14:paraId="7FC6BD07" w14:textId="77777777" w:rsidR="00272186" w:rsidRDefault="00272186" w:rsidP="00272186">
      <w:pPr>
        <w:numPr>
          <w:ilvl w:val="0"/>
          <w:numId w:val="6"/>
        </w:numPr>
      </w:pPr>
      <w:r>
        <w:rPr>
          <w:szCs w:val="24"/>
          <w:u w:val="single"/>
        </w:rPr>
        <w:t xml:space="preserve">Reporting Contribution </w:t>
      </w:r>
      <w:r>
        <w:rPr>
          <w:i/>
          <w:szCs w:val="24"/>
          <w:u w:val="single"/>
        </w:rPr>
        <w:t>Ex-Ante</w:t>
      </w:r>
      <w:r>
        <w:rPr>
          <w:szCs w:val="24"/>
          <w:u w:val="single"/>
        </w:rPr>
        <w:t> (SRF)</w:t>
      </w:r>
    </w:p>
    <w:p w14:paraId="064EC3D6" w14:textId="77777777" w:rsidR="00272186" w:rsidRDefault="00272186" w:rsidP="00272186">
      <w:pPr>
        <w:ind w:left="1066"/>
      </w:pPr>
    </w:p>
    <w:p w14:paraId="16BB99D3" w14:textId="77777777" w:rsidR="00272186" w:rsidRDefault="00272186" w:rsidP="00272186">
      <w:r>
        <w:t>Le choix taxonomique du CRU est d’utiliser la date limite de remise de l’instance comme référence pour valoriser la balise &lt;period &gt;.</w:t>
      </w:r>
    </w:p>
    <w:p w14:paraId="3608E628" w14:textId="77777777" w:rsidR="00272186" w:rsidRDefault="00272186" w:rsidP="00272186">
      <w:pPr>
        <w:ind w:left="360"/>
      </w:pPr>
    </w:p>
    <w:p w14:paraId="0E725058" w14:textId="43F70365" w:rsidR="00272186" w:rsidRDefault="00272186" w:rsidP="00272186">
      <w:r>
        <w:t xml:space="preserve">En conséquence, la balise </w:t>
      </w:r>
      <w:r>
        <w:rPr>
          <w:b/>
          <w:u w:val="single"/>
        </w:rPr>
        <w:t>ne doit pas</w:t>
      </w:r>
      <w:r>
        <w:t xml:space="preserve"> porter la date d’arrêté de référence pour les données financières (Campagne 202</w:t>
      </w:r>
      <w:r w:rsidR="00E449F2" w:rsidRPr="00D86A58">
        <w:t>6</w:t>
      </w:r>
      <w:r>
        <w:t> : sur la base des informations financières de l’arrêté 31/12/202</w:t>
      </w:r>
      <w:r w:rsidR="00E449F2" w:rsidRPr="00D86A58">
        <w:t>4</w:t>
      </w:r>
      <w:r>
        <w:t>).</w:t>
      </w:r>
    </w:p>
    <w:p w14:paraId="52810234" w14:textId="77777777" w:rsidR="00272186" w:rsidRDefault="00272186" w:rsidP="00272186">
      <w:pPr>
        <w:ind w:left="360"/>
      </w:pPr>
    </w:p>
    <w:p w14:paraId="3A3E749C" w14:textId="77777777" w:rsidR="00272186" w:rsidRDefault="00272186" w:rsidP="00272186">
      <w:r>
        <w:t xml:space="preserve">Exemple :  </w:t>
      </w:r>
    </w:p>
    <w:p w14:paraId="090C57D9" w14:textId="77777777" w:rsidR="00272186" w:rsidRDefault="00272186" w:rsidP="00272186">
      <w:pPr>
        <w:ind w:left="360"/>
      </w:pPr>
    </w:p>
    <w:p w14:paraId="3992C4C6" w14:textId="77777777" w:rsidR="00272186" w:rsidRDefault="00272186" w:rsidP="00272186">
      <w:pPr>
        <w:ind w:firstLine="709"/>
        <w:rPr>
          <w:u w:val="single"/>
        </w:rPr>
      </w:pPr>
      <w:r>
        <w:rPr>
          <w:u w:val="single"/>
        </w:rPr>
        <w:t>Format de la balise &lt;period &gt; au statut OK</w:t>
      </w:r>
    </w:p>
    <w:p w14:paraId="4E93A876" w14:textId="77777777" w:rsidR="00272186" w:rsidRDefault="00272186" w:rsidP="00272186">
      <w:pPr>
        <w:ind w:firstLine="709"/>
      </w:pPr>
      <w:r>
        <w:t>&lt;period&gt;</w:t>
      </w:r>
    </w:p>
    <w:p w14:paraId="11B28A1E" w14:textId="11BCA704" w:rsidR="00272186" w:rsidRDefault="00272186" w:rsidP="00272186">
      <w:pPr>
        <w:ind w:left="709" w:firstLine="709"/>
      </w:pPr>
      <w:r>
        <w:t>&lt;instant&gt;202</w:t>
      </w:r>
      <w:r w:rsidR="00E449F2" w:rsidRPr="00D86A58">
        <w:t>6</w:t>
      </w:r>
      <w:r>
        <w:t>-01-31&lt;/instant&gt;</w:t>
      </w:r>
    </w:p>
    <w:p w14:paraId="09694CCF" w14:textId="77777777" w:rsidR="00272186" w:rsidRDefault="00272186" w:rsidP="00272186">
      <w:pPr>
        <w:ind w:firstLine="709"/>
      </w:pPr>
      <w:r>
        <w:t>&lt;/period&gt;</w:t>
      </w:r>
    </w:p>
    <w:p w14:paraId="27B4659C" w14:textId="77777777" w:rsidR="00272186" w:rsidRDefault="00272186" w:rsidP="00272186">
      <w:pPr>
        <w:ind w:left="1418"/>
      </w:pPr>
    </w:p>
    <w:p w14:paraId="4EAAE54B" w14:textId="77777777" w:rsidR="00272186" w:rsidRDefault="00272186" w:rsidP="00272186">
      <w:pPr>
        <w:ind w:firstLine="709"/>
        <w:rPr>
          <w:u w:val="single"/>
        </w:rPr>
      </w:pPr>
      <w:r>
        <w:rPr>
          <w:u w:val="single"/>
        </w:rPr>
        <w:t>Format de la balise &lt;period &gt; au statut KO</w:t>
      </w:r>
    </w:p>
    <w:p w14:paraId="0D2B3D00" w14:textId="77777777" w:rsidR="00272186" w:rsidRDefault="00272186" w:rsidP="00272186">
      <w:pPr>
        <w:ind w:firstLine="709"/>
        <w:rPr>
          <w:lang w:val="en-US"/>
        </w:rPr>
      </w:pPr>
      <w:r>
        <w:rPr>
          <w:lang w:val="en-US"/>
        </w:rPr>
        <w:t>&lt;period&gt;</w:t>
      </w:r>
    </w:p>
    <w:p w14:paraId="4ECFD8CE" w14:textId="343048B9" w:rsidR="00272186" w:rsidRDefault="00272186" w:rsidP="00272186">
      <w:pPr>
        <w:ind w:left="709" w:firstLine="709"/>
        <w:rPr>
          <w:lang w:val="en-US"/>
        </w:rPr>
      </w:pPr>
      <w:r>
        <w:rPr>
          <w:lang w:val="en-US"/>
        </w:rPr>
        <w:t>&lt;instant&gt;202</w:t>
      </w:r>
      <w:r w:rsidR="00E449F2" w:rsidRPr="00D86A58">
        <w:rPr>
          <w:lang w:val="en-US"/>
        </w:rPr>
        <w:t>4</w:t>
      </w:r>
      <w:r>
        <w:rPr>
          <w:lang w:val="en-US"/>
        </w:rPr>
        <w:t>-12-31&lt;/instant&gt;</w:t>
      </w:r>
    </w:p>
    <w:p w14:paraId="16BD2C55" w14:textId="77777777" w:rsidR="00272186" w:rsidRDefault="00272186" w:rsidP="00272186">
      <w:pPr>
        <w:ind w:firstLine="709"/>
        <w:rPr>
          <w:lang w:val="en-US"/>
        </w:rPr>
      </w:pPr>
      <w:r>
        <w:rPr>
          <w:lang w:val="en-US"/>
        </w:rPr>
        <w:t>&lt;/period&gt;</w:t>
      </w:r>
    </w:p>
    <w:p w14:paraId="725A7605" w14:textId="77777777" w:rsidR="00272186" w:rsidRDefault="00272186" w:rsidP="00272186">
      <w:pPr>
        <w:ind w:left="360"/>
        <w:rPr>
          <w:lang w:val="en-US"/>
        </w:rPr>
      </w:pPr>
    </w:p>
    <w:p w14:paraId="136E800D" w14:textId="77777777" w:rsidR="00272186" w:rsidRDefault="00272186" w:rsidP="00272186">
      <w:pPr>
        <w:ind w:left="360"/>
        <w:rPr>
          <w:lang w:val="en-US"/>
        </w:rPr>
      </w:pPr>
    </w:p>
    <w:p w14:paraId="11332B4C" w14:textId="77777777" w:rsidR="00272186" w:rsidRDefault="00272186" w:rsidP="00272186">
      <w:pPr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Reporting LDR/CFR/FMI/CIR</w:t>
      </w:r>
    </w:p>
    <w:p w14:paraId="7310BB67" w14:textId="77777777" w:rsidR="00272186" w:rsidRDefault="00272186" w:rsidP="00272186">
      <w:pPr>
        <w:ind w:left="360"/>
        <w:rPr>
          <w:lang w:val="en-US"/>
        </w:rPr>
      </w:pPr>
    </w:p>
    <w:p w14:paraId="63F2527B" w14:textId="77777777" w:rsidR="00272186" w:rsidRDefault="00272186" w:rsidP="00272186">
      <w:r>
        <w:t>Le choix taxonomique du CRU est d’utiliser la date de référence des données comptables et financières comme référence pour valoriser la balise &lt;period &gt;.</w:t>
      </w:r>
    </w:p>
    <w:p w14:paraId="62532075" w14:textId="77777777" w:rsidR="00272186" w:rsidRDefault="00272186" w:rsidP="00272186">
      <w:pPr>
        <w:ind w:left="360"/>
      </w:pPr>
    </w:p>
    <w:p w14:paraId="2A791D02" w14:textId="77777777" w:rsidR="001E10EF" w:rsidRDefault="001E10EF" w:rsidP="001E10EF">
      <w:r>
        <w:lastRenderedPageBreak/>
        <w:t>Exemple : arrêté 12/2024</w:t>
      </w:r>
    </w:p>
    <w:p w14:paraId="035A9785" w14:textId="77777777" w:rsidR="001E10EF" w:rsidRDefault="001E10EF" w:rsidP="001E10EF">
      <w:pPr>
        <w:ind w:left="360"/>
      </w:pPr>
    </w:p>
    <w:p w14:paraId="457368DC" w14:textId="77777777" w:rsidR="001E10EF" w:rsidRDefault="001E10EF" w:rsidP="001E10EF">
      <w:pPr>
        <w:ind w:firstLine="709"/>
        <w:rPr>
          <w:u w:val="single"/>
        </w:rPr>
      </w:pPr>
      <w:r>
        <w:rPr>
          <w:u w:val="single"/>
        </w:rPr>
        <w:t>Format de la balise &lt;period &gt; au statut OK</w:t>
      </w:r>
    </w:p>
    <w:p w14:paraId="778AABD1" w14:textId="77777777" w:rsidR="001E10EF" w:rsidRDefault="001E10EF" w:rsidP="001E10EF">
      <w:pPr>
        <w:ind w:firstLine="709"/>
      </w:pPr>
      <w:r>
        <w:t>&lt;period&gt;</w:t>
      </w:r>
    </w:p>
    <w:p w14:paraId="1DEE6059" w14:textId="77777777" w:rsidR="001E10EF" w:rsidRDefault="001E10EF" w:rsidP="001E10EF">
      <w:pPr>
        <w:ind w:left="709" w:firstLine="709"/>
      </w:pPr>
      <w:r>
        <w:t>&lt;instant&gt;2024-12-31&lt;/instant&gt;</w:t>
      </w:r>
    </w:p>
    <w:p w14:paraId="5CF2EDB4" w14:textId="77777777" w:rsidR="001E10EF" w:rsidRDefault="001E10EF" w:rsidP="001E10EF">
      <w:pPr>
        <w:ind w:firstLine="709"/>
      </w:pPr>
      <w:r>
        <w:t>&lt;/period&gt;</w:t>
      </w:r>
    </w:p>
    <w:p w14:paraId="6E95F525" w14:textId="77777777" w:rsidR="001E10EF" w:rsidRDefault="001E10EF" w:rsidP="001E10EF">
      <w:pPr>
        <w:ind w:left="1418"/>
      </w:pPr>
    </w:p>
    <w:p w14:paraId="09EA75B8" w14:textId="77777777" w:rsidR="001E10EF" w:rsidRDefault="001E10EF" w:rsidP="001E10EF">
      <w:pPr>
        <w:ind w:firstLine="709"/>
        <w:rPr>
          <w:u w:val="single"/>
        </w:rPr>
      </w:pPr>
      <w:r>
        <w:rPr>
          <w:u w:val="single"/>
        </w:rPr>
        <w:t>Format de la balise &lt;period &gt; au statut KO</w:t>
      </w:r>
    </w:p>
    <w:p w14:paraId="02B2CF44" w14:textId="77777777" w:rsidR="001E10EF" w:rsidRDefault="001E10EF" w:rsidP="001E10EF">
      <w:pPr>
        <w:ind w:firstLine="709"/>
        <w:rPr>
          <w:lang w:val="en-US"/>
        </w:rPr>
      </w:pPr>
      <w:r>
        <w:rPr>
          <w:lang w:val="en-US"/>
        </w:rPr>
        <w:t>&lt;period&gt;</w:t>
      </w:r>
    </w:p>
    <w:p w14:paraId="20C618C1" w14:textId="77777777" w:rsidR="001E10EF" w:rsidRDefault="001E10EF" w:rsidP="001E10EF">
      <w:pPr>
        <w:ind w:left="709" w:firstLine="709"/>
        <w:rPr>
          <w:lang w:val="en-US"/>
        </w:rPr>
      </w:pPr>
      <w:r>
        <w:rPr>
          <w:lang w:val="en-US"/>
        </w:rPr>
        <w:t>&lt;instant&gt;2024-04-30&lt;/instant&gt;</w:t>
      </w:r>
    </w:p>
    <w:p w14:paraId="6AB06EAB" w14:textId="77777777" w:rsidR="001E10EF" w:rsidRDefault="001E10EF" w:rsidP="001E10EF">
      <w:pPr>
        <w:ind w:firstLine="709"/>
      </w:pPr>
      <w:r>
        <w:t>&lt;/period&gt;</w:t>
      </w:r>
    </w:p>
    <w:p w14:paraId="0D927CB4" w14:textId="77777777" w:rsidR="001E10EF" w:rsidRDefault="001E10EF" w:rsidP="001E10EF">
      <w:pPr>
        <w:ind w:left="360"/>
      </w:pPr>
    </w:p>
    <w:p w14:paraId="72784F9F" w14:textId="77777777" w:rsidR="00272186" w:rsidRDefault="00272186" w:rsidP="00272186">
      <w:pPr>
        <w:ind w:left="360"/>
      </w:pPr>
    </w:p>
    <w:p w14:paraId="0C938433" w14:textId="77777777" w:rsidR="00272186" w:rsidRDefault="00272186" w:rsidP="00272186">
      <w:pPr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MREL-TLAC</w:t>
      </w:r>
    </w:p>
    <w:p w14:paraId="12433F45" w14:textId="77777777" w:rsidR="00272186" w:rsidRDefault="00272186" w:rsidP="00272186">
      <w:pPr>
        <w:rPr>
          <w:u w:val="single"/>
          <w:lang w:val="en-US"/>
        </w:rPr>
      </w:pPr>
    </w:p>
    <w:p w14:paraId="44619CC4" w14:textId="77777777" w:rsidR="001E10EF" w:rsidRPr="000D6FFF" w:rsidRDefault="001E10EF" w:rsidP="001E10EF">
      <w:r w:rsidRPr="000D6FFF">
        <w:t>Variables selon la période (trimestre) de remise</w:t>
      </w:r>
    </w:p>
    <w:p w14:paraId="4DA77200" w14:textId="77777777" w:rsidR="006F1795" w:rsidRPr="00A5324F" w:rsidRDefault="006F1795" w:rsidP="001E10EF">
      <w:pPr>
        <w:rPr>
          <w:u w:val="single"/>
        </w:rPr>
      </w:pPr>
    </w:p>
    <w:p w14:paraId="6FC7F227" w14:textId="4263A2BF" w:rsidR="001E10EF" w:rsidRDefault="006F1795" w:rsidP="001E10EF">
      <w:pPr>
        <w:rPr>
          <w:lang w:val="en-US"/>
        </w:rPr>
      </w:pPr>
      <w:r w:rsidRPr="000D6FFF">
        <w:rPr>
          <w:lang w:val="en-US"/>
        </w:rPr>
        <w:t>Exemples</w:t>
      </w:r>
      <w:r>
        <w:rPr>
          <w:lang w:val="en-US"/>
        </w:rPr>
        <w:t xml:space="preserve"> :</w:t>
      </w:r>
    </w:p>
    <w:p w14:paraId="3DFEE090" w14:textId="77777777" w:rsidR="006F1795" w:rsidRPr="00272186" w:rsidRDefault="006F1795" w:rsidP="001E10EF">
      <w:pPr>
        <w:rPr>
          <w:u w:val="single"/>
          <w:lang w:val="en-US"/>
        </w:rPr>
      </w:pPr>
    </w:p>
    <w:p w14:paraId="64A1B209" w14:textId="77777777" w:rsidR="001E10EF" w:rsidRDefault="001E10EF" w:rsidP="001E10EF">
      <w:pPr>
        <w:rPr>
          <w:u w:val="single"/>
          <w:lang w:val="en-US"/>
        </w:rPr>
      </w:pPr>
      <w:r>
        <w:rPr>
          <w:u w:val="single"/>
          <w:lang w:val="en-US"/>
        </w:rPr>
        <w:t>09/2024 : &lt;period&gt;</w:t>
      </w:r>
    </w:p>
    <w:p w14:paraId="2A37E474" w14:textId="77777777" w:rsidR="001E10EF" w:rsidRDefault="001E10EF" w:rsidP="001E10E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&lt;instant&gt;2024-09-30&lt;/instant&gt;</w:t>
      </w:r>
    </w:p>
    <w:p w14:paraId="3D44002C" w14:textId="77777777" w:rsidR="001E10EF" w:rsidRDefault="001E10EF" w:rsidP="001E10E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&lt;/period&gt;</w:t>
      </w:r>
    </w:p>
    <w:p w14:paraId="74C75D24" w14:textId="77777777" w:rsidR="001E10EF" w:rsidRDefault="001E10EF" w:rsidP="001E10EF">
      <w:pPr>
        <w:rPr>
          <w:u w:val="single"/>
          <w:lang w:val="en-US"/>
        </w:rPr>
      </w:pPr>
      <w:r>
        <w:rPr>
          <w:u w:val="single"/>
          <w:lang w:val="en-US"/>
        </w:rPr>
        <w:t>12/2024 : &lt;period&gt;</w:t>
      </w:r>
    </w:p>
    <w:p w14:paraId="1F4D2105" w14:textId="77777777" w:rsidR="001E10EF" w:rsidRDefault="001E10EF" w:rsidP="001E10E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&lt;instant&gt;2024-12-30&lt;/instant&gt;</w:t>
      </w:r>
    </w:p>
    <w:p w14:paraId="6CF888DE" w14:textId="77777777" w:rsidR="001E10EF" w:rsidRDefault="001E10EF" w:rsidP="001E10E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&lt;/period&gt;</w:t>
      </w:r>
    </w:p>
    <w:p w14:paraId="3BF0406B" w14:textId="77777777" w:rsidR="00272186" w:rsidRDefault="00272186" w:rsidP="00272186">
      <w:pPr>
        <w:rPr>
          <w:lang w:val="en-US"/>
        </w:rPr>
      </w:pPr>
    </w:p>
    <w:p w14:paraId="0AE42F14" w14:textId="77777777" w:rsidR="00272186" w:rsidRDefault="00272186" w:rsidP="00272186">
      <w:pPr>
        <w:numPr>
          <w:ilvl w:val="0"/>
          <w:numId w:val="6"/>
        </w:numPr>
        <w:rPr>
          <w:u w:val="single"/>
        </w:rPr>
      </w:pPr>
      <w:r>
        <w:rPr>
          <w:u w:val="single"/>
        </w:rPr>
        <w:t>Notification impraticabilité de l’article 55 BRRD</w:t>
      </w:r>
    </w:p>
    <w:p w14:paraId="6EEEBC73" w14:textId="77777777" w:rsidR="00272186" w:rsidRDefault="00272186" w:rsidP="00272186">
      <w:pPr>
        <w:ind w:left="360"/>
      </w:pPr>
    </w:p>
    <w:p w14:paraId="57C06BBB" w14:textId="77777777" w:rsidR="00272186" w:rsidRDefault="00272186" w:rsidP="00272186">
      <w:pPr>
        <w:spacing w:after="240"/>
      </w:pPr>
      <w:r>
        <w:t>Variables selon la période (mensuelle) de remise, sous les mêmes conditions que MREL-TLAC</w:t>
      </w:r>
    </w:p>
    <w:p w14:paraId="0BF1CAC4" w14:textId="77777777" w:rsidR="00272186" w:rsidRDefault="00272186" w:rsidP="00272186">
      <w:pPr>
        <w:spacing w:after="240"/>
      </w:pPr>
    </w:p>
    <w:p w14:paraId="55FC6EE9" w14:textId="77777777" w:rsidR="00272186" w:rsidRDefault="00272186" w:rsidP="0028562F">
      <w:pPr>
        <w:numPr>
          <w:ilvl w:val="2"/>
          <w:numId w:val="5"/>
        </w:numPr>
        <w:outlineLvl w:val="1"/>
        <w:rPr>
          <w:b/>
          <w:u w:val="single"/>
        </w:rPr>
      </w:pPr>
      <w:bookmarkStart w:id="39" w:name="_Toc216046963"/>
      <w:r>
        <w:rPr>
          <w:b/>
          <w:u w:val="single"/>
        </w:rPr>
        <w:t>Identification des entités et niveau de consolidation</w:t>
      </w:r>
      <w:bookmarkEnd w:id="39"/>
    </w:p>
    <w:p w14:paraId="5037B2D7" w14:textId="77777777" w:rsidR="00272186" w:rsidRDefault="00272186" w:rsidP="00272186">
      <w:pPr>
        <w:pStyle w:val="CorpsTexte"/>
        <w:spacing w:before="0"/>
        <w:ind w:left="0"/>
      </w:pPr>
    </w:p>
    <w:p w14:paraId="03D4C5EA" w14:textId="77777777" w:rsidR="00272186" w:rsidRDefault="00272186" w:rsidP="00272186">
      <w:pPr>
        <w:numPr>
          <w:ilvl w:val="0"/>
          <w:numId w:val="6"/>
        </w:numPr>
      </w:pPr>
      <w:r>
        <w:rPr>
          <w:szCs w:val="24"/>
          <w:u w:val="single"/>
        </w:rPr>
        <w:t xml:space="preserve">Reporting Contribution </w:t>
      </w:r>
      <w:r>
        <w:rPr>
          <w:i/>
          <w:szCs w:val="24"/>
          <w:u w:val="single"/>
        </w:rPr>
        <w:t>Ex-Ante</w:t>
      </w:r>
      <w:r>
        <w:rPr>
          <w:szCs w:val="24"/>
          <w:u w:val="single"/>
        </w:rPr>
        <w:t xml:space="preserve"> (FRU-FRN) et RESREP (LDR/CFR</w:t>
      </w:r>
      <w:r>
        <w:rPr>
          <w:rStyle w:val="Appelnotedebasdep"/>
          <w:rFonts w:eastAsiaTheme="majorEastAsia"/>
          <w:u w:val="single"/>
        </w:rPr>
        <w:footnoteReference w:id="1"/>
      </w:r>
      <w:r>
        <w:rPr>
          <w:szCs w:val="24"/>
          <w:u w:val="single"/>
        </w:rPr>
        <w:t>/FMI/CIR/MREL-TLAC/Notification impraticabilité) </w:t>
      </w:r>
    </w:p>
    <w:p w14:paraId="14B95363" w14:textId="77777777" w:rsidR="00272186" w:rsidRDefault="00272186" w:rsidP="00272186">
      <w:pPr>
        <w:ind w:left="1066"/>
      </w:pPr>
    </w:p>
    <w:p w14:paraId="24C0CB58" w14:textId="03675960" w:rsidR="00272186" w:rsidRDefault="00272186" w:rsidP="00272186">
      <w:r>
        <w:t xml:space="preserve">Le choix taxonomique du CRU est d’utiliser le code LEI comme référence pour valoriser la balise &lt;entity&gt;. En conséquence, la balise </w:t>
      </w:r>
      <w:r>
        <w:rPr>
          <w:b/>
          <w:u w:val="single"/>
        </w:rPr>
        <w:t>ne doit pas</w:t>
      </w:r>
      <w:r>
        <w:t xml:space="preserve"> faire référence au CIB ou au code RIAD.</w:t>
      </w:r>
    </w:p>
    <w:p w14:paraId="1345A24C" w14:textId="77777777" w:rsidR="00272186" w:rsidRDefault="00272186" w:rsidP="00272186">
      <w:pPr>
        <w:ind w:left="360"/>
      </w:pPr>
    </w:p>
    <w:p w14:paraId="71700158" w14:textId="77777777" w:rsidR="00272186" w:rsidRDefault="00272186" w:rsidP="00272186">
      <w:pPr>
        <w:numPr>
          <w:ilvl w:val="0"/>
          <w:numId w:val="7"/>
        </w:numPr>
      </w:pPr>
      <w:r>
        <w:t xml:space="preserve">Pour les collectes RESREP : depuis la campagne 2023, l’identifiant scheme doit être le suivant : </w:t>
      </w:r>
    </w:p>
    <w:p w14:paraId="70F06E99" w14:textId="77777777" w:rsidR="00272186" w:rsidRDefault="00272186" w:rsidP="00272186">
      <w:r>
        <w:t>scheme="https://eurofiling.info/eu/rs"</w:t>
      </w:r>
    </w:p>
    <w:p w14:paraId="52CFD77F" w14:textId="77777777" w:rsidR="00272186" w:rsidRDefault="00272186" w:rsidP="00272186">
      <w:pPr>
        <w:pStyle w:val="CorpsTexte"/>
        <w:spacing w:before="0"/>
        <w:ind w:left="0"/>
      </w:pPr>
    </w:p>
    <w:p w14:paraId="0A8AFCFB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t>Le niveau de consolidation (point d’entrée) est à déclarer au niveau de cette balise.</w:t>
      </w:r>
    </w:p>
    <w:p w14:paraId="1117D47F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0"/>
        </w:rPr>
      </w:pPr>
    </w:p>
    <w:p w14:paraId="5A3FBF29" w14:textId="77777777" w:rsidR="00272186" w:rsidRDefault="00272186" w:rsidP="00272186">
      <w:pPr>
        <w:pStyle w:val="CorpsTexte"/>
        <w:numPr>
          <w:ilvl w:val="0"/>
          <w:numId w:val="7"/>
        </w:numPr>
        <w:spacing w:before="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lastRenderedPageBreak/>
        <w:t xml:space="preserve">Pour les collectes Contribution </w:t>
      </w:r>
      <w:r>
        <w:rPr>
          <w:rFonts w:ascii="Times New Roman" w:hAnsi="Times New Roman" w:cs="Times New Roman"/>
          <w:i/>
          <w:kern w:val="0"/>
          <w:sz w:val="24"/>
          <w:szCs w:val="20"/>
        </w:rPr>
        <w:t>Ex-Ante</w:t>
      </w:r>
      <w:r>
        <w:rPr>
          <w:rFonts w:ascii="Times New Roman" w:hAnsi="Times New Roman" w:cs="Times New Roman"/>
          <w:kern w:val="0"/>
          <w:sz w:val="24"/>
          <w:szCs w:val="20"/>
        </w:rPr>
        <w:t xml:space="preserve"> (FRU-FRN) : maintien de la balise identifier des campagnes précédentes</w:t>
      </w:r>
    </w:p>
    <w:p w14:paraId="5A957C7B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0"/>
        </w:rPr>
      </w:pPr>
    </w:p>
    <w:p w14:paraId="33D56CCD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t>&lt;identifier scheme="http://standards.iso.org/iso/17442"&gt;</w:t>
      </w:r>
    </w:p>
    <w:p w14:paraId="1DBBC074" w14:textId="77777777" w:rsidR="00272186" w:rsidRDefault="00272186" w:rsidP="00272186">
      <w:pPr>
        <w:pStyle w:val="CorpsTexte"/>
        <w:spacing w:before="0"/>
        <w:ind w:left="0"/>
      </w:pPr>
    </w:p>
    <w:p w14:paraId="46D2DCA9" w14:textId="09C03159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0D6FFF">
        <w:rPr>
          <w:rFonts w:ascii="Times New Roman" w:hAnsi="Times New Roman" w:cs="Times New Roman"/>
          <w:sz w:val="24"/>
          <w:szCs w:val="24"/>
          <w:u w:val="wave"/>
        </w:rPr>
        <w:t>Exemple</w:t>
      </w:r>
      <w:r w:rsidR="00C679CD" w:rsidRPr="000D6FFF">
        <w:rPr>
          <w:rFonts w:ascii="Times New Roman" w:hAnsi="Times New Roman" w:cs="Times New Roman"/>
          <w:sz w:val="24"/>
          <w:szCs w:val="24"/>
          <w:u w:val="wave"/>
        </w:rPr>
        <w:t>s</w:t>
      </w:r>
      <w:r w:rsidRPr="00D86A58">
        <w:rPr>
          <w:rFonts w:ascii="Times New Roman" w:hAnsi="Times New Roman" w:cs="Times New Roman"/>
          <w:sz w:val="24"/>
          <w:szCs w:val="24"/>
        </w:rPr>
        <w:t> :</w:t>
      </w:r>
    </w:p>
    <w:p w14:paraId="226813EA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D0CDA7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OK : </w:t>
      </w:r>
    </w:p>
    <w:p w14:paraId="1E6E4AC0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collectes RESREP</w:t>
      </w:r>
    </w:p>
    <w:p w14:paraId="08365B61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85C517C" w14:textId="77777777" w:rsidR="00272186" w:rsidRDefault="00272186" w:rsidP="00272186">
      <w:pPr>
        <w:pStyle w:val="CorpsTex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&lt;xbrli:entity&gt;</w:t>
      </w:r>
    </w:p>
    <w:p w14:paraId="78AED331" w14:textId="77777777" w:rsidR="00272186" w:rsidRDefault="00272186" w:rsidP="00272186">
      <w:pPr>
        <w:pStyle w:val="CorpsTex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&lt;xbrli:identifier scheme="https://eurofiling.info/eu/rs"&gt;ABC012345678901AT001.RES&lt;/xbrli:identifier&gt;</w:t>
      </w:r>
    </w:p>
    <w:p w14:paraId="65E8F423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&lt;/xbrli:entity&gt;</w:t>
      </w:r>
    </w:p>
    <w:p w14:paraId="7FA0C944" w14:textId="77777777" w:rsidR="00C679CD" w:rsidRDefault="00C679CD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EACDF0" w14:textId="08A36686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Collectes Contribution Ex-ante</w:t>
      </w:r>
    </w:p>
    <w:p w14:paraId="2EEB4741" w14:textId="77777777" w:rsidR="00272186" w:rsidRDefault="00272186" w:rsidP="00B96BB4">
      <w:pPr>
        <w:pStyle w:val="CorpsTexte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&lt;entity&gt;</w:t>
      </w:r>
    </w:p>
    <w:p w14:paraId="1FF64A57" w14:textId="77777777" w:rsidR="00B96BB4" w:rsidRDefault="00272186" w:rsidP="00B96BB4">
      <w:pPr>
        <w:pStyle w:val="CorpsTexte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&lt;identifier scheme="http://standards.iso.org/iso/17442"&gt;R0MUWSFPU8MPRO8K5P83</w:t>
      </w:r>
    </w:p>
    <w:p w14:paraId="13196501" w14:textId="024158BF" w:rsidR="00272186" w:rsidRDefault="00272186" w:rsidP="00B96BB4">
      <w:pPr>
        <w:pStyle w:val="CorpsTexte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&lt;/identifier&gt;</w:t>
      </w:r>
    </w:p>
    <w:p w14:paraId="5044896A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&lt;/entity&gt;</w:t>
      </w:r>
    </w:p>
    <w:p w14:paraId="70588E3B" w14:textId="77777777" w:rsidR="00272186" w:rsidRDefault="00272186" w:rsidP="00272186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0556EC3" w14:textId="77777777" w:rsidR="00272186" w:rsidRDefault="00272186" w:rsidP="00272186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KO</w:t>
      </w:r>
    </w:p>
    <w:p w14:paraId="3886F619" w14:textId="77777777" w:rsidR="00272186" w:rsidRDefault="00272186" w:rsidP="00272186">
      <w:pPr>
        <w:pStyle w:val="CorpsTexte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&lt;entity&gt;</w:t>
      </w:r>
    </w:p>
    <w:p w14:paraId="2C9BECF5" w14:textId="77777777" w:rsidR="00272186" w:rsidRDefault="00272186" w:rsidP="00272186">
      <w:pPr>
        <w:pStyle w:val="CorpsTexte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&lt;identifier scheme="http://standards.iso.org/iso/17442"&gt;30001&lt;/identifier&gt;</w:t>
      </w:r>
    </w:p>
    <w:p w14:paraId="74DE3E9B" w14:textId="77777777" w:rsidR="00272186" w:rsidRDefault="00272186" w:rsidP="00272186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&lt;/entity&gt;</w:t>
      </w:r>
    </w:p>
    <w:p w14:paraId="0D14A4B7" w14:textId="77777777" w:rsidR="00272186" w:rsidRDefault="00272186" w:rsidP="00272186">
      <w:pPr>
        <w:pStyle w:val="CorpsTexte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&lt;entity&gt;</w:t>
      </w:r>
    </w:p>
    <w:p w14:paraId="6BFFC33D" w14:textId="77777777" w:rsidR="00272186" w:rsidRDefault="00272186" w:rsidP="00272186">
      <w:pPr>
        <w:pStyle w:val="CorpsTexte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&lt;identifier scheme="http://standards.iso.org/iso/17442"&gt;FR30001&lt;/identifier&gt;</w:t>
      </w:r>
    </w:p>
    <w:p w14:paraId="4DF1F54B" w14:textId="77777777" w:rsidR="00272186" w:rsidRDefault="00272186" w:rsidP="00272186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&lt;/entity&gt;</w:t>
      </w:r>
    </w:p>
    <w:p w14:paraId="565C1B15" w14:textId="77777777" w:rsidR="00272186" w:rsidRDefault="00272186" w:rsidP="00272186">
      <w:pPr>
        <w:pStyle w:val="CorpsTexte"/>
        <w:spacing w:before="0"/>
        <w:ind w:left="0"/>
      </w:pPr>
    </w:p>
    <w:p w14:paraId="2687D07E" w14:textId="77777777" w:rsidR="00272186" w:rsidRDefault="00272186" w:rsidP="00360D42">
      <w:pPr>
        <w:numPr>
          <w:ilvl w:val="2"/>
          <w:numId w:val="5"/>
        </w:numPr>
        <w:spacing w:before="240" w:after="60"/>
        <w:outlineLvl w:val="1"/>
        <w:rPr>
          <w:b/>
          <w:u w:val="single"/>
        </w:rPr>
      </w:pPr>
      <w:bookmarkStart w:id="40" w:name="_Toc216046964"/>
      <w:r>
        <w:rPr>
          <w:b/>
          <w:u w:val="single"/>
        </w:rPr>
        <w:t>Schéma ref</w:t>
      </w:r>
      <w:bookmarkEnd w:id="40"/>
    </w:p>
    <w:p w14:paraId="43563FC6" w14:textId="77777777" w:rsidR="00272186" w:rsidRDefault="00272186" w:rsidP="00272186">
      <w:pPr>
        <w:ind w:left="709"/>
      </w:pPr>
    </w:p>
    <w:p w14:paraId="5ED96C24" w14:textId="6045ECD5" w:rsidR="00272186" w:rsidRDefault="00272186" w:rsidP="00272186">
      <w:pPr>
        <w:numPr>
          <w:ilvl w:val="0"/>
          <w:numId w:val="6"/>
        </w:numPr>
        <w:ind w:left="709"/>
        <w:rPr>
          <w:i/>
          <w:iCs/>
        </w:rPr>
      </w:pPr>
      <w:r>
        <w:rPr>
          <w:szCs w:val="24"/>
          <w:u w:val="single"/>
        </w:rPr>
        <w:t xml:space="preserve">Reporting Contribution </w:t>
      </w:r>
      <w:r>
        <w:rPr>
          <w:i/>
          <w:szCs w:val="24"/>
          <w:u w:val="single"/>
        </w:rPr>
        <w:t>Ex-Ante</w:t>
      </w:r>
      <w:r>
        <w:rPr>
          <w:szCs w:val="24"/>
          <w:u w:val="single"/>
        </w:rPr>
        <w:t> (SRF)</w:t>
      </w:r>
      <w:r>
        <w:rPr>
          <w:szCs w:val="24"/>
        </w:rPr>
        <w:t xml:space="preserve"> p</w:t>
      </w:r>
      <w:r>
        <w:t xml:space="preserve">our la taxonomie </w:t>
      </w:r>
      <w:r>
        <w:rPr>
          <w:i/>
          <w:iCs/>
        </w:rPr>
        <w:t>SRF 1</w:t>
      </w:r>
      <w:r w:rsidR="009F5E17" w:rsidRPr="00D86A58">
        <w:rPr>
          <w:i/>
          <w:iCs/>
        </w:rPr>
        <w:t>1</w:t>
      </w:r>
      <w:r w:rsidRPr="00777A3B">
        <w:rPr>
          <w:i/>
          <w:iCs/>
        </w:rPr>
        <w:t>.</w:t>
      </w:r>
      <w:r>
        <w:rPr>
          <w:i/>
          <w:iCs/>
        </w:rPr>
        <w:t>0.1</w:t>
      </w:r>
    </w:p>
    <w:p w14:paraId="5616796B" w14:textId="77777777" w:rsidR="00272186" w:rsidRDefault="00272186" w:rsidP="00272186"/>
    <w:p w14:paraId="373CDDA1" w14:textId="2E15CEA5" w:rsidR="00272186" w:rsidRDefault="00272186" w:rsidP="00272186">
      <w:pPr>
        <w:rPr>
          <w:lang w:val="en-US"/>
        </w:rPr>
      </w:pPr>
      <w:r>
        <w:rPr>
          <w:lang w:val="en-US"/>
        </w:rPr>
        <w:t>link:schemaRef xlink:type="simple" xlink:href="http://www.srb.europa.eu/eu/fr/xbrl/fws/srf/eu-2015-63/</w:t>
      </w:r>
      <w:r w:rsidRPr="00D86A58">
        <w:rPr>
          <w:lang w:val="en-US"/>
        </w:rPr>
        <w:t>202</w:t>
      </w:r>
      <w:r w:rsidR="00983206" w:rsidRPr="00D86A58">
        <w:rPr>
          <w:lang w:val="en-US"/>
        </w:rPr>
        <w:t>5</w:t>
      </w:r>
      <w:r w:rsidRPr="00D86A58">
        <w:rPr>
          <w:lang w:val="en-US"/>
        </w:rPr>
        <w:t>-06-</w:t>
      </w:r>
      <w:r w:rsidR="00983206" w:rsidRPr="00D86A58">
        <w:rPr>
          <w:lang w:val="en-US"/>
        </w:rPr>
        <w:t>0</w:t>
      </w:r>
      <w:r w:rsidRPr="00D86A58">
        <w:rPr>
          <w:lang w:val="en-US"/>
        </w:rPr>
        <w:t>3</w:t>
      </w:r>
      <w:r w:rsidRPr="00777A3B">
        <w:rPr>
          <w:lang w:val="en-US"/>
        </w:rPr>
        <w:t>/</w:t>
      </w:r>
      <w:r>
        <w:rPr>
          <w:lang w:val="en-US"/>
        </w:rPr>
        <w:t>mod/eac-ind.xsd"/&gt;</w:t>
      </w:r>
    </w:p>
    <w:p w14:paraId="350F4893" w14:textId="77777777" w:rsidR="00272186" w:rsidRDefault="00272186" w:rsidP="00272186">
      <w:pPr>
        <w:rPr>
          <w:lang w:val="en-US"/>
        </w:rPr>
      </w:pPr>
    </w:p>
    <w:p w14:paraId="265FF623" w14:textId="541D3483" w:rsidR="00272186" w:rsidRDefault="00272186" w:rsidP="00272186">
      <w:pPr>
        <w:numPr>
          <w:ilvl w:val="0"/>
          <w:numId w:val="8"/>
        </w:numPr>
      </w:pPr>
      <w:r>
        <w:rPr>
          <w:szCs w:val="24"/>
          <w:u w:val="single"/>
        </w:rPr>
        <w:t>Collecte RESREP</w:t>
      </w:r>
      <w:r>
        <w:t xml:space="preserve"> pour la taxonomie 9.0.3</w:t>
      </w:r>
      <w:r w:rsidR="001E10EF">
        <w:t xml:space="preserve"> (campagne 202</w:t>
      </w:r>
      <w:r w:rsidR="000320F8">
        <w:t>5</w:t>
      </w:r>
      <w:r w:rsidR="001E10EF">
        <w:t>)</w:t>
      </w:r>
    </w:p>
    <w:p w14:paraId="4A72622C" w14:textId="77777777" w:rsidR="00272186" w:rsidRDefault="00272186" w:rsidP="00272186">
      <w:pPr>
        <w:ind w:left="720"/>
      </w:pPr>
    </w:p>
    <w:p w14:paraId="212D1A70" w14:textId="77777777" w:rsidR="00272186" w:rsidRDefault="00272186" w:rsidP="00272186">
      <w:r>
        <w:t xml:space="preserve">Depuis la campagne 2023, la balise Schema-ref ne contiendra plus le niveau de consolidation du reporting. Cette information sera dorénavant portée par la balise Entity </w:t>
      </w:r>
      <w:r>
        <w:rPr>
          <w:i/>
        </w:rPr>
        <w:t>(cf. point 3.4).</w:t>
      </w:r>
    </w:p>
    <w:p w14:paraId="5A5BF61B" w14:textId="77777777" w:rsidR="00272186" w:rsidRDefault="00272186" w:rsidP="00272186"/>
    <w:p w14:paraId="14FD4539" w14:textId="626A4FF0" w:rsidR="00272186" w:rsidRDefault="00272186" w:rsidP="00272186">
      <w:r>
        <w:t>Balises à utiliser pour les remises RESREP (CFR ; LDR ; FMI ; CIR) </w:t>
      </w:r>
      <w:r w:rsidR="000320F8">
        <w:t xml:space="preserve">et la campagne 2025 </w:t>
      </w:r>
      <w:r>
        <w:t>:</w:t>
      </w:r>
    </w:p>
    <w:p w14:paraId="53556643" w14:textId="77777777" w:rsidR="00272186" w:rsidRDefault="00272186" w:rsidP="00272186"/>
    <w:p w14:paraId="0E40E7EB" w14:textId="77777777" w:rsidR="00272186" w:rsidRPr="00272186" w:rsidRDefault="00272186" w:rsidP="0027218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LDR</w:t>
      </w:r>
    </w:p>
    <w:p w14:paraId="6B0DD219" w14:textId="77777777" w:rsidR="00272186" w:rsidRDefault="00272186" w:rsidP="00272186">
      <w:pPr>
        <w:rPr>
          <w:lang w:val="en-US"/>
        </w:rPr>
      </w:pPr>
      <w:r>
        <w:rPr>
          <w:lang w:val="en-US"/>
        </w:rPr>
        <w:t>xlink:href="http://www.srb.europa.eu/eu/fr/xbrl/fws/res/cp-2017-15/2024-07-15/mod/ldr.xsd</w:t>
      </w:r>
    </w:p>
    <w:p w14:paraId="0C41FDF9" w14:textId="77777777" w:rsidR="00272186" w:rsidRDefault="00272186" w:rsidP="00272186">
      <w:pPr>
        <w:rPr>
          <w:lang w:val="en-US"/>
        </w:rPr>
      </w:pPr>
    </w:p>
    <w:p w14:paraId="5AB8FAB8" w14:textId="77777777" w:rsidR="00272186" w:rsidRPr="00272186" w:rsidRDefault="00272186" w:rsidP="0027218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CIR</w:t>
      </w:r>
    </w:p>
    <w:p w14:paraId="057746B4" w14:textId="7F7471EF" w:rsidR="00272186" w:rsidRDefault="00272186" w:rsidP="00272186">
      <w:pPr>
        <w:rPr>
          <w:lang w:val="en-US"/>
        </w:rPr>
      </w:pPr>
      <w:r>
        <w:rPr>
          <w:lang w:val="en-US"/>
        </w:rPr>
        <w:t>xlink:href=</w:t>
      </w:r>
      <w:r w:rsidR="000320F8" w:rsidRPr="00D86A58">
        <w:rPr>
          <w:lang w:val="en-US"/>
        </w:rPr>
        <w:t>http://www.srb.europa.eu/eu/fr/xbrl/fws/res/cp-2017-15/2024-07-15/mod/cir.xsd</w:t>
      </w:r>
    </w:p>
    <w:p w14:paraId="4BE02368" w14:textId="77777777" w:rsidR="00272186" w:rsidRDefault="00272186" w:rsidP="00272186">
      <w:pPr>
        <w:rPr>
          <w:lang w:val="en-US"/>
        </w:rPr>
      </w:pPr>
    </w:p>
    <w:p w14:paraId="70BB3993" w14:textId="77777777" w:rsidR="00272186" w:rsidRDefault="00272186" w:rsidP="0027218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CFR</w:t>
      </w:r>
    </w:p>
    <w:p w14:paraId="4B7C57E0" w14:textId="11A9DB50" w:rsidR="00272186" w:rsidRDefault="00272186" w:rsidP="00272186">
      <w:pPr>
        <w:rPr>
          <w:lang w:val="en-US"/>
        </w:rPr>
      </w:pPr>
      <w:r>
        <w:rPr>
          <w:lang w:val="en-US"/>
        </w:rPr>
        <w:t>xlink:href="http://www.srb.europa.eu/eu/fr/xbrl/fws/res/cp-2017-15/2024-07-15/mod/cfr.xsd</w:t>
      </w:r>
    </w:p>
    <w:p w14:paraId="7C4411E6" w14:textId="77777777" w:rsidR="00272186" w:rsidRDefault="00272186" w:rsidP="00272186">
      <w:pPr>
        <w:rPr>
          <w:lang w:val="en-US"/>
        </w:rPr>
      </w:pPr>
    </w:p>
    <w:p w14:paraId="5A6FA97A" w14:textId="77777777" w:rsidR="00272186" w:rsidRDefault="00272186" w:rsidP="0027218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FMIR</w:t>
      </w:r>
    </w:p>
    <w:p w14:paraId="08C59028" w14:textId="77777777" w:rsidR="00272186" w:rsidRDefault="00272186" w:rsidP="00272186">
      <w:pPr>
        <w:rPr>
          <w:lang w:val="en-US"/>
        </w:rPr>
      </w:pPr>
      <w:r>
        <w:rPr>
          <w:lang w:val="en-US"/>
        </w:rPr>
        <w:t>xlink:href="http://www.srb.europa.eu/eu/fr/xbrl/fws/res/cp-2017-15/2024-07-15/mod/fmir.xsd</w:t>
      </w:r>
    </w:p>
    <w:p w14:paraId="1E37F20D" w14:textId="77777777" w:rsidR="00272186" w:rsidRDefault="00272186" w:rsidP="00272186">
      <w:pPr>
        <w:rPr>
          <w:lang w:val="en-US"/>
        </w:rPr>
      </w:pPr>
    </w:p>
    <w:p w14:paraId="634D93F1" w14:textId="77777777" w:rsidR="00272186" w:rsidRPr="00CF312C" w:rsidRDefault="00272186" w:rsidP="00272186">
      <w:pPr>
        <w:numPr>
          <w:ilvl w:val="0"/>
          <w:numId w:val="8"/>
        </w:numPr>
      </w:pPr>
      <w:r>
        <w:rPr>
          <w:szCs w:val="24"/>
          <w:u w:val="single"/>
        </w:rPr>
        <w:t xml:space="preserve">Collecte MREL-TLAC </w:t>
      </w:r>
    </w:p>
    <w:p w14:paraId="52D36125" w14:textId="77777777" w:rsidR="00CF312C" w:rsidRDefault="00CF312C" w:rsidP="00CF312C">
      <w:pPr>
        <w:ind w:left="720"/>
      </w:pPr>
    </w:p>
    <w:p w14:paraId="2FFE1A74" w14:textId="44BB6E73" w:rsidR="00272186" w:rsidRDefault="00CF312C" w:rsidP="00CF312C">
      <w:pPr>
        <w:numPr>
          <w:ilvl w:val="1"/>
          <w:numId w:val="8"/>
        </w:numPr>
      </w:pPr>
      <w:r>
        <w:t>Pour</w:t>
      </w:r>
      <w:r w:rsidR="00272186">
        <w:t xml:space="preserve"> la taxonomie EBA 3.3</w:t>
      </w:r>
    </w:p>
    <w:p w14:paraId="42498EBC" w14:textId="77777777" w:rsidR="00272186" w:rsidRDefault="00272186" w:rsidP="00272186">
      <w:pPr>
        <w:rPr>
          <w:lang w:val="en-US"/>
        </w:rPr>
      </w:pPr>
      <w:r>
        <w:rPr>
          <w:lang w:val="en-US"/>
        </w:rPr>
        <w:t>&lt;link:schemaRef xlink:type="simple" xlink:href="http://www.eba.europa.eu/eu/fr/xbrl/crr/fws/mrel/its-006-2020/2022-06-01/mod/mrel_tlac.xsd"/&gt;</w:t>
      </w:r>
    </w:p>
    <w:p w14:paraId="4B94E42A" w14:textId="77777777" w:rsidR="00CF312C" w:rsidRDefault="00CF312C" w:rsidP="00272186">
      <w:pPr>
        <w:rPr>
          <w:lang w:val="en-US"/>
        </w:rPr>
      </w:pPr>
    </w:p>
    <w:p w14:paraId="5BB2F98A" w14:textId="0BC104A6" w:rsidR="00272186" w:rsidRPr="00CF312C" w:rsidRDefault="00272186" w:rsidP="00272186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Pour la taxonomie 3.5</w:t>
      </w:r>
    </w:p>
    <w:p w14:paraId="7C1C14F2" w14:textId="77777777" w:rsidR="00272186" w:rsidRDefault="00272186" w:rsidP="00272186">
      <w:pPr>
        <w:rPr>
          <w:lang w:val="en-US"/>
        </w:rPr>
      </w:pPr>
      <w:r>
        <w:rPr>
          <w:lang w:val="en-US"/>
        </w:rPr>
        <w:t>xlink:href="http://www.eba.europa.eu/eu/fr/xbrl/crr/fws/mrel/its-006-2020/2024-07-11/mod/mrel_tlac.xsd</w:t>
      </w:r>
    </w:p>
    <w:p w14:paraId="52EA308D" w14:textId="77777777" w:rsidR="00CF312C" w:rsidRDefault="00CF312C" w:rsidP="00272186">
      <w:pPr>
        <w:rPr>
          <w:lang w:val="en-US"/>
        </w:rPr>
      </w:pPr>
    </w:p>
    <w:p w14:paraId="5C5C84BE" w14:textId="77777777" w:rsidR="00272186" w:rsidRDefault="00272186" w:rsidP="00272186">
      <w:pPr>
        <w:keepNext/>
        <w:numPr>
          <w:ilvl w:val="0"/>
          <w:numId w:val="8"/>
        </w:numPr>
      </w:pPr>
      <w:r>
        <w:rPr>
          <w:szCs w:val="24"/>
          <w:u w:val="single"/>
        </w:rPr>
        <w:t>Collecte IMPRACTICABILITY</w:t>
      </w:r>
      <w:r w:rsidRPr="00D86A58">
        <w:rPr>
          <w:szCs w:val="24"/>
        </w:rPr>
        <w:t xml:space="preserve"> </w:t>
      </w:r>
      <w:r>
        <w:t>pour la taxonomie EBA 3.3</w:t>
      </w:r>
    </w:p>
    <w:p w14:paraId="645D5E8A" w14:textId="77777777" w:rsidR="00272186" w:rsidRDefault="00272186" w:rsidP="00272186">
      <w:pPr>
        <w:keepNext/>
        <w:ind w:left="720"/>
      </w:pPr>
    </w:p>
    <w:p w14:paraId="6D00B516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>&lt;link:schemaRef xlink:type="simple" xlink:href="http://www.eba.europa.eu/eu/fr/xbrl/crr/fws/imprac/its-009-2020/2022-06-01/mod/notif_impracticability.xsd"/&gt;</w:t>
      </w:r>
    </w:p>
    <w:p w14:paraId="4F300ED8" w14:textId="77777777" w:rsidR="00272186" w:rsidRDefault="00272186" w:rsidP="00272186">
      <w:pPr>
        <w:ind w:left="1789"/>
        <w:rPr>
          <w:lang w:val="en-US"/>
        </w:rPr>
      </w:pPr>
    </w:p>
    <w:p w14:paraId="01B64612" w14:textId="77777777" w:rsidR="00272186" w:rsidRDefault="00272186" w:rsidP="00CF312C">
      <w:pPr>
        <w:numPr>
          <w:ilvl w:val="2"/>
          <w:numId w:val="5"/>
        </w:numPr>
        <w:spacing w:before="240" w:after="60"/>
        <w:outlineLvl w:val="1"/>
        <w:rPr>
          <w:b/>
          <w:u w:val="single"/>
        </w:rPr>
      </w:pPr>
      <w:r>
        <w:rPr>
          <w:b/>
          <w:u w:val="single"/>
          <w:lang w:val="en-US"/>
        </w:rPr>
        <w:t> </w:t>
      </w:r>
      <w:bookmarkStart w:id="41" w:name="_Toc216046965"/>
      <w:r>
        <w:rPr>
          <w:b/>
          <w:u w:val="single"/>
        </w:rPr>
        <w:t>Niveau de consolidation à déclarer</w:t>
      </w:r>
      <w:bookmarkEnd w:id="41"/>
    </w:p>
    <w:p w14:paraId="48AACC99" w14:textId="77777777" w:rsidR="00272186" w:rsidRDefault="00272186" w:rsidP="00272186">
      <w:pPr>
        <w:ind w:firstLine="142"/>
      </w:pPr>
      <w:r>
        <w:t>Pour les collectes ci-dessous : les points d’entrées acceptées seront les suivants :</w:t>
      </w:r>
    </w:p>
    <w:p w14:paraId="5B77DBEE" w14:textId="77777777" w:rsidR="00272186" w:rsidRDefault="00272186" w:rsidP="00272186">
      <w:pPr>
        <w:ind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37"/>
        <w:gridCol w:w="1333"/>
        <w:gridCol w:w="1342"/>
        <w:gridCol w:w="1254"/>
        <w:gridCol w:w="1350"/>
        <w:gridCol w:w="1240"/>
      </w:tblGrid>
      <w:tr w:rsidR="00272186" w14:paraId="40628708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BD8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F3E6" w14:textId="77777777" w:rsidR="00272186" w:rsidRDefault="00272186">
            <w:pPr>
              <w:jc w:val="center"/>
            </w:pPr>
            <w:r>
              <w:t>IND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B4DE" w14:textId="77777777" w:rsidR="00272186" w:rsidRDefault="00272186">
            <w:pPr>
              <w:jc w:val="center"/>
            </w:pPr>
            <w:r>
              <w:t>INDPOE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B39" w14:textId="77777777" w:rsidR="00272186" w:rsidRDefault="00272186">
            <w:pPr>
              <w:jc w:val="center"/>
            </w:pPr>
            <w:r>
              <w:t>INDOTH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F3A0" w14:textId="77777777" w:rsidR="00272186" w:rsidRDefault="00272186">
            <w:pPr>
              <w:jc w:val="center"/>
            </w:pPr>
            <w:r>
              <w:t>CON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2A9F" w14:textId="77777777" w:rsidR="00272186" w:rsidRDefault="00272186">
            <w:pPr>
              <w:jc w:val="center"/>
            </w:pPr>
            <w:r>
              <w:t>CONPOE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C60" w14:textId="77777777" w:rsidR="00272186" w:rsidRDefault="00272186">
            <w:pPr>
              <w:jc w:val="center"/>
            </w:pPr>
            <w:r>
              <w:t>RES</w:t>
            </w:r>
          </w:p>
        </w:tc>
      </w:tr>
      <w:tr w:rsidR="00272186" w14:paraId="67E25F39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4AD" w14:textId="77777777" w:rsidR="00272186" w:rsidRDefault="00272186">
            <w:pPr>
              <w:jc w:val="center"/>
            </w:pPr>
            <w:r>
              <w:t>LDR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15D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3F53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1204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C80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7DAA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C392" w14:textId="77777777" w:rsidR="00272186" w:rsidRDefault="00272186">
            <w:pPr>
              <w:jc w:val="center"/>
            </w:pPr>
            <w:r>
              <w:t>X</w:t>
            </w:r>
          </w:p>
        </w:tc>
      </w:tr>
      <w:tr w:rsidR="00272186" w14:paraId="57F48E51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0DD5" w14:textId="77777777" w:rsidR="00272186" w:rsidRDefault="00272186">
            <w:pPr>
              <w:jc w:val="center"/>
            </w:pPr>
            <w:r>
              <w:t>CFR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9572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3FF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8D1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FB70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F01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CB5E" w14:textId="77777777" w:rsidR="00272186" w:rsidRDefault="00272186">
            <w:pPr>
              <w:jc w:val="center"/>
            </w:pPr>
            <w:r>
              <w:t>X</w:t>
            </w:r>
          </w:p>
        </w:tc>
      </w:tr>
      <w:tr w:rsidR="00272186" w14:paraId="2D4FE9B0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A9F7" w14:textId="77777777" w:rsidR="00272186" w:rsidRDefault="00272186">
            <w:pPr>
              <w:jc w:val="center"/>
            </w:pPr>
            <w:r>
              <w:t>FMIR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231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623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95E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CE05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B9B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8B0" w14:textId="77777777" w:rsidR="00272186" w:rsidRDefault="00272186">
            <w:pPr>
              <w:jc w:val="center"/>
            </w:pPr>
          </w:p>
        </w:tc>
      </w:tr>
      <w:tr w:rsidR="00272186" w14:paraId="09B60B52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BEEE" w14:textId="77777777" w:rsidR="00272186" w:rsidRDefault="00272186">
            <w:pPr>
              <w:jc w:val="center"/>
            </w:pPr>
            <w:r>
              <w:t>CIR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A0EE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9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72F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1E3B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433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F67" w14:textId="77777777" w:rsidR="00272186" w:rsidRDefault="00272186">
            <w:pPr>
              <w:jc w:val="center"/>
            </w:pPr>
          </w:p>
        </w:tc>
      </w:tr>
      <w:tr w:rsidR="00272186" w14:paraId="6838874B" w14:textId="77777777" w:rsidTr="00272186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07A8" w14:textId="77777777" w:rsidR="00272186" w:rsidRDefault="00272186">
            <w:pPr>
              <w:jc w:val="center"/>
            </w:pPr>
            <w:r>
              <w:t>MREL-TLAC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7AB7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1A5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7BF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7E4E" w14:textId="77777777" w:rsidR="00272186" w:rsidRDefault="00272186">
            <w:pPr>
              <w:jc w:val="center"/>
            </w:pPr>
            <w: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9BD" w14:textId="77777777" w:rsidR="00272186" w:rsidRDefault="00272186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25C" w14:textId="77777777" w:rsidR="00272186" w:rsidRDefault="00272186">
            <w:pPr>
              <w:jc w:val="center"/>
            </w:pPr>
          </w:p>
        </w:tc>
      </w:tr>
    </w:tbl>
    <w:p w14:paraId="5BAB3C75" w14:textId="77777777" w:rsidR="00272186" w:rsidRDefault="00272186" w:rsidP="00272186">
      <w:pPr>
        <w:ind w:firstLine="142"/>
      </w:pPr>
    </w:p>
    <w:p w14:paraId="533B4A24" w14:textId="573AA272" w:rsidR="00272186" w:rsidRDefault="00272186" w:rsidP="00272186">
      <w:pPr>
        <w:ind w:firstLine="142"/>
        <w:jc w:val="both"/>
      </w:pPr>
      <w:r>
        <w:t>Le périmètre des établissements attendus pour remettre ces collectes est défini directement par l’IRT (</w:t>
      </w:r>
      <w:r w:rsidRPr="000D6FFF">
        <w:rPr>
          <w:b/>
          <w:bCs/>
        </w:rPr>
        <w:t>I</w:t>
      </w:r>
      <w:r>
        <w:t xml:space="preserve">nternal </w:t>
      </w:r>
      <w:r w:rsidR="006F1795" w:rsidRPr="000D6FFF">
        <w:rPr>
          <w:b/>
          <w:bCs/>
        </w:rPr>
        <w:t>R</w:t>
      </w:r>
      <w:r>
        <w:t xml:space="preserve">esolution </w:t>
      </w:r>
      <w:r w:rsidR="006F1795" w:rsidRPr="000D6FFF">
        <w:rPr>
          <w:b/>
          <w:bCs/>
        </w:rPr>
        <w:t>T</w:t>
      </w:r>
      <w:r>
        <w:t xml:space="preserve">eam). </w:t>
      </w:r>
      <w:r w:rsidR="00556580">
        <w:t>Veuillez-vous</w:t>
      </w:r>
      <w:r>
        <w:t xml:space="preserve"> rapprocher de votre coordinateur à l’ACPR pour toute question sur la liste des établissements et le type de déclaration attendu.</w:t>
      </w:r>
    </w:p>
    <w:p w14:paraId="0C0D0EB1" w14:textId="77777777" w:rsidR="006F1795" w:rsidRDefault="006F1795" w:rsidP="00272186">
      <w:pPr>
        <w:ind w:firstLine="142"/>
        <w:jc w:val="both"/>
      </w:pPr>
    </w:p>
    <w:p w14:paraId="18B70BB7" w14:textId="77777777" w:rsidR="006F1795" w:rsidRDefault="006F1795" w:rsidP="00272186">
      <w:pPr>
        <w:ind w:firstLine="142"/>
        <w:jc w:val="both"/>
      </w:pPr>
    </w:p>
    <w:p w14:paraId="69887C0F" w14:textId="77777777" w:rsidR="006F1795" w:rsidRDefault="006F1795" w:rsidP="00272186">
      <w:pPr>
        <w:ind w:firstLine="142"/>
        <w:jc w:val="both"/>
      </w:pPr>
    </w:p>
    <w:p w14:paraId="1A64E375" w14:textId="77777777" w:rsidR="006F1795" w:rsidRDefault="006F1795" w:rsidP="00272186">
      <w:pPr>
        <w:ind w:firstLine="142"/>
        <w:jc w:val="both"/>
      </w:pPr>
    </w:p>
    <w:p w14:paraId="249827AA" w14:textId="7A604F49" w:rsidR="00272186" w:rsidRDefault="00272186" w:rsidP="00E469B7">
      <w:pPr>
        <w:numPr>
          <w:ilvl w:val="2"/>
          <w:numId w:val="5"/>
        </w:numPr>
        <w:spacing w:before="240" w:after="60"/>
        <w:outlineLvl w:val="1"/>
        <w:rPr>
          <w:b/>
          <w:u w:val="single"/>
        </w:rPr>
      </w:pPr>
      <w:bookmarkStart w:id="42" w:name="_Toc216046966"/>
      <w:r>
        <w:rPr>
          <w:b/>
          <w:u w:val="single"/>
        </w:rPr>
        <w:lastRenderedPageBreak/>
        <w:t xml:space="preserve">Filing </w:t>
      </w:r>
      <w:r w:rsidR="005F20A9">
        <w:rPr>
          <w:b/>
          <w:u w:val="single"/>
        </w:rPr>
        <w:t>rule</w:t>
      </w:r>
      <w:r w:rsidR="00CF12D6">
        <w:rPr>
          <w:b/>
          <w:u w:val="single"/>
        </w:rPr>
        <w:t>s</w:t>
      </w:r>
      <w:r>
        <w:rPr>
          <w:b/>
          <w:u w:val="single"/>
        </w:rPr>
        <w:t xml:space="preserve"> pour les remises FRU / FRN</w:t>
      </w:r>
      <w:bookmarkEnd w:id="42"/>
      <w:r>
        <w:rPr>
          <w:b/>
          <w:u w:val="single"/>
        </w:rPr>
        <w:t xml:space="preserve"> </w:t>
      </w:r>
    </w:p>
    <w:p w14:paraId="7C365D66" w14:textId="76489A8B" w:rsidR="00272186" w:rsidRDefault="00272186" w:rsidP="00272186">
      <w:pPr>
        <w:spacing w:before="240" w:after="60"/>
      </w:pPr>
      <w:r>
        <w:t>Toutes les tables sont attendues pour cette collecte. En effet, dans le document «SRB XBRL Filing rules for the 202</w:t>
      </w:r>
      <w:r w:rsidR="004D0AB3" w:rsidRPr="00D86A58">
        <w:t>6</w:t>
      </w:r>
      <w:r>
        <w:t xml:space="preserve"> contribution collection » disponible sur le site du CRU, il est indiqué :</w:t>
      </w:r>
    </w:p>
    <w:p w14:paraId="4CAA1E8B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“The XBRL instance must contain the 4 filing Indicators</w:t>
      </w:r>
    </w:p>
    <w:p w14:paraId="3562AA84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&lt;find:fIndicators&gt;</w:t>
      </w:r>
    </w:p>
    <w:p w14:paraId="253452A3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&lt;find:filingIndicator contextRef="C1"&gt;f_01&lt;/find:filingIndicator&gt;</w:t>
      </w:r>
    </w:p>
    <w:p w14:paraId="6352F208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&lt;find:filingIndicator contextRef="C1"&gt;f_02&lt;/find:filingIndicator&gt;</w:t>
      </w:r>
    </w:p>
    <w:p w14:paraId="001C0D4E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&lt;find:filingIndicator contextRef="C1"&gt;f_03&lt;/find:filingIndicator&gt;</w:t>
      </w:r>
    </w:p>
    <w:p w14:paraId="4F370822" w14:textId="77777777" w:rsidR="00272186" w:rsidRDefault="00272186" w:rsidP="00272186">
      <w:pPr>
        <w:spacing w:before="120"/>
        <w:rPr>
          <w:i/>
          <w:lang w:val="en-US"/>
        </w:rPr>
      </w:pPr>
      <w:r>
        <w:rPr>
          <w:i/>
          <w:lang w:val="en-US"/>
        </w:rPr>
        <w:t>&lt;find:filingIndicator contextRef="C1"&gt;f_04&lt;/find:filingIndicator&gt;</w:t>
      </w:r>
    </w:p>
    <w:p w14:paraId="0D3FCCEF" w14:textId="77777777" w:rsidR="00272186" w:rsidRDefault="00272186" w:rsidP="00272186">
      <w:pPr>
        <w:spacing w:before="120"/>
        <w:rPr>
          <w:i/>
        </w:rPr>
      </w:pPr>
      <w:r>
        <w:rPr>
          <w:i/>
        </w:rPr>
        <w:t>&lt;/find:fIndicators</w:t>
      </w:r>
    </w:p>
    <w:p w14:paraId="05D55106" w14:textId="77777777" w:rsidR="00B05228" w:rsidRDefault="00272186" w:rsidP="00272186">
      <w:pPr>
        <w:spacing w:before="240" w:after="60"/>
        <w:jc w:val="both"/>
      </w:pPr>
      <w:r>
        <w:t xml:space="preserve">En conséquence, même si un établissement est soumis à la contribution forfaitaire et n’a pas d’information à fournir en f03 et f04, les tables sont à déclarer avec l’indicateur </w:t>
      </w:r>
    </w:p>
    <w:p w14:paraId="63A5A0BF" w14:textId="12D80F72" w:rsidR="00272186" w:rsidRDefault="00272186" w:rsidP="00272186">
      <w:pPr>
        <w:spacing w:before="240" w:after="60"/>
        <w:jc w:val="both"/>
      </w:pPr>
      <w:r>
        <w:t xml:space="preserve">« filingindicator » à « true » mais sans déclarer de données pour ces onglets. À défaut, la remise sera rejetée. Il n’y a pas de table optionnelle dans cette remise. </w:t>
      </w:r>
    </w:p>
    <w:p w14:paraId="6414BADE" w14:textId="77777777" w:rsidR="00272186" w:rsidRDefault="00272186" w:rsidP="00272186">
      <w:pPr>
        <w:spacing w:before="240" w:after="60"/>
        <w:jc w:val="both"/>
      </w:pPr>
      <w:r>
        <w:t>Cette règle est également valable pour les établissements assujettis au FRN.</w:t>
      </w:r>
    </w:p>
    <w:p w14:paraId="0A51BDAE" w14:textId="7E94F00E" w:rsidR="00272186" w:rsidRDefault="00272186" w:rsidP="00E469B7">
      <w:pPr>
        <w:keepNext/>
        <w:numPr>
          <w:ilvl w:val="2"/>
          <w:numId w:val="5"/>
        </w:numPr>
        <w:spacing w:before="240" w:after="60"/>
        <w:outlineLvl w:val="1"/>
        <w:rPr>
          <w:b/>
          <w:u w:val="single"/>
        </w:rPr>
      </w:pPr>
      <w:bookmarkStart w:id="43" w:name="_Toc216046967"/>
      <w:proofErr w:type="spellStart"/>
      <w:r>
        <w:rPr>
          <w:b/>
          <w:u w:val="single"/>
        </w:rPr>
        <w:lastRenderedPageBreak/>
        <w:t>Filing</w:t>
      </w:r>
      <w:proofErr w:type="spellEnd"/>
      <w:r>
        <w:rPr>
          <w:b/>
          <w:u w:val="single"/>
        </w:rPr>
        <w:t xml:space="preserve"> </w:t>
      </w:r>
      <w:proofErr w:type="spellStart"/>
      <w:r w:rsidR="00B6666B" w:rsidRPr="00D86A58">
        <w:rPr>
          <w:b/>
          <w:u w:val="single"/>
        </w:rPr>
        <w:t>indicators</w:t>
      </w:r>
      <w:proofErr w:type="spellEnd"/>
      <w:r>
        <w:rPr>
          <w:b/>
          <w:u w:val="single"/>
        </w:rPr>
        <w:t xml:space="preserve"> pour LDR, CFR, FMIR et CIR</w:t>
      </w:r>
      <w:bookmarkEnd w:id="43"/>
    </w:p>
    <w:p w14:paraId="7CE66651" w14:textId="77777777" w:rsidR="00272186" w:rsidRDefault="00272186" w:rsidP="00272186">
      <w:pPr>
        <w:keepNext/>
      </w:pPr>
    </w:p>
    <w:p w14:paraId="2DF034C7" w14:textId="77777777" w:rsidR="00272186" w:rsidRDefault="00272186" w:rsidP="00272186">
      <w:pPr>
        <w:keepNext/>
      </w:pPr>
      <w:r>
        <w:t xml:space="preserve">Voir le </w:t>
      </w:r>
      <w:hyperlink r:id="rId24" w:history="1">
        <w:r>
          <w:rPr>
            <w:rStyle w:val="Lienhypertexte"/>
            <w:rFonts w:eastAsiaTheme="majorEastAsia"/>
          </w:rPr>
          <w:t>document de synthèse</w:t>
        </w:r>
      </w:hyperlink>
      <w:r>
        <w:t xml:space="preserve"> sur le site du CRU.</w:t>
      </w:r>
    </w:p>
    <w:p w14:paraId="732579CD" w14:textId="77777777" w:rsidR="00272186" w:rsidRDefault="00272186" w:rsidP="00272186">
      <w:pPr>
        <w:keepNext/>
      </w:pPr>
    </w:p>
    <w:p w14:paraId="7FBEA08F" w14:textId="03ACCD2F" w:rsidR="00272186" w:rsidRDefault="00272186" w:rsidP="00272186">
      <w:pPr>
        <w:keepNext/>
        <w:jc w:val="both"/>
      </w:pPr>
      <w:r>
        <w:t>Attention, les tables à déclarer dépendent du niveau de déclaration. De plus, la remise XBRL</w:t>
      </w:r>
      <w:r w:rsidR="00E469B7" w:rsidRPr="00D86A58">
        <w:t>-XML</w:t>
      </w:r>
      <w:r>
        <w:t xml:space="preserve"> doit contenir un filing indicator pour chaque table :</w:t>
      </w:r>
    </w:p>
    <w:p w14:paraId="4F228E27" w14:textId="77777777" w:rsidR="00272186" w:rsidRDefault="00272186" w:rsidP="00272186">
      <w:pPr>
        <w:keepNext/>
        <w:spacing w:before="240" w:after="60"/>
      </w:pPr>
    </w:p>
    <w:p w14:paraId="7BB43FE9" w14:textId="77777777" w:rsidR="00272186" w:rsidRDefault="00272186" w:rsidP="00272186">
      <w:pPr>
        <w:keepNext/>
        <w:spacing w:before="240" w:after="60"/>
      </w:pPr>
      <w:r>
        <w:rPr>
          <w:noProof/>
        </w:rPr>
        <w:drawing>
          <wp:inline distT="0" distB="0" distL="0" distR="0" wp14:anchorId="02F65F17" wp14:editId="40AAA92B">
            <wp:extent cx="5372100" cy="33299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D45D" w14:textId="329C0E0D" w:rsidR="00272186" w:rsidRDefault="00272186" w:rsidP="00272186">
      <w:pPr>
        <w:keepNext/>
        <w:spacing w:before="240" w:after="60"/>
      </w:pPr>
      <w:r>
        <w:t xml:space="preserve">Comme toutes les tables sont </w:t>
      </w:r>
      <w:r w:rsidR="00C7397B" w:rsidRPr="00D86A58">
        <w:t>à déclarer</w:t>
      </w:r>
      <w:r w:rsidRPr="008D2361">
        <w:t>,</w:t>
      </w:r>
      <w:r>
        <w:t xml:space="preserve"> il faut obligatoirement </w:t>
      </w:r>
      <w:r w:rsidR="009D3381">
        <w:t>renseigner</w:t>
      </w:r>
      <w:r>
        <w:t xml:space="preserve"> « false » pour toutes les tables qui ne sont pas attendues dans votre remise, par exemple, pour un LDR CON :</w:t>
      </w:r>
    </w:p>
    <w:p w14:paraId="4D53E467" w14:textId="77777777" w:rsidR="00272186" w:rsidRPr="00272186" w:rsidRDefault="00272186" w:rsidP="00272186">
      <w:pPr>
        <w:keepNext/>
        <w:rPr>
          <w:lang w:val="en-US"/>
        </w:rPr>
      </w:pPr>
      <w:r w:rsidRPr="00272186">
        <w:rPr>
          <w:lang w:val="en-US"/>
        </w:rPr>
        <w:t>&lt;find:fIndicators&gt;</w:t>
      </w:r>
    </w:p>
    <w:p w14:paraId="266E1D7C" w14:textId="77777777" w:rsidR="00272186" w:rsidRDefault="00272186" w:rsidP="00272186">
      <w:pPr>
        <w:keepNext/>
        <w:rPr>
          <w:lang w:val="en-US"/>
        </w:rPr>
      </w:pPr>
      <w:r w:rsidRPr="00272186">
        <w:rPr>
          <w:lang w:val="en-US"/>
        </w:rPr>
        <w:t xml:space="preserve"> </w:t>
      </w:r>
      <w:r>
        <w:rPr>
          <w:lang w:val="en-US"/>
        </w:rPr>
        <w:t>&lt;find:filingIndicator contextRef="Context1" find:filed="true"&gt;T_01.00&lt;/find:filingIndicator&gt;</w:t>
      </w:r>
    </w:p>
    <w:p w14:paraId="696DDE42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find:filed="true"&gt;T_02.00&lt;/find:filingIndicator&gt;</w:t>
      </w:r>
    </w:p>
    <w:p w14:paraId="36F47D5E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find:filed="true"&gt;T_03.01&lt;/find:filingIndicator&gt;</w:t>
      </w:r>
    </w:p>
    <w:p w14:paraId="5C7A4E7F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find:filed="true"&gt;T_03.02&lt;/find:filingIndicator&gt;</w:t>
      </w:r>
    </w:p>
    <w:p w14:paraId="5B2245B0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find:filed="true"&gt;T_03.03&lt;/find:filingIndicator&gt;</w:t>
      </w:r>
    </w:p>
    <w:p w14:paraId="4CD84BD3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"&gt;T_04.00&lt;/find:filingIndicator&gt;</w:t>
      </w:r>
    </w:p>
    <w:p w14:paraId="20E1C428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"&gt;T_05.01&lt;/find:filingIndicator&gt;</w:t>
      </w:r>
    </w:p>
    <w:p w14:paraId="102EF898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"&gt;T_06.01&lt;/find:filingIndicator&gt;</w:t>
      </w:r>
    </w:p>
    <w:p w14:paraId="75038C53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lastRenderedPageBreak/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"&gt;T_07.00&lt;/find:filingIndicator&gt;</w:t>
      </w:r>
    </w:p>
    <w:p w14:paraId="242B3355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"&gt;T_08.00&lt;/find:filingIndicator&gt;</w:t>
      </w:r>
    </w:p>
    <w:p w14:paraId="285CFC01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</w:t>
      </w:r>
      <w:r>
        <w:rPr>
          <w:color w:val="C45911"/>
          <w:lang w:val="en-US"/>
        </w:rPr>
        <w:t>false</w:t>
      </w:r>
      <w:r>
        <w:rPr>
          <w:lang w:val="en-US"/>
        </w:rPr>
        <w:t>"&gt;T_09.00&lt;/find:filingIndicator&gt;</w:t>
      </w:r>
    </w:p>
    <w:p w14:paraId="123C67B7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find:filed="true"&gt;T_12.00&lt;/find:filingIndicator&gt;</w:t>
      </w:r>
    </w:p>
    <w:p w14:paraId="3263978C" w14:textId="77777777" w:rsidR="00272186" w:rsidRDefault="00272186" w:rsidP="00272186">
      <w:pPr>
        <w:keepNext/>
        <w:rPr>
          <w:lang w:val="en-US"/>
        </w:rPr>
      </w:pPr>
      <w:r>
        <w:rPr>
          <w:lang w:val="en-US"/>
        </w:rPr>
        <w:t xml:space="preserve"> &lt;find:filingIndicator contextRef="Context1" find:filed="true"&gt;T_99.00&lt;/find:filingIndicator&gt;</w:t>
      </w:r>
    </w:p>
    <w:p w14:paraId="31B994F3" w14:textId="77777777" w:rsidR="00272186" w:rsidRDefault="00272186" w:rsidP="00272186">
      <w:pPr>
        <w:keepNext/>
      </w:pPr>
      <w:r>
        <w:rPr>
          <w:lang w:val="en-US"/>
        </w:rPr>
        <w:t xml:space="preserve"> </w:t>
      </w:r>
      <w:r>
        <w:t>&lt;/find:fIndicators&gt;</w:t>
      </w:r>
    </w:p>
    <w:p w14:paraId="379405DF" w14:textId="0D441315" w:rsidR="00272186" w:rsidRPr="005F20A9" w:rsidRDefault="00272186" w:rsidP="00CF12D6">
      <w:pPr>
        <w:keepNext/>
        <w:numPr>
          <w:ilvl w:val="2"/>
          <w:numId w:val="5"/>
        </w:numPr>
        <w:spacing w:before="240" w:after="60"/>
        <w:outlineLvl w:val="1"/>
        <w:rPr>
          <w:b/>
          <w:u w:val="single"/>
          <w:lang w:val="en-US"/>
        </w:rPr>
      </w:pPr>
      <w:r w:rsidRPr="005F20A9">
        <w:rPr>
          <w:b/>
          <w:u w:val="single"/>
          <w:lang w:val="en-US"/>
        </w:rPr>
        <w:br w:type="page"/>
      </w:r>
      <w:bookmarkStart w:id="44" w:name="_Toc216046968"/>
      <w:r w:rsidRPr="005F20A9">
        <w:rPr>
          <w:b/>
          <w:u w:val="single"/>
          <w:lang w:val="en-US"/>
        </w:rPr>
        <w:lastRenderedPageBreak/>
        <w:t xml:space="preserve">Filing </w:t>
      </w:r>
      <w:r w:rsidR="00B6666B" w:rsidRPr="00D86A58">
        <w:rPr>
          <w:b/>
          <w:u w:val="single"/>
          <w:lang w:val="en-US"/>
        </w:rPr>
        <w:t>indicators</w:t>
      </w:r>
      <w:r w:rsidRPr="005F20A9">
        <w:rPr>
          <w:b/>
          <w:u w:val="single"/>
          <w:lang w:val="en-US"/>
        </w:rPr>
        <w:t xml:space="preserve"> pour MREL-TLAC</w:t>
      </w:r>
      <w:bookmarkEnd w:id="44"/>
    </w:p>
    <w:p w14:paraId="44B1FC73" w14:textId="77777777" w:rsidR="00272186" w:rsidRDefault="00272186" w:rsidP="00272186">
      <w:pPr>
        <w:keepNext/>
        <w:spacing w:before="240" w:after="60"/>
      </w:pPr>
      <w:r>
        <w:t>Les reportings devront respecter ces règles sous peine d’être rejetés par les portails de l’ACPR et européen (CRU, EBA) :</w:t>
      </w:r>
    </w:p>
    <w:p w14:paraId="7B2EA9B5" w14:textId="77777777" w:rsidR="00272186" w:rsidRDefault="00272186" w:rsidP="00272186">
      <w:pPr>
        <w:keepNext/>
        <w:spacing w:before="240" w:after="60"/>
      </w:pPr>
      <w:r>
        <w:rPr>
          <w:noProof/>
        </w:rPr>
        <w:drawing>
          <wp:inline distT="0" distB="0" distL="0" distR="0" wp14:anchorId="6E28B478" wp14:editId="2AA05096">
            <wp:extent cx="6118860" cy="31089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6E1A" w14:textId="1C9F439F" w:rsidR="00272186" w:rsidRDefault="00272186" w:rsidP="00272186">
      <w:pPr>
        <w:keepNext/>
        <w:spacing w:before="240" w:after="60"/>
        <w:jc w:val="both"/>
      </w:pPr>
      <w:r>
        <w:t xml:space="preserve">Par ailleurs, pour les MREL-TLAC remis à partir du 1/01/2023, les règles de gestion de présence des tables </w:t>
      </w:r>
      <w:r w:rsidR="00CF12D6" w:rsidRPr="00CF12D6">
        <w:rPr>
          <w:bCs/>
        </w:rPr>
        <w:t>ont évolués</w:t>
      </w:r>
      <w:r w:rsidRPr="00CF12D6">
        <w:rPr>
          <w:bCs/>
        </w:rPr>
        <w:t> :</w:t>
      </w:r>
      <w:r>
        <w:t xml:space="preserve"> </w:t>
      </w:r>
      <w:r w:rsidR="00CF12D6">
        <w:t>u</w:t>
      </w:r>
      <w:r>
        <w:t xml:space="preserve">ne table non attendue mais absente sera considérée comme une erreur. Si vous ne devez pas déclarer de données dans une table, il convient néanmoins de déclarer avec un </w:t>
      </w:r>
      <w:r>
        <w:rPr>
          <w:i/>
        </w:rPr>
        <w:t>filing indicator</w:t>
      </w:r>
      <w:r>
        <w:t xml:space="preserve"> = </w:t>
      </w:r>
      <w:r>
        <w:rPr>
          <w:i/>
        </w:rPr>
        <w:t>false</w:t>
      </w:r>
    </w:p>
    <w:p w14:paraId="2B59C446" w14:textId="77777777" w:rsidR="00272186" w:rsidRDefault="00272186" w:rsidP="00272186">
      <w:pPr>
        <w:keepNext/>
        <w:spacing w:before="240" w:after="60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63406108" wp14:editId="37D7683E">
            <wp:extent cx="6126480" cy="19735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6954" w14:textId="77777777" w:rsidR="00272186" w:rsidRDefault="00272186" w:rsidP="00272186">
      <w:pPr>
        <w:spacing w:before="240" w:after="60"/>
        <w:rPr>
          <w:b/>
          <w:u w:val="single"/>
        </w:rPr>
      </w:pPr>
    </w:p>
    <w:p w14:paraId="6F948252" w14:textId="057C930C" w:rsidR="00272186" w:rsidRDefault="00272186" w:rsidP="00CF12D6">
      <w:pPr>
        <w:keepNext/>
        <w:numPr>
          <w:ilvl w:val="2"/>
          <w:numId w:val="5"/>
        </w:numPr>
        <w:spacing w:before="240" w:after="60"/>
        <w:outlineLvl w:val="1"/>
        <w:rPr>
          <w:b/>
          <w:u w:val="single"/>
          <w:lang w:val="en-US"/>
        </w:rPr>
      </w:pPr>
      <w:bookmarkStart w:id="45" w:name="_Toc216046969"/>
      <w:r>
        <w:rPr>
          <w:b/>
          <w:u w:val="single"/>
          <w:lang w:val="en-US"/>
        </w:rPr>
        <w:lastRenderedPageBreak/>
        <w:t xml:space="preserve">Filing </w:t>
      </w:r>
      <w:r w:rsidR="005F20A9">
        <w:rPr>
          <w:b/>
          <w:u w:val="single"/>
          <w:lang w:val="en-US"/>
        </w:rPr>
        <w:t>rules</w:t>
      </w:r>
      <w:r>
        <w:rPr>
          <w:b/>
          <w:u w:val="single"/>
          <w:lang w:val="en-US"/>
        </w:rPr>
        <w:t xml:space="preserve"> pour NOTIF IMPRACTICABILITY (art. 55 BRRD)</w:t>
      </w:r>
      <w:bookmarkEnd w:id="45"/>
    </w:p>
    <w:p w14:paraId="2F587695" w14:textId="25E309CA" w:rsidR="00272186" w:rsidRDefault="00CF12D6" w:rsidP="00272186">
      <w:pPr>
        <w:keepNext/>
        <w:spacing w:before="240" w:after="60"/>
        <w:ind w:firstLine="284"/>
        <w:rPr>
          <w:u w:val="single"/>
        </w:rPr>
      </w:pPr>
      <w:r>
        <w:rPr>
          <w:u w:val="single"/>
        </w:rPr>
        <w:t>À</w:t>
      </w:r>
      <w:r w:rsidR="00272186">
        <w:rPr>
          <w:u w:val="single"/>
        </w:rPr>
        <w:t xml:space="preserve"> compter de la période 12/2022, la collecte IMPRACTICABILITY </w:t>
      </w:r>
      <w:r>
        <w:rPr>
          <w:u w:val="single"/>
        </w:rPr>
        <w:t>doit</w:t>
      </w:r>
      <w:r w:rsidR="00272186">
        <w:rPr>
          <w:u w:val="single"/>
        </w:rPr>
        <w:t xml:space="preserve"> contenir le point d’entrée .IND dans la balise IDENTIFIER.</w:t>
      </w:r>
    </w:p>
    <w:p w14:paraId="6FC9F018" w14:textId="77777777" w:rsidR="00272186" w:rsidRDefault="00272186" w:rsidP="00272186">
      <w:pPr>
        <w:keepNext/>
        <w:spacing w:after="60"/>
        <w:ind w:left="1072"/>
        <w:rPr>
          <w:u w:val="single"/>
        </w:rPr>
      </w:pPr>
      <w:r>
        <w:rPr>
          <w:u w:val="single"/>
        </w:rPr>
        <w:t>Exemple :</w:t>
      </w:r>
    </w:p>
    <w:p w14:paraId="310CAAE0" w14:textId="77777777" w:rsidR="00272186" w:rsidRDefault="00272186" w:rsidP="00272186">
      <w:pPr>
        <w:keepNext/>
        <w:spacing w:after="60"/>
        <w:ind w:left="1072"/>
        <w:rPr>
          <w:u w:val="single"/>
        </w:rPr>
      </w:pPr>
      <w:r>
        <w:rPr>
          <w:u w:val="single"/>
        </w:rPr>
        <w:t>&lt;xbrli:entity&gt;</w:t>
      </w:r>
    </w:p>
    <w:p w14:paraId="4E042B6A" w14:textId="77777777" w:rsidR="00272186" w:rsidRDefault="00272186" w:rsidP="00272186">
      <w:pPr>
        <w:keepNext/>
        <w:spacing w:after="60"/>
        <w:ind w:left="1072"/>
        <w:rPr>
          <w:u w:val="single"/>
        </w:rPr>
      </w:pPr>
      <w:r>
        <w:rPr>
          <w:u w:val="single"/>
        </w:rPr>
        <w:t xml:space="preserve">      &lt;xbrli:identifier scheme="https://eurofiling.info/eu/rs"&gt;DUMMYLEI123456789012.IND&lt;/xbrli:identifier&gt;</w:t>
      </w:r>
    </w:p>
    <w:p w14:paraId="11026BC2" w14:textId="77777777" w:rsidR="00272186" w:rsidRDefault="00272186" w:rsidP="00272186">
      <w:pPr>
        <w:keepNext/>
        <w:spacing w:after="60"/>
        <w:ind w:left="1072"/>
        <w:rPr>
          <w:u w:val="single"/>
        </w:rPr>
      </w:pPr>
      <w:r>
        <w:rPr>
          <w:u w:val="single"/>
        </w:rPr>
        <w:t xml:space="preserve">    &lt;/xbrli:entity&gt;</w:t>
      </w:r>
    </w:p>
    <w:p w14:paraId="24ECBAAF" w14:textId="77777777" w:rsidR="00272186" w:rsidRDefault="00272186" w:rsidP="00CF12D6">
      <w:pPr>
        <w:numPr>
          <w:ilvl w:val="2"/>
          <w:numId w:val="5"/>
        </w:numPr>
        <w:spacing w:before="240" w:after="60"/>
        <w:outlineLvl w:val="1"/>
        <w:rPr>
          <w:b/>
          <w:u w:val="single"/>
        </w:rPr>
      </w:pPr>
      <w:bookmarkStart w:id="46" w:name="_Toc216046970"/>
      <w:r>
        <w:rPr>
          <w:b/>
          <w:u w:val="single"/>
        </w:rPr>
        <w:t>Règles de nommage</w:t>
      </w:r>
      <w:bookmarkEnd w:id="46"/>
    </w:p>
    <w:p w14:paraId="28C290CF" w14:textId="77777777" w:rsidR="00272186" w:rsidRDefault="00272186" w:rsidP="00272186">
      <w:pPr>
        <w:ind w:left="1069"/>
        <w:rPr>
          <w:b/>
          <w:u w:val="single"/>
        </w:rPr>
      </w:pPr>
    </w:p>
    <w:p w14:paraId="4B3A28BE" w14:textId="77777777" w:rsidR="00272186" w:rsidRDefault="00272186" w:rsidP="00272186">
      <w:pPr>
        <w:ind w:firstLine="284"/>
        <w:jc w:val="both"/>
      </w:pPr>
      <w:r>
        <w:t>Les établissements sont libres de nommer leur fichier. Les règles de nommage attendues par le CRU sont réalisées par l’ACPR.</w:t>
      </w:r>
    </w:p>
    <w:p w14:paraId="4C5F0AD3" w14:textId="77777777" w:rsidR="006D5A0E" w:rsidRDefault="006D5A0E" w:rsidP="00272186">
      <w:pPr>
        <w:ind w:firstLine="284"/>
        <w:jc w:val="both"/>
      </w:pPr>
    </w:p>
    <w:p w14:paraId="5DE001BE" w14:textId="6AE0A835" w:rsidR="00FE290D" w:rsidRPr="00D86A58" w:rsidRDefault="00FE290D">
      <w:pPr>
        <w:spacing w:after="160" w:line="259" w:lineRule="auto"/>
        <w:rPr>
          <w:b/>
          <w:bCs/>
        </w:rPr>
      </w:pPr>
      <w:r w:rsidRPr="00D86A58">
        <w:rPr>
          <w:b/>
          <w:bCs/>
        </w:rPr>
        <w:t>Remarque</w:t>
      </w:r>
    </w:p>
    <w:p w14:paraId="2A8B4BC9" w14:textId="13B58B6F" w:rsidR="006D5A0E" w:rsidRDefault="00FE290D">
      <w:pPr>
        <w:spacing w:after="160" w:line="259" w:lineRule="auto"/>
      </w:pPr>
      <w:r w:rsidRPr="00D86A58">
        <w:rPr>
          <w:b/>
          <w:bCs/>
        </w:rPr>
        <w:t xml:space="preserve">La signature électronique mise en œuvre le 01 novembre 2024 conformément à la décision ACPR </w:t>
      </w:r>
      <w:hyperlink r:id="rId28" w:history="1">
        <w:r w:rsidRPr="00D86A58">
          <w:rPr>
            <w:rStyle w:val="Lienhypertexte"/>
            <w:rFonts w:eastAsiaTheme="majorEastAsia"/>
            <w:b/>
            <w:bCs/>
          </w:rPr>
          <w:t>2023-CR-35</w:t>
        </w:r>
      </w:hyperlink>
      <w:r w:rsidRPr="00D86A58">
        <w:rPr>
          <w:b/>
          <w:bCs/>
        </w:rPr>
        <w:t xml:space="preserve"> concernant toute remise des collectes des domaines FDR (FRU-FRN) et DDR (CFR, LDR, FMIR, CIR, MREL-TLAC…) est abrogée depuis le 01 juillet 2025.</w:t>
      </w:r>
      <w:r w:rsidR="006D5A0E">
        <w:br w:type="page"/>
      </w:r>
    </w:p>
    <w:p w14:paraId="47AED260" w14:textId="31024747" w:rsidR="006D5A0E" w:rsidRPr="00D86A58" w:rsidRDefault="006D5A0E" w:rsidP="00836CB6">
      <w:pPr>
        <w:numPr>
          <w:ilvl w:val="1"/>
          <w:numId w:val="14"/>
        </w:numPr>
        <w:spacing w:before="240" w:after="60"/>
        <w:outlineLvl w:val="1"/>
        <w:rPr>
          <w:rFonts w:eastAsiaTheme="majorEastAsia"/>
          <w:u w:val="single"/>
        </w:rPr>
      </w:pPr>
      <w:bookmarkStart w:id="47" w:name="_Toc216046971"/>
      <w:r w:rsidRPr="00D86A58">
        <w:rPr>
          <w:b/>
          <w:u w:val="single"/>
        </w:rPr>
        <w:lastRenderedPageBreak/>
        <w:t>Règles applicables aux remises au format XBRL-</w:t>
      </w:r>
      <w:r w:rsidR="006A1795" w:rsidRPr="00D86A58">
        <w:rPr>
          <w:b/>
          <w:u w:val="single"/>
        </w:rPr>
        <w:t>CSV</w:t>
      </w:r>
      <w:bookmarkEnd w:id="47"/>
    </w:p>
    <w:p w14:paraId="5AD02D09" w14:textId="77777777" w:rsidR="0015371A" w:rsidRPr="002A471F" w:rsidRDefault="0015371A" w:rsidP="00D86A58">
      <w:pPr>
        <w:spacing w:before="240" w:after="60"/>
        <w:ind w:left="644"/>
        <w:outlineLvl w:val="1"/>
        <w:rPr>
          <w:rFonts w:eastAsiaTheme="majorEastAsia"/>
          <w:u w:val="single"/>
        </w:rPr>
      </w:pPr>
    </w:p>
    <w:p w14:paraId="0342D76E" w14:textId="7159B695" w:rsidR="00FE290D" w:rsidRDefault="00D00A8C" w:rsidP="006D5A0E">
      <w:pPr>
        <w:keepNext/>
      </w:pPr>
      <w:r w:rsidRPr="00D00A8C">
        <w:t>Les règles décrites ci-dessous s’appliquent à l’ensemble des collectes</w:t>
      </w:r>
      <w:r w:rsidR="00FE290D">
        <w:t xml:space="preserve"> dont le format de remise </w:t>
      </w:r>
      <w:r w:rsidR="00EE22C9">
        <w:t>est</w:t>
      </w:r>
      <w:r w:rsidR="00FE290D">
        <w:t xml:space="preserve"> XBRL-CSV</w:t>
      </w:r>
      <w:r w:rsidR="00EE22C9">
        <w:t>, ce format sera</w:t>
      </w:r>
      <w:r w:rsidR="00FE290D">
        <w:t xml:space="preserve"> </w:t>
      </w:r>
      <w:r w:rsidR="00EE22C9">
        <w:t xml:space="preserve">déployé </w:t>
      </w:r>
      <w:r w:rsidR="00FE290D">
        <w:t>selon le calendrier suivant :</w:t>
      </w:r>
    </w:p>
    <w:p w14:paraId="2576CB90" w14:textId="3A127A2E" w:rsidR="00FE290D" w:rsidRDefault="003A5E1C" w:rsidP="00FE290D">
      <w:pPr>
        <w:pStyle w:val="Paragraphedeliste"/>
        <w:keepNext/>
        <w:numPr>
          <w:ilvl w:val="0"/>
          <w:numId w:val="2"/>
        </w:numPr>
      </w:pPr>
      <w:r w:rsidRPr="00D86A58">
        <w:t>RESOL1</w:t>
      </w:r>
      <w:r w:rsidRPr="00FE290D">
        <w:t xml:space="preserve">, </w:t>
      </w:r>
      <w:r w:rsidRPr="00D86A58">
        <w:t>RESOL2</w:t>
      </w:r>
      <w:r w:rsidR="00FE290D">
        <w:t xml:space="preserve"> </w:t>
      </w:r>
      <w:r w:rsidR="00EE22C9">
        <w:t xml:space="preserve">à partir </w:t>
      </w:r>
      <w:r w:rsidR="00FE290D">
        <w:t>de la campagne 2026 (arrêté 12/2025) ;</w:t>
      </w:r>
    </w:p>
    <w:p w14:paraId="6396BB36" w14:textId="65B8B7BD" w:rsidR="00FE290D" w:rsidRDefault="003A5E1C" w:rsidP="00FE290D">
      <w:pPr>
        <w:pStyle w:val="Paragraphedeliste"/>
        <w:keepNext/>
        <w:numPr>
          <w:ilvl w:val="0"/>
          <w:numId w:val="2"/>
        </w:numPr>
      </w:pPr>
      <w:r w:rsidRPr="00D00A8C">
        <w:t>MREL-TLAC</w:t>
      </w:r>
      <w:r w:rsidR="00FE290D">
        <w:t xml:space="preserve"> à compter de l’arrêté trimestriel 12/2025 </w:t>
      </w:r>
      <w:r w:rsidR="00EE22C9">
        <w:t>(cohabitation avec le format XBRL-XML) et obligatoire à parti</w:t>
      </w:r>
      <w:r w:rsidR="00C1527C">
        <w:t>r</w:t>
      </w:r>
      <w:r w:rsidR="00EE22C9">
        <w:t xml:space="preserve"> de l’arrêté trimestriel 03/2026 ;</w:t>
      </w:r>
    </w:p>
    <w:p w14:paraId="525AF5E8" w14:textId="429B01C6" w:rsidR="006D5A0E" w:rsidRPr="00D00A8C" w:rsidRDefault="003A5E1C" w:rsidP="00D86A58">
      <w:pPr>
        <w:pStyle w:val="Paragraphedeliste"/>
        <w:keepNext/>
        <w:numPr>
          <w:ilvl w:val="0"/>
          <w:numId w:val="2"/>
        </w:numPr>
      </w:pPr>
      <w:r w:rsidRPr="00D00A8C">
        <w:t>Notification impraticabilité de l’article 55 BRRD</w:t>
      </w:r>
      <w:r w:rsidR="00FE290D">
        <w:t xml:space="preserve"> à compter de l’arrêté </w:t>
      </w:r>
      <w:r w:rsidR="00EE22C9">
        <w:t xml:space="preserve">mensuel </w:t>
      </w:r>
      <w:r w:rsidR="00FE290D">
        <w:t xml:space="preserve">12/2025 </w:t>
      </w:r>
      <w:r w:rsidR="00EE22C9">
        <w:t xml:space="preserve">(cohabitation avec le format XBRL-XML) et obligatoire à partir de l’arrêté </w:t>
      </w:r>
      <w:r w:rsidR="00FE290D">
        <w:t>mensuel</w:t>
      </w:r>
      <w:r w:rsidR="00EE22C9">
        <w:t xml:space="preserve"> 03/2026</w:t>
      </w:r>
      <w:r w:rsidR="00D00A8C">
        <w:t>.</w:t>
      </w:r>
    </w:p>
    <w:p w14:paraId="06989DDA" w14:textId="77777777" w:rsidR="006D5A0E" w:rsidRPr="00D00A8C" w:rsidRDefault="006D5A0E" w:rsidP="006D5A0E">
      <w:pPr>
        <w:keepNext/>
        <w:ind w:left="1066"/>
      </w:pPr>
    </w:p>
    <w:p w14:paraId="27EC5C22" w14:textId="77777777" w:rsidR="006D5A0E" w:rsidRPr="00D00A8C" w:rsidRDefault="006D5A0E" w:rsidP="006D5A0E">
      <w:pPr>
        <w:ind w:left="1066"/>
      </w:pPr>
    </w:p>
    <w:p w14:paraId="31975713" w14:textId="77777777" w:rsidR="006D5A0E" w:rsidRDefault="006D5A0E" w:rsidP="006D5A0E">
      <w:pPr>
        <w:numPr>
          <w:ilvl w:val="2"/>
          <w:numId w:val="14"/>
        </w:numPr>
        <w:outlineLvl w:val="1"/>
        <w:rPr>
          <w:b/>
          <w:u w:val="single"/>
        </w:rPr>
      </w:pPr>
      <w:bookmarkStart w:id="48" w:name="_Toc216046972"/>
      <w:r>
        <w:rPr>
          <w:b/>
          <w:u w:val="single"/>
        </w:rPr>
        <w:t>Période</w:t>
      </w:r>
      <w:bookmarkEnd w:id="48"/>
    </w:p>
    <w:p w14:paraId="15F43BC3" w14:textId="77777777" w:rsidR="006D5A0E" w:rsidRDefault="006D5A0E" w:rsidP="006D5A0E">
      <w:pPr>
        <w:ind w:left="1066"/>
      </w:pPr>
    </w:p>
    <w:p w14:paraId="521AF994" w14:textId="7F29FD2E" w:rsidR="00231651" w:rsidRDefault="008558A0" w:rsidP="005F20A9">
      <w:pPr>
        <w:ind w:left="360"/>
      </w:pPr>
      <w:r w:rsidRPr="00231651">
        <w:rPr>
          <w:szCs w:val="24"/>
        </w:rPr>
        <w:t xml:space="preserve">Comme pour les campagnes antérieures </w:t>
      </w:r>
      <w:r w:rsidR="005F20A9">
        <w:rPr>
          <w:szCs w:val="24"/>
        </w:rPr>
        <w:t>(</w:t>
      </w:r>
      <w:r w:rsidR="00B6666B">
        <w:rPr>
          <w:szCs w:val="24"/>
        </w:rPr>
        <w:t xml:space="preserve">cf. </w:t>
      </w:r>
      <w:r w:rsidR="00B6666B">
        <w:rPr>
          <w:szCs w:val="24"/>
        </w:rPr>
        <w:fldChar w:fldCharType="begin"/>
      </w:r>
      <w:r w:rsidR="00B6666B">
        <w:rPr>
          <w:szCs w:val="24"/>
        </w:rPr>
        <w:instrText xml:space="preserve"> REF _Ref213687982 \r \h </w:instrText>
      </w:r>
      <w:r w:rsidR="00B6666B">
        <w:rPr>
          <w:szCs w:val="24"/>
        </w:rPr>
      </w:r>
      <w:r w:rsidR="00B6666B">
        <w:rPr>
          <w:szCs w:val="24"/>
        </w:rPr>
        <w:fldChar w:fldCharType="separate"/>
      </w:r>
      <w:r w:rsidR="00B6666B">
        <w:rPr>
          <w:szCs w:val="24"/>
        </w:rPr>
        <w:t>3.1.3</w:t>
      </w:r>
      <w:r w:rsidR="00B6666B">
        <w:rPr>
          <w:szCs w:val="24"/>
        </w:rPr>
        <w:fldChar w:fldCharType="end"/>
      </w:r>
      <w:r w:rsidR="005F20A9">
        <w:rPr>
          <w:szCs w:val="24"/>
        </w:rPr>
        <w:t xml:space="preserve">) </w:t>
      </w:r>
      <w:r w:rsidRPr="00231651">
        <w:rPr>
          <w:szCs w:val="24"/>
        </w:rPr>
        <w:t xml:space="preserve">la période qui doit figurer dans la remise doit correspondre à la date de </w:t>
      </w:r>
      <w:r w:rsidRPr="00231651">
        <w:t>référence</w:t>
      </w:r>
      <w:r>
        <w:t xml:space="preserve"> des données comptables et financières.</w:t>
      </w:r>
    </w:p>
    <w:p w14:paraId="13D1F4A4" w14:textId="77777777" w:rsidR="0015371A" w:rsidRDefault="0015371A" w:rsidP="005F20A9">
      <w:pPr>
        <w:ind w:left="360"/>
      </w:pPr>
    </w:p>
    <w:p w14:paraId="63E08E9C" w14:textId="4AB81A33" w:rsidR="005F20A9" w:rsidRDefault="005F20A9" w:rsidP="005F20A9">
      <w:pPr>
        <w:ind w:left="360"/>
      </w:pPr>
      <w:r>
        <w:t xml:space="preserve">La période doit être valorisée au niveau du paramètre </w:t>
      </w:r>
      <w:r w:rsidR="003A5E1C">
        <w:t>« </w:t>
      </w:r>
      <w:r w:rsidRPr="005F20A9">
        <w:t>refPeriod</w:t>
      </w:r>
      <w:r w:rsidR="003A5E1C">
        <w:t> »</w:t>
      </w:r>
      <w:r>
        <w:t xml:space="preserve"> du fichier </w:t>
      </w:r>
      <w:r w:rsidR="003A5E1C">
        <w:t>« </w:t>
      </w:r>
      <w:r>
        <w:t>parameters.csv</w:t>
      </w:r>
      <w:r w:rsidR="003A5E1C">
        <w:t> »</w:t>
      </w:r>
      <w:r>
        <w:t>.</w:t>
      </w:r>
    </w:p>
    <w:p w14:paraId="00D4D7A8" w14:textId="77777777" w:rsidR="008558A0" w:rsidRPr="008558A0" w:rsidRDefault="008558A0" w:rsidP="006D5A0E">
      <w:pPr>
        <w:ind w:left="360"/>
      </w:pPr>
    </w:p>
    <w:p w14:paraId="0938057D" w14:textId="77777777" w:rsidR="006D5A0E" w:rsidRPr="008558A0" w:rsidRDefault="006D5A0E" w:rsidP="006D5A0E">
      <w:pPr>
        <w:ind w:left="360"/>
      </w:pPr>
    </w:p>
    <w:p w14:paraId="453750D2" w14:textId="59405250" w:rsidR="006D5A0E" w:rsidRDefault="006D5A0E" w:rsidP="006D5A0E">
      <w:pPr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Reporting </w:t>
      </w:r>
      <w:r w:rsidR="005F20A9">
        <w:rPr>
          <w:u w:val="single"/>
          <w:lang w:val="en-US"/>
        </w:rPr>
        <w:t>RESOL1 et RESOL2</w:t>
      </w:r>
    </w:p>
    <w:p w14:paraId="76245BE8" w14:textId="77777777" w:rsidR="006D5A0E" w:rsidRDefault="006D5A0E" w:rsidP="006D5A0E">
      <w:pPr>
        <w:ind w:left="360"/>
        <w:rPr>
          <w:lang w:val="en-US"/>
        </w:rPr>
      </w:pPr>
    </w:p>
    <w:p w14:paraId="6BE6C864" w14:textId="465AD3C0" w:rsidR="006D5A0E" w:rsidRDefault="005F20A9" w:rsidP="006D5A0E">
      <w:r>
        <w:t>Pour la campagne 2026, la période devra être valori</w:t>
      </w:r>
      <w:r w:rsidR="00085B2B">
        <w:t>sée à 202</w:t>
      </w:r>
      <w:r w:rsidR="003431CD">
        <w:t>5</w:t>
      </w:r>
      <w:r w:rsidR="00085B2B">
        <w:t>-12-31</w:t>
      </w:r>
      <w:r w:rsidR="006E4E8F">
        <w:t xml:space="preserve"> (au format : AAAA-MM-JJ)</w:t>
      </w:r>
      <w:r w:rsidR="003431CD">
        <w:t xml:space="preserve"> dans le fichier « parameters.csv »</w:t>
      </w:r>
    </w:p>
    <w:p w14:paraId="0FA2A0F0" w14:textId="77777777" w:rsidR="006D5A0E" w:rsidRDefault="006D5A0E" w:rsidP="006D5A0E">
      <w:pPr>
        <w:ind w:left="360"/>
      </w:pPr>
    </w:p>
    <w:p w14:paraId="4B943C6F" w14:textId="77777777" w:rsidR="006E4E8F" w:rsidRPr="008C4B18" w:rsidRDefault="006D5A0E" w:rsidP="006D5A0E">
      <w:pPr>
        <w:rPr>
          <w:lang w:val="en-US"/>
        </w:rPr>
      </w:pPr>
      <w:r w:rsidRPr="008C4B18">
        <w:rPr>
          <w:u w:val="single"/>
          <w:lang w:val="en-US"/>
        </w:rPr>
        <w:t>Exemple</w:t>
      </w:r>
      <w:r w:rsidR="006E4E8F" w:rsidRPr="008C4B18">
        <w:rPr>
          <w:u w:val="single"/>
          <w:lang w:val="en-US"/>
        </w:rPr>
        <w:t>s</w:t>
      </w:r>
      <w:r w:rsidRPr="008C4B18">
        <w:rPr>
          <w:lang w:val="en-US"/>
        </w:rPr>
        <w:t> :</w:t>
      </w:r>
    </w:p>
    <w:p w14:paraId="210E41C1" w14:textId="77777777" w:rsidR="006E4E8F" w:rsidRPr="008C4B18" w:rsidRDefault="006E4E8F" w:rsidP="006D5A0E">
      <w:pPr>
        <w:rPr>
          <w:lang w:val="en-US"/>
        </w:rPr>
      </w:pPr>
      <w:r w:rsidRPr="008C4B18">
        <w:rPr>
          <w:szCs w:val="24"/>
          <w:lang w:val="en-US"/>
        </w:rPr>
        <w:t>Statut OK :</w:t>
      </w:r>
      <w:r w:rsidRPr="008C4B18">
        <w:rPr>
          <w:lang w:val="en-US"/>
        </w:rPr>
        <w:t xml:space="preserve"> </w:t>
      </w:r>
    </w:p>
    <w:p w14:paraId="6D04CD5C" w14:textId="257A599F" w:rsidR="006D5A0E" w:rsidRPr="008C4B18" w:rsidRDefault="00384A4B" w:rsidP="006D5A0E">
      <w:pPr>
        <w:rPr>
          <w:b/>
          <w:bCs/>
          <w:lang w:val="en-US"/>
        </w:rPr>
      </w:pPr>
      <w:r w:rsidRPr="008C4B18">
        <w:rPr>
          <w:b/>
          <w:bCs/>
          <w:lang w:val="en-US"/>
        </w:rPr>
        <w:t>refPeriod,202</w:t>
      </w:r>
      <w:r w:rsidR="003431CD">
        <w:rPr>
          <w:b/>
          <w:bCs/>
          <w:lang w:val="en-US"/>
        </w:rPr>
        <w:t>5</w:t>
      </w:r>
      <w:r w:rsidRPr="008C4B18">
        <w:rPr>
          <w:b/>
          <w:bCs/>
          <w:lang w:val="en-US"/>
        </w:rPr>
        <w:t>-12-31</w:t>
      </w:r>
    </w:p>
    <w:p w14:paraId="28B64602" w14:textId="77777777" w:rsidR="006E4E8F" w:rsidRPr="008C4B18" w:rsidRDefault="006E4E8F" w:rsidP="006D5A0E">
      <w:pPr>
        <w:rPr>
          <w:szCs w:val="24"/>
          <w:lang w:val="en-US"/>
        </w:rPr>
      </w:pPr>
    </w:p>
    <w:p w14:paraId="11833342" w14:textId="61CCFFAD" w:rsidR="006E4E8F" w:rsidRPr="008C4B18" w:rsidRDefault="006E4E8F" w:rsidP="006D5A0E">
      <w:pPr>
        <w:rPr>
          <w:szCs w:val="24"/>
          <w:lang w:val="en-US"/>
        </w:rPr>
      </w:pPr>
      <w:r w:rsidRPr="008C4B18">
        <w:rPr>
          <w:szCs w:val="24"/>
          <w:lang w:val="en-US"/>
        </w:rPr>
        <w:t>Statut KO :</w:t>
      </w:r>
    </w:p>
    <w:p w14:paraId="202CBCFA" w14:textId="107984AA" w:rsidR="006E4E8F" w:rsidRDefault="006E4E8F" w:rsidP="006D5A0E">
      <w:pPr>
        <w:rPr>
          <w:b/>
          <w:bCs/>
        </w:rPr>
      </w:pPr>
      <w:r w:rsidRPr="00384A4B">
        <w:rPr>
          <w:b/>
          <w:bCs/>
        </w:rPr>
        <w:t>refPeriod,</w:t>
      </w:r>
      <w:r>
        <w:rPr>
          <w:b/>
          <w:bCs/>
        </w:rPr>
        <w:t>31</w:t>
      </w:r>
      <w:r w:rsidRPr="00384A4B">
        <w:rPr>
          <w:b/>
          <w:bCs/>
        </w:rPr>
        <w:t>-12-</w:t>
      </w:r>
      <w:r>
        <w:rPr>
          <w:b/>
          <w:bCs/>
        </w:rPr>
        <w:t>202</w:t>
      </w:r>
      <w:r w:rsidR="003431CD">
        <w:rPr>
          <w:b/>
          <w:bCs/>
        </w:rPr>
        <w:t>5</w:t>
      </w:r>
    </w:p>
    <w:p w14:paraId="2B595771" w14:textId="77777777" w:rsidR="00384A4B" w:rsidRDefault="00384A4B" w:rsidP="006D5A0E">
      <w:pPr>
        <w:rPr>
          <w:b/>
          <w:bCs/>
          <w:i/>
          <w:iCs/>
        </w:rPr>
      </w:pPr>
    </w:p>
    <w:p w14:paraId="1E87A62A" w14:textId="77777777" w:rsidR="006D5A0E" w:rsidRDefault="006D5A0E" w:rsidP="00384A4B"/>
    <w:p w14:paraId="54FE4C6F" w14:textId="77777777" w:rsidR="006D5A0E" w:rsidRDefault="006D5A0E" w:rsidP="006D5A0E">
      <w:pPr>
        <w:numPr>
          <w:ilvl w:val="0"/>
          <w:numId w:val="6"/>
        </w:numPr>
        <w:rPr>
          <w:u w:val="single"/>
          <w:lang w:val="en-US"/>
        </w:rPr>
      </w:pPr>
      <w:r>
        <w:rPr>
          <w:u w:val="single"/>
          <w:lang w:val="en-US"/>
        </w:rPr>
        <w:t>MREL-TLAC</w:t>
      </w:r>
    </w:p>
    <w:p w14:paraId="3AC71A7D" w14:textId="77777777" w:rsidR="006D5A0E" w:rsidRDefault="006D5A0E" w:rsidP="006D5A0E">
      <w:pPr>
        <w:rPr>
          <w:u w:val="single"/>
          <w:lang w:val="en-US"/>
        </w:rPr>
      </w:pPr>
    </w:p>
    <w:p w14:paraId="7AAEF8A1" w14:textId="20E1AE7E" w:rsidR="00384A4B" w:rsidRDefault="00384A4B" w:rsidP="006D5A0E">
      <w:pPr>
        <w:rPr>
          <w:u w:val="single"/>
        </w:rPr>
      </w:pPr>
      <w:r w:rsidRPr="00384A4B">
        <w:t xml:space="preserve">La période sera valorisée </w:t>
      </w:r>
      <w:r>
        <w:t>à partir de</w:t>
      </w:r>
      <w:r w:rsidRPr="00384A4B">
        <w:t xml:space="preserve"> l</w:t>
      </w:r>
      <w:r>
        <w:t>a période trimestrielle</w:t>
      </w:r>
      <w:r w:rsidRPr="00384A4B">
        <w:t xml:space="preserve"> lié</w:t>
      </w:r>
      <w:r>
        <w:t>e</w:t>
      </w:r>
      <w:r w:rsidRPr="00384A4B">
        <w:t xml:space="preserve"> à la remise</w:t>
      </w:r>
      <w:r w:rsidR="003431CD">
        <w:t>,</w:t>
      </w:r>
      <w:r w:rsidR="003431CD" w:rsidRPr="003431CD">
        <w:t xml:space="preserve"> </w:t>
      </w:r>
      <w:r w:rsidR="003431CD">
        <w:t>dans le fichier « parameters.csv »</w:t>
      </w:r>
      <w:r>
        <w:rPr>
          <w:u w:val="single"/>
        </w:rPr>
        <w:t>.</w:t>
      </w:r>
    </w:p>
    <w:p w14:paraId="2994E810" w14:textId="77777777" w:rsidR="00384A4B" w:rsidRDefault="00384A4B" w:rsidP="006D5A0E">
      <w:pPr>
        <w:rPr>
          <w:u w:val="single"/>
        </w:rPr>
      </w:pPr>
    </w:p>
    <w:p w14:paraId="2CDA5A76" w14:textId="3E254D9B" w:rsidR="006D5A0E" w:rsidRPr="00384A4B" w:rsidRDefault="006D5A0E" w:rsidP="006D5A0E">
      <w:pPr>
        <w:rPr>
          <w:u w:val="single"/>
        </w:rPr>
      </w:pPr>
      <w:r w:rsidRPr="00384A4B">
        <w:rPr>
          <w:u w:val="single"/>
        </w:rPr>
        <w:t>Exemples</w:t>
      </w:r>
      <w:r w:rsidR="00384A4B" w:rsidRPr="00384A4B">
        <w:t xml:space="preserve"> :</w:t>
      </w:r>
      <w:r w:rsidRPr="00384A4B">
        <w:rPr>
          <w:u w:val="single"/>
        </w:rPr>
        <w:t xml:space="preserve"> </w:t>
      </w:r>
    </w:p>
    <w:p w14:paraId="4FCD3AB5" w14:textId="1CCE2344" w:rsidR="006D5A0E" w:rsidRDefault="00384A4B" w:rsidP="006D5A0E">
      <w:pPr>
        <w:rPr>
          <w:b/>
          <w:bCs/>
        </w:rPr>
      </w:pPr>
      <w:r w:rsidRPr="00384A4B">
        <w:t>Pour une remise d</w:t>
      </w:r>
      <w:r w:rsidR="003431CD">
        <w:t>e l’arrêté Mars 2026</w:t>
      </w:r>
      <w:r w:rsidRPr="00384A4B">
        <w:t> :</w:t>
      </w:r>
      <w:r>
        <w:t xml:space="preserve"> </w:t>
      </w:r>
      <w:r w:rsidRPr="00384A4B">
        <w:rPr>
          <w:b/>
          <w:bCs/>
        </w:rPr>
        <w:t>refPeriod,2026-0</w:t>
      </w:r>
      <w:r>
        <w:rPr>
          <w:b/>
          <w:bCs/>
        </w:rPr>
        <w:t>3</w:t>
      </w:r>
      <w:r w:rsidRPr="00384A4B">
        <w:rPr>
          <w:b/>
          <w:bCs/>
        </w:rPr>
        <w:t>-3</w:t>
      </w:r>
      <w:r>
        <w:rPr>
          <w:b/>
          <w:bCs/>
        </w:rPr>
        <w:t>1</w:t>
      </w:r>
    </w:p>
    <w:p w14:paraId="231871BF" w14:textId="4AD6DFC3" w:rsidR="00384A4B" w:rsidRDefault="00384A4B" w:rsidP="00384A4B">
      <w:pPr>
        <w:rPr>
          <w:b/>
          <w:bCs/>
        </w:rPr>
      </w:pPr>
      <w:r w:rsidRPr="00384A4B">
        <w:t>Pour une remise d</w:t>
      </w:r>
      <w:r w:rsidR="003431CD">
        <w:t xml:space="preserve">e l’arrêté Septembre 2026 </w:t>
      </w:r>
      <w:r w:rsidRPr="00384A4B">
        <w:t> :</w:t>
      </w:r>
      <w:r>
        <w:t xml:space="preserve"> </w:t>
      </w:r>
      <w:r w:rsidRPr="00384A4B">
        <w:rPr>
          <w:b/>
          <w:bCs/>
        </w:rPr>
        <w:t>refPeriod,2026-09-30</w:t>
      </w:r>
    </w:p>
    <w:p w14:paraId="7BD0725E" w14:textId="77777777" w:rsidR="00384A4B" w:rsidRPr="00384A4B" w:rsidRDefault="00384A4B" w:rsidP="00384A4B"/>
    <w:p w14:paraId="453C1046" w14:textId="77777777" w:rsidR="006D5A0E" w:rsidRPr="009C35B1" w:rsidRDefault="006D5A0E" w:rsidP="006D5A0E"/>
    <w:p w14:paraId="2C49288B" w14:textId="77777777" w:rsidR="006D5A0E" w:rsidRDefault="006D5A0E" w:rsidP="006D5A0E">
      <w:pPr>
        <w:numPr>
          <w:ilvl w:val="0"/>
          <w:numId w:val="6"/>
        </w:numPr>
        <w:rPr>
          <w:u w:val="single"/>
        </w:rPr>
      </w:pPr>
      <w:r>
        <w:rPr>
          <w:u w:val="single"/>
        </w:rPr>
        <w:t>Notification impraticabilité de l’article 55 BRRD</w:t>
      </w:r>
    </w:p>
    <w:p w14:paraId="0DA5318B" w14:textId="77777777" w:rsidR="006D5A0E" w:rsidRDefault="006D5A0E" w:rsidP="006D5A0E">
      <w:pPr>
        <w:ind w:left="360"/>
      </w:pPr>
    </w:p>
    <w:p w14:paraId="16F8131D" w14:textId="01592485" w:rsidR="003431CD" w:rsidRDefault="00384A4B" w:rsidP="003431CD">
      <w:pPr>
        <w:rPr>
          <w:u w:val="single"/>
        </w:rPr>
      </w:pPr>
      <w:r w:rsidRPr="00384A4B">
        <w:t xml:space="preserve">La période sera valorisée </w:t>
      </w:r>
      <w:r>
        <w:t>à partir de</w:t>
      </w:r>
      <w:r w:rsidRPr="00384A4B">
        <w:t xml:space="preserve"> l</w:t>
      </w:r>
      <w:r>
        <w:t>a période mensuelle</w:t>
      </w:r>
      <w:r w:rsidRPr="00384A4B">
        <w:t xml:space="preserve"> lié</w:t>
      </w:r>
      <w:r>
        <w:t>e</w:t>
      </w:r>
      <w:r w:rsidRPr="00384A4B">
        <w:t xml:space="preserve"> à la remise</w:t>
      </w:r>
      <w:r w:rsidR="003431CD">
        <w:t xml:space="preserve"> dans le fichier « parameters.csv »</w:t>
      </w:r>
      <w:r w:rsidR="003431CD">
        <w:rPr>
          <w:u w:val="single"/>
        </w:rPr>
        <w:t>.</w:t>
      </w:r>
    </w:p>
    <w:p w14:paraId="35CCEF7C" w14:textId="4601F196" w:rsidR="00384A4B" w:rsidRDefault="00384A4B" w:rsidP="00282189">
      <w:pPr>
        <w:rPr>
          <w:u w:val="single"/>
        </w:rPr>
      </w:pPr>
    </w:p>
    <w:p w14:paraId="21C0469C" w14:textId="77777777" w:rsidR="00282189" w:rsidRPr="00282189" w:rsidRDefault="00282189" w:rsidP="00282189">
      <w:pPr>
        <w:rPr>
          <w:u w:val="single"/>
        </w:rPr>
      </w:pPr>
    </w:p>
    <w:p w14:paraId="0C1F3B13" w14:textId="77777777" w:rsidR="00282189" w:rsidRPr="00384A4B" w:rsidRDefault="00282189" w:rsidP="00282189">
      <w:pPr>
        <w:rPr>
          <w:u w:val="single"/>
        </w:rPr>
      </w:pPr>
      <w:r w:rsidRPr="00384A4B">
        <w:rPr>
          <w:u w:val="single"/>
        </w:rPr>
        <w:t>Exemples</w:t>
      </w:r>
      <w:r w:rsidRPr="00384A4B">
        <w:t xml:space="preserve"> :</w:t>
      </w:r>
      <w:r w:rsidRPr="00384A4B">
        <w:rPr>
          <w:u w:val="single"/>
        </w:rPr>
        <w:t xml:space="preserve"> </w:t>
      </w:r>
    </w:p>
    <w:p w14:paraId="2529F8AF" w14:textId="5384752F" w:rsidR="00282189" w:rsidRDefault="00282189" w:rsidP="00282189">
      <w:pPr>
        <w:rPr>
          <w:b/>
          <w:bCs/>
        </w:rPr>
      </w:pPr>
      <w:r w:rsidRPr="00384A4B">
        <w:t>Pour une remise d</w:t>
      </w:r>
      <w:r>
        <w:t>e</w:t>
      </w:r>
      <w:r w:rsidR="003431CD">
        <w:t xml:space="preserve"> l’arrêté</w:t>
      </w:r>
      <w:r>
        <w:t xml:space="preserve"> mars</w:t>
      </w:r>
      <w:r w:rsidRPr="00384A4B">
        <w:t xml:space="preserve"> 2026 :</w:t>
      </w:r>
      <w:r>
        <w:t xml:space="preserve"> </w:t>
      </w:r>
      <w:r w:rsidRPr="00384A4B">
        <w:rPr>
          <w:b/>
          <w:bCs/>
        </w:rPr>
        <w:t>refPeriod,2026-0</w:t>
      </w:r>
      <w:r>
        <w:rPr>
          <w:b/>
          <w:bCs/>
        </w:rPr>
        <w:t>3</w:t>
      </w:r>
      <w:r w:rsidRPr="00384A4B">
        <w:rPr>
          <w:b/>
          <w:bCs/>
        </w:rPr>
        <w:t>-3</w:t>
      </w:r>
      <w:r>
        <w:rPr>
          <w:b/>
          <w:bCs/>
        </w:rPr>
        <w:t>1</w:t>
      </w:r>
    </w:p>
    <w:p w14:paraId="56360E91" w14:textId="53DAC048" w:rsidR="00282189" w:rsidRDefault="00282189" w:rsidP="00282189">
      <w:pPr>
        <w:rPr>
          <w:b/>
          <w:bCs/>
        </w:rPr>
      </w:pPr>
      <w:r w:rsidRPr="00384A4B">
        <w:t>Pour une remise d</w:t>
      </w:r>
      <w:r w:rsidR="003431CD">
        <w:t xml:space="preserve">e l’arrêté </w:t>
      </w:r>
      <w:r>
        <w:t>novembre</w:t>
      </w:r>
      <w:r w:rsidRPr="00384A4B">
        <w:t xml:space="preserve"> 2026 :</w:t>
      </w:r>
      <w:r>
        <w:t xml:space="preserve"> </w:t>
      </w:r>
      <w:r w:rsidRPr="00384A4B">
        <w:rPr>
          <w:b/>
          <w:bCs/>
        </w:rPr>
        <w:t>refPeriod,2026-</w:t>
      </w:r>
      <w:r>
        <w:rPr>
          <w:b/>
          <w:bCs/>
        </w:rPr>
        <w:t>11</w:t>
      </w:r>
      <w:r w:rsidRPr="00384A4B">
        <w:rPr>
          <w:b/>
          <w:bCs/>
        </w:rPr>
        <w:t>-30</w:t>
      </w:r>
    </w:p>
    <w:p w14:paraId="2C393B65" w14:textId="77777777" w:rsidR="006D5A0E" w:rsidRDefault="006D5A0E" w:rsidP="006D5A0E">
      <w:pPr>
        <w:spacing w:after="240"/>
      </w:pPr>
    </w:p>
    <w:p w14:paraId="2AA86E4E" w14:textId="77777777" w:rsidR="006D5A0E" w:rsidRDefault="006D5A0E" w:rsidP="006D5A0E">
      <w:pPr>
        <w:numPr>
          <w:ilvl w:val="2"/>
          <w:numId w:val="14"/>
        </w:numPr>
        <w:outlineLvl w:val="1"/>
        <w:rPr>
          <w:b/>
          <w:u w:val="single"/>
        </w:rPr>
      </w:pPr>
      <w:bookmarkStart w:id="49" w:name="_Toc216046973"/>
      <w:r>
        <w:rPr>
          <w:b/>
          <w:u w:val="single"/>
        </w:rPr>
        <w:t>Identification des entités et niveau de consolidation</w:t>
      </w:r>
      <w:bookmarkEnd w:id="49"/>
    </w:p>
    <w:p w14:paraId="3A992CC2" w14:textId="77777777" w:rsidR="006D5A0E" w:rsidRDefault="006D5A0E" w:rsidP="006D5A0E">
      <w:pPr>
        <w:ind w:left="1066"/>
      </w:pPr>
    </w:p>
    <w:p w14:paraId="01B14B65" w14:textId="77777777" w:rsidR="003A5E1C" w:rsidRDefault="003A5E1C" w:rsidP="006D5A0E"/>
    <w:p w14:paraId="14661376" w14:textId="0A0F6C51" w:rsidR="003A5E1C" w:rsidRDefault="006D5A0E" w:rsidP="006D5A0E">
      <w:r>
        <w:t>Le choix taxonomique d</w:t>
      </w:r>
      <w:r w:rsidR="00D30E85">
        <w:t>e l’EBA</w:t>
      </w:r>
      <w:r>
        <w:t xml:space="preserve"> est d’utiliser le code LEI comme référence pour </w:t>
      </w:r>
      <w:r w:rsidR="003A5E1C">
        <w:t>identifie</w:t>
      </w:r>
      <w:r>
        <w:t xml:space="preserve">r </w:t>
      </w:r>
      <w:r w:rsidR="003A5E1C">
        <w:t>l’entité et non le CIB ou le code RIAD</w:t>
      </w:r>
      <w:r>
        <w:t>.</w:t>
      </w:r>
    </w:p>
    <w:p w14:paraId="48401642" w14:textId="77777777" w:rsidR="00D30E85" w:rsidRDefault="00D30E85" w:rsidP="006D5A0E"/>
    <w:p w14:paraId="75520E17" w14:textId="5923AA10" w:rsidR="003A5E1C" w:rsidRDefault="003A5E1C" w:rsidP="006D5A0E">
      <w:r>
        <w:t>Le LEI et le niveau de consolidation associés à la remise sont à reporter au niveau</w:t>
      </w:r>
      <w:r w:rsidR="006D5A0E">
        <w:t xml:space="preserve"> </w:t>
      </w:r>
      <w:r>
        <w:t xml:space="preserve">du paramètre : </w:t>
      </w:r>
      <w:r w:rsidRPr="003A5E1C">
        <w:t> « entityID,rs » du fichier « parameters</w:t>
      </w:r>
      <w:r>
        <w:t>.csv</w:t>
      </w:r>
      <w:r w:rsidRPr="003A5E1C">
        <w:t> »</w:t>
      </w:r>
      <w:r>
        <w:t>.</w:t>
      </w:r>
    </w:p>
    <w:p w14:paraId="430732D8" w14:textId="77777777" w:rsidR="006D5A0E" w:rsidRDefault="006D5A0E" w:rsidP="006D5A0E">
      <w:pPr>
        <w:pStyle w:val="CorpsTexte"/>
        <w:spacing w:before="0"/>
        <w:ind w:left="0"/>
      </w:pPr>
    </w:p>
    <w:p w14:paraId="69EAB596" w14:textId="77777777" w:rsidR="006D5A0E" w:rsidRDefault="006D5A0E" w:rsidP="006D5A0E">
      <w:pPr>
        <w:pStyle w:val="CorpsTexte"/>
        <w:spacing w:before="0"/>
        <w:ind w:left="0"/>
      </w:pPr>
    </w:p>
    <w:p w14:paraId="36FBCE3E" w14:textId="6092A86B" w:rsidR="006D5A0E" w:rsidRDefault="006E4E8F" w:rsidP="006D5A0E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384A4B">
        <w:rPr>
          <w:u w:val="single"/>
        </w:rPr>
        <w:t>Exemple</w:t>
      </w:r>
      <w:r>
        <w:rPr>
          <w:u w:val="single"/>
        </w:rPr>
        <w:t>s</w:t>
      </w:r>
      <w:r>
        <w:t> :</w:t>
      </w:r>
    </w:p>
    <w:p w14:paraId="7523F078" w14:textId="77777777" w:rsidR="006D5A0E" w:rsidRDefault="006D5A0E" w:rsidP="006D5A0E">
      <w:pPr>
        <w:pStyle w:val="CorpsTexte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OK : </w:t>
      </w:r>
    </w:p>
    <w:p w14:paraId="27126471" w14:textId="0CBB1C6C" w:rsidR="006D5A0E" w:rsidRPr="004E7888" w:rsidRDefault="004E7888" w:rsidP="006D5A0E">
      <w:pPr>
        <w:pStyle w:val="CorpsTexte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E7888">
        <w:rPr>
          <w:rFonts w:ascii="Times New Roman" w:hAnsi="Times New Roman" w:cs="Times New Roman"/>
          <w:b/>
          <w:bCs/>
          <w:sz w:val="24"/>
          <w:szCs w:val="24"/>
        </w:rPr>
        <w:t>entityID,rs:</w:t>
      </w:r>
      <w:r w:rsidR="00D30E85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4E7888">
        <w:rPr>
          <w:rFonts w:ascii="Times New Roman" w:hAnsi="Times New Roman" w:cs="Times New Roman"/>
          <w:b/>
          <w:bCs/>
          <w:sz w:val="24"/>
          <w:szCs w:val="24"/>
        </w:rPr>
        <w:t>UMMYLEI123456789012.CON</w:t>
      </w:r>
    </w:p>
    <w:p w14:paraId="1348C815" w14:textId="77777777" w:rsidR="004E7888" w:rsidRDefault="004E7888" w:rsidP="006D5A0E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7A3FF39" w14:textId="58D76220" w:rsidR="006D5A0E" w:rsidRDefault="006D5A0E" w:rsidP="006D5A0E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  <w:r w:rsidR="004E78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KO</w:t>
      </w:r>
      <w:r w:rsidR="004E7888">
        <w:rPr>
          <w:rFonts w:ascii="Times New Roman" w:hAnsi="Times New Roman" w:cs="Times New Roman"/>
          <w:sz w:val="24"/>
          <w:szCs w:val="24"/>
        </w:rPr>
        <w:t> :</w:t>
      </w:r>
    </w:p>
    <w:p w14:paraId="18E43524" w14:textId="4275AB43" w:rsidR="004E7888" w:rsidRPr="004E7888" w:rsidRDefault="004E7888" w:rsidP="004E7888">
      <w:pPr>
        <w:pStyle w:val="CorpsTexte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E7888">
        <w:rPr>
          <w:rFonts w:ascii="Times New Roman" w:hAnsi="Times New Roman" w:cs="Times New Roman"/>
          <w:b/>
          <w:bCs/>
          <w:sz w:val="24"/>
          <w:szCs w:val="24"/>
        </w:rPr>
        <w:t>entityID,rs:</w:t>
      </w:r>
      <w:r>
        <w:rPr>
          <w:rFonts w:ascii="Times New Roman" w:hAnsi="Times New Roman" w:cs="Times New Roman"/>
          <w:b/>
          <w:bCs/>
          <w:sz w:val="24"/>
          <w:szCs w:val="24"/>
        </w:rPr>
        <w:t>30001</w:t>
      </w:r>
    </w:p>
    <w:p w14:paraId="0FBE721B" w14:textId="2EB42816" w:rsidR="004E7888" w:rsidRDefault="004E7888" w:rsidP="004E7888">
      <w:pPr>
        <w:pStyle w:val="CorpsTexte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E7888">
        <w:rPr>
          <w:rFonts w:ascii="Times New Roman" w:hAnsi="Times New Roman" w:cs="Times New Roman"/>
          <w:b/>
          <w:bCs/>
          <w:sz w:val="24"/>
          <w:szCs w:val="24"/>
        </w:rPr>
        <w:t>entityID,rs:</w:t>
      </w:r>
      <w:r>
        <w:rPr>
          <w:rFonts w:ascii="Times New Roman" w:hAnsi="Times New Roman" w:cs="Times New Roman"/>
          <w:b/>
          <w:bCs/>
          <w:sz w:val="24"/>
          <w:szCs w:val="24"/>
        </w:rPr>
        <w:t>30001</w:t>
      </w:r>
      <w:r w:rsidRPr="004E7888">
        <w:rPr>
          <w:rFonts w:ascii="Times New Roman" w:hAnsi="Times New Roman" w:cs="Times New Roman"/>
          <w:b/>
          <w:bCs/>
          <w:sz w:val="24"/>
          <w:szCs w:val="24"/>
        </w:rPr>
        <w:t>.CON</w:t>
      </w:r>
    </w:p>
    <w:p w14:paraId="4F38909B" w14:textId="36EA8278" w:rsidR="004E7888" w:rsidRDefault="004E7888" w:rsidP="004E7888">
      <w:pPr>
        <w:pStyle w:val="CorpsTexte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E7888">
        <w:rPr>
          <w:rFonts w:ascii="Times New Roman" w:hAnsi="Times New Roman" w:cs="Times New Roman"/>
          <w:b/>
          <w:bCs/>
          <w:sz w:val="24"/>
          <w:szCs w:val="24"/>
        </w:rPr>
        <w:t>entityID,rs:</w:t>
      </w:r>
      <w:r>
        <w:rPr>
          <w:rFonts w:ascii="Times New Roman" w:hAnsi="Times New Roman" w:cs="Times New Roman"/>
          <w:b/>
          <w:bCs/>
          <w:sz w:val="24"/>
          <w:szCs w:val="24"/>
        </w:rPr>
        <w:t>FR30001</w:t>
      </w:r>
      <w:r w:rsidRPr="004E7888">
        <w:rPr>
          <w:rFonts w:ascii="Times New Roman" w:hAnsi="Times New Roman" w:cs="Times New Roman"/>
          <w:b/>
          <w:bCs/>
          <w:sz w:val="24"/>
          <w:szCs w:val="24"/>
        </w:rPr>
        <w:t>.CON</w:t>
      </w:r>
    </w:p>
    <w:p w14:paraId="10ADDD59" w14:textId="5D9C1400" w:rsidR="006D5A0E" w:rsidRDefault="006D5A0E" w:rsidP="006D5A0E">
      <w:pPr>
        <w:pStyle w:val="CorpsTexte"/>
        <w:keepNext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116AA2" w14:textId="77777777" w:rsidR="006D5A0E" w:rsidRDefault="006D5A0E" w:rsidP="006D5A0E">
      <w:pPr>
        <w:pStyle w:val="CorpsTexte"/>
        <w:spacing w:before="0"/>
        <w:ind w:left="0"/>
      </w:pPr>
    </w:p>
    <w:p w14:paraId="2C34B7BF" w14:textId="4B4A7D33" w:rsidR="006D5A0E" w:rsidRDefault="00E9189A" w:rsidP="006D5A0E">
      <w:pPr>
        <w:numPr>
          <w:ilvl w:val="2"/>
          <w:numId w:val="14"/>
        </w:numPr>
        <w:spacing w:before="240" w:after="60"/>
        <w:outlineLvl w:val="1"/>
        <w:rPr>
          <w:b/>
          <w:u w:val="single"/>
        </w:rPr>
      </w:pPr>
      <w:bookmarkStart w:id="50" w:name="_Toc216046974"/>
      <w:r>
        <w:rPr>
          <w:b/>
          <w:u w:val="single"/>
        </w:rPr>
        <w:t>Paramètre « Extends » (ex-</w:t>
      </w:r>
      <w:r w:rsidR="006D5A0E">
        <w:rPr>
          <w:b/>
          <w:u w:val="single"/>
        </w:rPr>
        <w:t>Schéma ref</w:t>
      </w:r>
      <w:r>
        <w:rPr>
          <w:b/>
          <w:u w:val="single"/>
        </w:rPr>
        <w:t>)</w:t>
      </w:r>
      <w:bookmarkEnd w:id="50"/>
    </w:p>
    <w:p w14:paraId="7D79EDA1" w14:textId="77777777" w:rsidR="006D5A0E" w:rsidRDefault="006D5A0E" w:rsidP="006D5A0E">
      <w:pPr>
        <w:ind w:left="709"/>
      </w:pPr>
    </w:p>
    <w:p w14:paraId="5B6F82ED" w14:textId="77777777" w:rsidR="006D5A0E" w:rsidRDefault="006D5A0E" w:rsidP="00E9189A"/>
    <w:p w14:paraId="4EBD17C3" w14:textId="43F2775C" w:rsidR="00E9189A" w:rsidRDefault="00950F90" w:rsidP="006D5A0E">
      <w:r>
        <w:t>À</w:t>
      </w:r>
      <w:r w:rsidR="00D30E85">
        <w:t xml:space="preserve"> compter de la </w:t>
      </w:r>
      <w:r w:rsidR="00E9189A">
        <w:t>campagne 2026</w:t>
      </w:r>
      <w:r w:rsidR="006D5A0E">
        <w:t>, l</w:t>
      </w:r>
      <w:r w:rsidR="00E9189A">
        <w:t>e paramètre « extends » présent dans le fichier « report.json » devra faire référence à la version de la taxonomie 4.2 de l’EBA.</w:t>
      </w:r>
    </w:p>
    <w:p w14:paraId="38DCEC60" w14:textId="07DF154D" w:rsidR="006D5A0E" w:rsidRDefault="00E9189A" w:rsidP="00E9189A">
      <w:r>
        <w:t>Valeur attendue quelle que soit la collecte liée aux plans de résolution :</w:t>
      </w:r>
    </w:p>
    <w:p w14:paraId="63920BA1" w14:textId="77777777" w:rsidR="00BF0811" w:rsidRDefault="00BF0811" w:rsidP="00E9189A"/>
    <w:p w14:paraId="0971AD9D" w14:textId="42B50053" w:rsidR="00D30E85" w:rsidRDefault="00D30E85" w:rsidP="00E9189A">
      <w:r>
        <w:t>Exemple de structure du fichier report.json (pour RESOL 2)</w:t>
      </w:r>
      <w:r w:rsidR="00BF0811">
        <w:t xml:space="preserve"> /</w:t>
      </w:r>
    </w:p>
    <w:p w14:paraId="5C9D79A6" w14:textId="77777777" w:rsidR="00BF0811" w:rsidRDefault="00BF0811" w:rsidP="00E9189A"/>
    <w:p w14:paraId="60B834F9" w14:textId="77777777" w:rsidR="00D30E85" w:rsidRDefault="00D30E85" w:rsidP="00D30E85">
      <w:r>
        <w:t>"documentInfo": {</w:t>
      </w:r>
    </w:p>
    <w:p w14:paraId="15D51D0F" w14:textId="77777777" w:rsidR="00D30E85" w:rsidRDefault="00D30E85" w:rsidP="00D30E85">
      <w:r>
        <w:t xml:space="preserve">        "documentType": "https://xbrl.org/2021/xbrl-csv",</w:t>
      </w:r>
    </w:p>
    <w:p w14:paraId="2BC891CE" w14:textId="77777777" w:rsidR="00D30E85" w:rsidRDefault="00D30E85" w:rsidP="00D30E85">
      <w:r>
        <w:t xml:space="preserve">        "extends": [</w:t>
      </w:r>
    </w:p>
    <w:p w14:paraId="488E5F02" w14:textId="77777777" w:rsidR="00D30E85" w:rsidRDefault="00D30E85" w:rsidP="00D30E85">
      <w:r>
        <w:t xml:space="preserve">            "http://www.eba.europa.eu/eu/fr/xbrl/crr/fws/res/4.2/mod/resol2.json"</w:t>
      </w:r>
    </w:p>
    <w:p w14:paraId="18DF9B08" w14:textId="77777777" w:rsidR="00D30E85" w:rsidRDefault="00D30E85" w:rsidP="00D30E85">
      <w:r>
        <w:t xml:space="preserve">        ]</w:t>
      </w:r>
    </w:p>
    <w:p w14:paraId="76F70085" w14:textId="554B4A70" w:rsidR="00D30E85" w:rsidRDefault="00D30E85" w:rsidP="00D30E85">
      <w:r>
        <w:t xml:space="preserve">    }</w:t>
      </w:r>
    </w:p>
    <w:p w14:paraId="35C948C2" w14:textId="77777777" w:rsidR="006D5A0E" w:rsidRDefault="006D5A0E" w:rsidP="006D5A0E">
      <w:pPr>
        <w:ind w:left="1789"/>
        <w:rPr>
          <w:lang w:val="en-US"/>
        </w:rPr>
      </w:pPr>
    </w:p>
    <w:p w14:paraId="05F91A63" w14:textId="4800BBB0" w:rsidR="006D5A0E" w:rsidRDefault="006D5A0E" w:rsidP="006D5A0E">
      <w:pPr>
        <w:numPr>
          <w:ilvl w:val="2"/>
          <w:numId w:val="14"/>
        </w:numPr>
        <w:spacing w:before="240" w:after="60"/>
        <w:outlineLvl w:val="1"/>
        <w:rPr>
          <w:b/>
          <w:u w:val="single"/>
        </w:rPr>
      </w:pPr>
      <w:r w:rsidRPr="000D20F1">
        <w:rPr>
          <w:b/>
          <w:u w:val="single"/>
        </w:rPr>
        <w:t> </w:t>
      </w:r>
      <w:bookmarkStart w:id="51" w:name="_Toc216046975"/>
      <w:r w:rsidR="006B4596">
        <w:rPr>
          <w:b/>
          <w:u w:val="single"/>
        </w:rPr>
        <w:t>Obligations déclaratives</w:t>
      </w:r>
      <w:bookmarkEnd w:id="51"/>
      <w:r w:rsidR="006B4596">
        <w:rPr>
          <w:b/>
          <w:u w:val="single"/>
        </w:rPr>
        <w:t xml:space="preserve"> </w:t>
      </w:r>
    </w:p>
    <w:p w14:paraId="70C5CD56" w14:textId="77777777" w:rsidR="00841C8B" w:rsidRPr="006B4596" w:rsidRDefault="00841C8B" w:rsidP="00D86A58">
      <w:pPr>
        <w:spacing w:before="240" w:after="60"/>
        <w:outlineLvl w:val="1"/>
        <w:rPr>
          <w:b/>
          <w:u w:val="single"/>
        </w:rPr>
      </w:pPr>
    </w:p>
    <w:p w14:paraId="08EC5339" w14:textId="735DF327" w:rsidR="00D30E85" w:rsidRDefault="00D30E85" w:rsidP="006D5A0E">
      <w:pPr>
        <w:ind w:firstLine="142"/>
        <w:jc w:val="both"/>
      </w:pPr>
      <w:r>
        <w:t>Tableau de correspondance entre le reporting RESREP et RESOL</w:t>
      </w:r>
    </w:p>
    <w:p w14:paraId="6E5D299D" w14:textId="77777777" w:rsidR="00D30E85" w:rsidRPr="00E73A2C" w:rsidRDefault="00D30E85" w:rsidP="006D5A0E">
      <w:pPr>
        <w:ind w:firstLine="142"/>
        <w:jc w:val="both"/>
      </w:pPr>
    </w:p>
    <w:p w14:paraId="3B001979" w14:textId="6106C108" w:rsidR="00D30E85" w:rsidRDefault="00D30E85" w:rsidP="006D5A0E">
      <w:pPr>
        <w:ind w:firstLine="142"/>
        <w:jc w:val="both"/>
      </w:pPr>
      <w:r w:rsidRPr="00D30E85">
        <w:rPr>
          <w:noProof/>
        </w:rPr>
        <w:lastRenderedPageBreak/>
        <w:drawing>
          <wp:inline distT="0" distB="0" distL="0" distR="0" wp14:anchorId="5B2831B0" wp14:editId="72E369BE">
            <wp:extent cx="5760720" cy="4010660"/>
            <wp:effectExtent l="0" t="0" r="0" b="8890"/>
            <wp:docPr id="22525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560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793CD" w14:textId="77777777" w:rsidR="00D30E85" w:rsidRDefault="00D30E85" w:rsidP="006D5A0E">
      <w:pPr>
        <w:ind w:firstLine="142"/>
        <w:jc w:val="both"/>
      </w:pPr>
    </w:p>
    <w:p w14:paraId="4533CF37" w14:textId="02DE2EB6" w:rsidR="00D30E85" w:rsidRDefault="006B4596" w:rsidP="006D5A0E">
      <w:pPr>
        <w:ind w:firstLine="142"/>
        <w:jc w:val="both"/>
      </w:pPr>
      <w:r>
        <w:t>Tableau des obligation</w:t>
      </w:r>
      <w:r w:rsidR="0039530B">
        <w:t>s</w:t>
      </w:r>
      <w:r>
        <w:t xml:space="preserve"> déclaratives selon </w:t>
      </w:r>
      <w:r w:rsidR="0039530B" w:rsidRPr="00DE2977">
        <w:t>l’appartenance à un groupe</w:t>
      </w:r>
      <w:r w:rsidR="0039530B" w:rsidRPr="00A5324F">
        <w:t>,</w:t>
      </w:r>
      <w:r w:rsidR="0039530B">
        <w:t xml:space="preserve"> le </w:t>
      </w:r>
      <w:r>
        <w:t>type de résolution et point d’entrée</w:t>
      </w:r>
      <w:r w:rsidR="00D93FB4">
        <w:t xml:space="preserve"> (le niveau de consolidation)</w:t>
      </w:r>
    </w:p>
    <w:p w14:paraId="4A8AADDD" w14:textId="77777777" w:rsidR="006B4596" w:rsidRDefault="006B4596" w:rsidP="006D5A0E">
      <w:pPr>
        <w:ind w:firstLine="142"/>
        <w:jc w:val="both"/>
      </w:pPr>
    </w:p>
    <w:p w14:paraId="1444883D" w14:textId="7C925612" w:rsidR="006B4596" w:rsidRDefault="006B4596" w:rsidP="006D5A0E">
      <w:pPr>
        <w:ind w:firstLine="142"/>
        <w:jc w:val="both"/>
      </w:pPr>
      <w:r w:rsidRPr="006B4596">
        <w:rPr>
          <w:noProof/>
        </w:rPr>
        <w:drawing>
          <wp:inline distT="0" distB="0" distL="0" distR="0" wp14:anchorId="14FCF637" wp14:editId="324EB5C1">
            <wp:extent cx="5760720" cy="3033395"/>
            <wp:effectExtent l="0" t="0" r="0" b="0"/>
            <wp:docPr id="16928857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85712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8D3D" w14:textId="77777777" w:rsidR="006B4596" w:rsidRPr="00D86A58" w:rsidRDefault="006B4596" w:rsidP="006B4596">
      <w:pPr>
        <w:ind w:firstLine="142"/>
        <w:jc w:val="both"/>
        <w:rPr>
          <w:i/>
          <w:iCs/>
          <w:lang w:val="en-US"/>
        </w:rPr>
      </w:pPr>
      <w:r w:rsidRPr="00D86A58">
        <w:rPr>
          <w:i/>
          <w:iCs/>
          <w:lang w:val="en-US"/>
        </w:rPr>
        <w:t>Extrait du document Final Report ITS on reporting for resolution planning</w:t>
      </w:r>
    </w:p>
    <w:p w14:paraId="27585CF3" w14:textId="77777777" w:rsidR="00D30E85" w:rsidRPr="00D86A58" w:rsidRDefault="00D30E85" w:rsidP="006D5A0E">
      <w:pPr>
        <w:ind w:firstLine="142"/>
        <w:jc w:val="both"/>
        <w:rPr>
          <w:lang w:val="en-US"/>
        </w:rPr>
      </w:pPr>
    </w:p>
    <w:p w14:paraId="2BF5F8B0" w14:textId="77777777" w:rsidR="006B4596" w:rsidRPr="00D86A58" w:rsidRDefault="006B4596" w:rsidP="006D5A0E">
      <w:pPr>
        <w:ind w:firstLine="142"/>
        <w:jc w:val="both"/>
        <w:rPr>
          <w:lang w:val="en-US"/>
        </w:rPr>
      </w:pPr>
    </w:p>
    <w:p w14:paraId="4FA725C3" w14:textId="4897574F" w:rsidR="006B4596" w:rsidRDefault="006D5A0E" w:rsidP="006D5A0E">
      <w:pPr>
        <w:ind w:firstLine="142"/>
        <w:jc w:val="both"/>
      </w:pPr>
      <w:r>
        <w:t xml:space="preserve">Le périmètre des établissements attendus </w:t>
      </w:r>
      <w:r w:rsidR="007C3A16" w:rsidRPr="00DE2977">
        <w:t>ainsi que les obligations déclaratives</w:t>
      </w:r>
      <w:r w:rsidR="007C3A16">
        <w:t xml:space="preserve"> </w:t>
      </w:r>
      <w:r>
        <w:t>pour remettre ces collectes est défini directement par l’IRT (</w:t>
      </w:r>
      <w:r w:rsidRPr="00D86A58">
        <w:rPr>
          <w:b/>
          <w:bCs/>
        </w:rPr>
        <w:t>I</w:t>
      </w:r>
      <w:r>
        <w:t xml:space="preserve">nternal </w:t>
      </w:r>
      <w:r w:rsidR="007C3A16" w:rsidRPr="00D86A58">
        <w:rPr>
          <w:b/>
          <w:bCs/>
        </w:rPr>
        <w:t>R</w:t>
      </w:r>
      <w:r>
        <w:t xml:space="preserve">esolution </w:t>
      </w:r>
      <w:r w:rsidR="007C3A16" w:rsidRPr="00D86A58">
        <w:rPr>
          <w:b/>
          <w:bCs/>
        </w:rPr>
        <w:t>T</w:t>
      </w:r>
      <w:r w:rsidR="007C3A16">
        <w:t>e</w:t>
      </w:r>
      <w:r>
        <w:t xml:space="preserve">am). </w:t>
      </w:r>
    </w:p>
    <w:p w14:paraId="56CD7657" w14:textId="77777777" w:rsidR="006B4596" w:rsidRDefault="006B4596" w:rsidP="006D5A0E">
      <w:pPr>
        <w:ind w:firstLine="142"/>
        <w:jc w:val="both"/>
      </w:pPr>
    </w:p>
    <w:p w14:paraId="65A088DD" w14:textId="70FD4099" w:rsidR="006B4596" w:rsidRDefault="006D5A0E" w:rsidP="006D5A0E">
      <w:pPr>
        <w:ind w:firstLine="142"/>
        <w:jc w:val="both"/>
      </w:pPr>
      <w:r>
        <w:lastRenderedPageBreak/>
        <w:t>Veuillez-vous rapprocher de votre coordinateur à l’ACPR pour toute question sur la liste des établissements et le type de déclaration attendu.</w:t>
      </w:r>
    </w:p>
    <w:p w14:paraId="5F1ACE73" w14:textId="77777777" w:rsidR="006B4596" w:rsidRDefault="006B4596" w:rsidP="006B4596">
      <w:pPr>
        <w:ind w:firstLine="142"/>
        <w:jc w:val="both"/>
        <w:rPr>
          <w:b/>
          <w:highlight w:val="red"/>
          <w:u w:val="single"/>
        </w:rPr>
      </w:pPr>
    </w:p>
    <w:p w14:paraId="28DB91C9" w14:textId="01EE5780" w:rsidR="00BE3320" w:rsidRDefault="006B4596" w:rsidP="00BE3320">
      <w:pPr>
        <w:pStyle w:val="Paragraphedeliste"/>
        <w:numPr>
          <w:ilvl w:val="2"/>
          <w:numId w:val="14"/>
        </w:numPr>
        <w:spacing w:before="240" w:after="60"/>
        <w:outlineLvl w:val="1"/>
        <w:rPr>
          <w:b/>
          <w:u w:val="single"/>
        </w:rPr>
      </w:pPr>
      <w:bookmarkStart w:id="52" w:name="_Toc216046976"/>
      <w:r>
        <w:rPr>
          <w:b/>
          <w:u w:val="single"/>
        </w:rPr>
        <w:t>Filing rules</w:t>
      </w:r>
      <w:bookmarkEnd w:id="52"/>
      <w:r w:rsidRPr="00D86A58">
        <w:rPr>
          <w:b/>
          <w:u w:val="single"/>
        </w:rPr>
        <w:t xml:space="preserve"> </w:t>
      </w:r>
    </w:p>
    <w:p w14:paraId="6EDF85D0" w14:textId="77777777" w:rsidR="00D86A58" w:rsidRDefault="00D86A58" w:rsidP="00D86A58">
      <w:pPr>
        <w:pStyle w:val="Paragraphedeliste"/>
        <w:spacing w:before="240" w:after="60"/>
        <w:ind w:left="2138"/>
        <w:outlineLvl w:val="1"/>
        <w:rPr>
          <w:b/>
          <w:u w:val="single"/>
        </w:rPr>
      </w:pPr>
    </w:p>
    <w:p w14:paraId="25B10341" w14:textId="77777777" w:rsidR="00D86A58" w:rsidRDefault="00D86A58" w:rsidP="00D86A58">
      <w:pPr>
        <w:ind w:firstLine="142"/>
        <w:jc w:val="both"/>
        <w:rPr>
          <w:bCs/>
        </w:rPr>
      </w:pPr>
      <w:r w:rsidRPr="00D86A58">
        <w:rPr>
          <w:bCs/>
        </w:rPr>
        <w:t>Les fil</w:t>
      </w:r>
      <w:r w:rsidRPr="006B4596">
        <w:rPr>
          <w:bCs/>
        </w:rPr>
        <w:t>ing rules applicables so</w:t>
      </w:r>
      <w:r w:rsidRPr="00D86A58">
        <w:rPr>
          <w:bCs/>
        </w:rPr>
        <w:t xml:space="preserve">nt </w:t>
      </w:r>
      <w:r>
        <w:rPr>
          <w:bCs/>
        </w:rPr>
        <w:t>celles relatives à la taxonomie 4.2 en vigueur pour les collectes passant au format XBRL-CSV</w:t>
      </w:r>
    </w:p>
    <w:p w14:paraId="12D6A012" w14:textId="77777777" w:rsidR="00D86A58" w:rsidRDefault="00D86A58" w:rsidP="00D86A58">
      <w:pPr>
        <w:ind w:firstLine="142"/>
        <w:jc w:val="both"/>
        <w:rPr>
          <w:bCs/>
        </w:rPr>
      </w:pPr>
    </w:p>
    <w:p w14:paraId="4EC782A4" w14:textId="77777777" w:rsidR="00D86A58" w:rsidRPr="00E21E6B" w:rsidRDefault="00D86A58" w:rsidP="00D86A58">
      <w:pPr>
        <w:ind w:firstLine="142"/>
        <w:jc w:val="both"/>
        <w:rPr>
          <w:lang w:val="en-US"/>
        </w:rPr>
      </w:pPr>
      <w:hyperlink r:id="rId31" w:history="1">
        <w:r w:rsidRPr="00E21E6B">
          <w:rPr>
            <w:color w:val="0000FF"/>
            <w:u w:val="single"/>
            <w:lang w:val="en-US"/>
          </w:rPr>
          <w:t>Reporting framework 4.2 | European Banking Authority</w:t>
        </w:r>
      </w:hyperlink>
    </w:p>
    <w:p w14:paraId="0D5909F7" w14:textId="77777777" w:rsidR="00D86A58" w:rsidRDefault="00D86A58" w:rsidP="000D6FFF">
      <w:pPr>
        <w:pStyle w:val="Paragraphedeliste"/>
        <w:spacing w:before="240" w:after="60"/>
        <w:ind w:left="2138"/>
        <w:outlineLvl w:val="1"/>
        <w:rPr>
          <w:b/>
          <w:u w:val="single"/>
        </w:rPr>
      </w:pPr>
    </w:p>
    <w:p w14:paraId="11A154A7" w14:textId="23B3AE7F" w:rsidR="00D86A58" w:rsidRPr="000D6FFF" w:rsidRDefault="00D86A58" w:rsidP="00D86A58">
      <w:pPr>
        <w:pStyle w:val="Paragraphedeliste"/>
        <w:numPr>
          <w:ilvl w:val="2"/>
          <w:numId w:val="14"/>
        </w:numPr>
        <w:spacing w:before="240" w:after="60"/>
        <w:outlineLvl w:val="1"/>
        <w:rPr>
          <w:b/>
          <w:u w:val="single"/>
        </w:rPr>
      </w:pPr>
      <w:bookmarkStart w:id="53" w:name="_Toc216046977"/>
      <w:r w:rsidRPr="00D86A58">
        <w:rPr>
          <w:b/>
          <w:u w:val="single"/>
        </w:rPr>
        <w:t>Structure des remises</w:t>
      </w:r>
      <w:bookmarkEnd w:id="53"/>
    </w:p>
    <w:p w14:paraId="6F36EDA1" w14:textId="77777777" w:rsidR="00F5299B" w:rsidRPr="00D86A58" w:rsidRDefault="00F5299B" w:rsidP="006D5A0E">
      <w:pPr>
        <w:keepNext/>
        <w:spacing w:before="240" w:after="60"/>
        <w:rPr>
          <w:i/>
          <w:iCs/>
        </w:rPr>
      </w:pPr>
      <w:r>
        <w:t xml:space="preserve">Des exemples de remises sont disponibles sur le site de l’EBA (rubrique </w:t>
      </w:r>
      <w:r w:rsidRPr="00D86A58">
        <w:rPr>
          <w:i/>
          <w:iCs/>
        </w:rPr>
        <w:t>Sample files taxonomy).</w:t>
      </w:r>
    </w:p>
    <w:p w14:paraId="6761518A" w14:textId="3269508B" w:rsidR="00F5299B" w:rsidRDefault="00F5299B" w:rsidP="006D5A0E">
      <w:pPr>
        <w:keepNext/>
        <w:spacing w:before="240" w:after="60"/>
      </w:pPr>
      <w:r>
        <w:t>La structure des remises collectées par l’ACPR devra respecter ce format.</w:t>
      </w:r>
    </w:p>
    <w:p w14:paraId="234DBB50" w14:textId="37C5A5C5" w:rsidR="006D5A0E" w:rsidRDefault="00F5299B" w:rsidP="006D5A0E">
      <w:pPr>
        <w:keepNext/>
        <w:spacing w:before="240" w:after="60"/>
      </w:pPr>
      <w:r>
        <w:t>Concernant les reporting</w:t>
      </w:r>
      <w:r w:rsidR="00840629">
        <w:t>s</w:t>
      </w:r>
      <w:r>
        <w:t xml:space="preserve"> RESOL (RESOL1 et RESOL2), maintien du dépôt via une remise bureautique au travers des rapports ONEGATE RESOL1 et RESOL</w:t>
      </w:r>
      <w:r w:rsidR="00840629">
        <w:t>2</w:t>
      </w:r>
      <w:r>
        <w:t xml:space="preserve"> du domaine DDR (période 12-2025 sous ONEGATE)</w:t>
      </w:r>
      <w:r w:rsidR="00840629">
        <w:t>.</w:t>
      </w:r>
    </w:p>
    <w:p w14:paraId="4215EBD7" w14:textId="432E230B" w:rsidR="006D5A0E" w:rsidRDefault="006D5A0E" w:rsidP="006D5A0E">
      <w:pPr>
        <w:keepNext/>
        <w:spacing w:before="240" w:after="60"/>
        <w:rPr>
          <w:color w:val="1F497D"/>
        </w:rPr>
      </w:pPr>
    </w:p>
    <w:p w14:paraId="67C54E07" w14:textId="77777777" w:rsidR="006D5A0E" w:rsidRDefault="006D5A0E" w:rsidP="00D86A58">
      <w:pPr>
        <w:numPr>
          <w:ilvl w:val="2"/>
          <w:numId w:val="14"/>
        </w:numPr>
        <w:spacing w:before="240" w:after="60"/>
        <w:outlineLvl w:val="1"/>
        <w:rPr>
          <w:b/>
          <w:u w:val="single"/>
        </w:rPr>
      </w:pPr>
      <w:bookmarkStart w:id="54" w:name="_Toc216046978"/>
      <w:r>
        <w:rPr>
          <w:b/>
          <w:u w:val="single"/>
        </w:rPr>
        <w:t>Règles de nommage</w:t>
      </w:r>
      <w:bookmarkEnd w:id="54"/>
    </w:p>
    <w:p w14:paraId="174F61D9" w14:textId="77777777" w:rsidR="006D5A0E" w:rsidRDefault="006D5A0E" w:rsidP="006D5A0E">
      <w:pPr>
        <w:ind w:left="1069"/>
        <w:rPr>
          <w:b/>
          <w:u w:val="single"/>
        </w:rPr>
      </w:pPr>
    </w:p>
    <w:p w14:paraId="5B698C9C" w14:textId="0F85C585" w:rsidR="006D5A0E" w:rsidRDefault="006D5A0E" w:rsidP="006D5A0E">
      <w:pPr>
        <w:ind w:firstLine="284"/>
        <w:jc w:val="both"/>
      </w:pPr>
      <w:r>
        <w:t>Les établissements sont libres de nommer leur fichier. Les règles de nommage attendues par le CRU sont réalisées par l’ACPR.</w:t>
      </w:r>
    </w:p>
    <w:p w14:paraId="090CB600" w14:textId="77777777" w:rsidR="006D5A0E" w:rsidRDefault="006D5A0E" w:rsidP="00272186">
      <w:pPr>
        <w:ind w:firstLine="284"/>
        <w:jc w:val="both"/>
      </w:pPr>
    </w:p>
    <w:p w14:paraId="1D3B10DE" w14:textId="77777777" w:rsidR="00272186" w:rsidRDefault="00272186" w:rsidP="00272186">
      <w:pPr>
        <w:ind w:left="360"/>
        <w:jc w:val="both"/>
      </w:pPr>
    </w:p>
    <w:p w14:paraId="7E02E531" w14:textId="77777777" w:rsidR="00272186" w:rsidRDefault="00272186" w:rsidP="00272186">
      <w:pPr>
        <w:jc w:val="both"/>
      </w:pPr>
    </w:p>
    <w:p w14:paraId="501F931E" w14:textId="77777777" w:rsidR="00272186" w:rsidRDefault="00272186" w:rsidP="00272186">
      <w:pPr>
        <w:jc w:val="both"/>
      </w:pPr>
    </w:p>
    <w:p w14:paraId="665BCBB9" w14:textId="77777777" w:rsidR="00272186" w:rsidRDefault="00272186" w:rsidP="00272186"/>
    <w:sectPr w:rsidR="00272186">
      <w:headerReference w:type="even" r:id="rId32"/>
      <w:headerReference w:type="default" r:id="rId33"/>
      <w:footerReference w:type="default" r:id="rId34"/>
      <w:head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A269" w14:textId="77777777" w:rsidR="00B2158F" w:rsidRDefault="00B2158F" w:rsidP="00272186">
      <w:r>
        <w:separator/>
      </w:r>
    </w:p>
  </w:endnote>
  <w:endnote w:type="continuationSeparator" w:id="0">
    <w:p w14:paraId="4F8C80B8" w14:textId="77777777" w:rsidR="00B2158F" w:rsidRDefault="00B2158F" w:rsidP="0027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563246"/>
      <w:docPartObj>
        <w:docPartGallery w:val="Page Numbers (Bottom of Page)"/>
        <w:docPartUnique/>
      </w:docPartObj>
    </w:sdtPr>
    <w:sdtEndPr/>
    <w:sdtContent>
      <w:p w14:paraId="76BC718F" w14:textId="77777777" w:rsidR="00E00B0F" w:rsidRDefault="00E00B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F0">
          <w:rPr>
            <w:noProof/>
          </w:rPr>
          <w:t>15</w:t>
        </w:r>
        <w:r>
          <w:fldChar w:fldCharType="end"/>
        </w:r>
      </w:p>
    </w:sdtContent>
  </w:sdt>
  <w:p w14:paraId="365D7B87" w14:textId="77777777" w:rsidR="00E00B0F" w:rsidRPr="00272186" w:rsidRDefault="00E00B0F" w:rsidP="00272186">
    <w:pPr>
      <w:pStyle w:val="Pieddepage"/>
      <w:jc w:val="center"/>
      <w:rPr>
        <w:sz w:val="20"/>
      </w:rPr>
    </w:pPr>
    <w:r>
      <w:rPr>
        <w:sz w:val="20"/>
      </w:rPr>
      <w:t>[Secrétariat général de l’Autorité de contrôle prudentiel et de résolution]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4A33" w14:textId="77777777" w:rsidR="00B2158F" w:rsidRDefault="00B2158F" w:rsidP="00272186">
      <w:r>
        <w:separator/>
      </w:r>
    </w:p>
  </w:footnote>
  <w:footnote w:type="continuationSeparator" w:id="0">
    <w:p w14:paraId="306137AC" w14:textId="77777777" w:rsidR="00B2158F" w:rsidRDefault="00B2158F" w:rsidP="00272186">
      <w:r>
        <w:continuationSeparator/>
      </w:r>
    </w:p>
  </w:footnote>
  <w:footnote w:id="1">
    <w:p w14:paraId="53D9AC60" w14:textId="77777777" w:rsidR="00E00B0F" w:rsidRDefault="00E00B0F" w:rsidP="00272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DC5C" w14:textId="6C044CE4" w:rsidR="009F0374" w:rsidRDefault="009F037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06A4DC" wp14:editId="6E033A8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7125" cy="345440"/>
              <wp:effectExtent l="0" t="0" r="0" b="16510"/>
              <wp:wrapNone/>
              <wp:docPr id="318298285" name="Zone de texte 2" descr="ACPR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FCC0F" w14:textId="64041E35" w:rsidR="009F0374" w:rsidRPr="009F0374" w:rsidRDefault="009F0374" w:rsidP="009F0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F0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ACPR-RESTREINT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A4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ACPR-RESTREINT" style="position:absolute;margin-left:37.55pt;margin-top:0;width:88.7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" filled="f" stroked="f">
              <v:textbox style="mso-fit-shape-to-text:t" inset="0,15pt,20pt,0">
                <w:txbxContent>
                  <w:p w14:paraId="07BFCC0F" w14:textId="64041E35" w:rsidR="009F0374" w:rsidRPr="009F0374" w:rsidRDefault="009F0374" w:rsidP="009F0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F0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ACPR-RESTREINT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58AD" w14:textId="4D5E922F" w:rsidR="00E00B0F" w:rsidRPr="00272186" w:rsidRDefault="009F0374" w:rsidP="00272186">
    <w:pPr>
      <w:pStyle w:val="En-tte"/>
      <w:jc w:val="right"/>
      <w:rPr>
        <w:rFonts w:ascii="Arial Narrow" w:hAnsi="Arial Narrow" w:cs="Arial"/>
        <w:b/>
        <w:i/>
        <w:sz w:val="10"/>
        <w:szCs w:val="16"/>
      </w:rPr>
    </w:pPr>
    <w:r>
      <w:rPr>
        <w:rFonts w:ascii="Arial Narrow" w:hAnsi="Arial Narrow" w:cs="Arial"/>
        <w:b/>
        <w:i/>
        <w:noProof/>
        <w:sz w:val="18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6960C" wp14:editId="17571A75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127125" cy="345440"/>
              <wp:effectExtent l="0" t="0" r="0" b="16510"/>
              <wp:wrapNone/>
              <wp:docPr id="91277517" name="Zone de texte 3" descr="ACPR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6E5BB" w14:textId="73980CA6" w:rsidR="009F0374" w:rsidRPr="009F0374" w:rsidRDefault="009F0374" w:rsidP="009F0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F0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ACPR-RESTREINT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6960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ACPR-RESTREINT" style="position:absolute;left:0;text-align:left;margin-left:37.55pt;margin-top:0;width:88.7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" filled="f" stroked="f">
              <v:textbox style="mso-fit-shape-to-text:t" inset="0,15pt,20pt,0">
                <w:txbxContent>
                  <w:p w14:paraId="30B6E5BB" w14:textId="73980CA6" w:rsidR="009F0374" w:rsidRPr="009F0374" w:rsidRDefault="009F0374" w:rsidP="009F0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F0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ACPR-RESTREINT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0B0F" w:rsidRPr="00272186">
      <w:rPr>
        <w:rFonts w:ascii="Arial Narrow" w:hAnsi="Arial Narrow" w:cs="Arial"/>
        <w:b/>
        <w:i/>
        <w:sz w:val="18"/>
        <w:szCs w:val="16"/>
      </w:rPr>
      <w:t>Note Technique 202</w:t>
    </w:r>
    <w:r>
      <w:rPr>
        <w:rFonts w:ascii="Arial Narrow" w:hAnsi="Arial Narrow" w:cs="Arial"/>
        <w:b/>
        <w:i/>
        <w:sz w:val="18"/>
        <w:szCs w:val="16"/>
      </w:rPr>
      <w:t>5</w:t>
    </w:r>
    <w:r w:rsidR="00E00B0F" w:rsidRPr="00272186">
      <w:rPr>
        <w:rFonts w:ascii="Arial Narrow" w:hAnsi="Arial Narrow" w:cs="Arial"/>
        <w:b/>
        <w:i/>
        <w:sz w:val="18"/>
        <w:szCs w:val="16"/>
      </w:rPr>
      <w:t xml:space="preserve">-01 – Version </w:t>
    </w:r>
    <w:r>
      <w:rPr>
        <w:rFonts w:ascii="Arial Narrow" w:hAnsi="Arial Narrow" w:cs="Arial"/>
        <w:b/>
        <w:i/>
        <w:sz w:val="18"/>
        <w:szCs w:val="16"/>
      </w:rPr>
      <w:t>Novembre</w:t>
    </w:r>
    <w:r w:rsidR="00E00B0F" w:rsidRPr="00272186">
      <w:rPr>
        <w:rFonts w:ascii="Arial Narrow" w:hAnsi="Arial Narrow" w:cs="Arial"/>
        <w:b/>
        <w:i/>
        <w:sz w:val="18"/>
        <w:szCs w:val="16"/>
      </w:rPr>
      <w:t xml:space="preserve"> 202</w:t>
    </w:r>
    <w:r>
      <w:rPr>
        <w:rFonts w:ascii="Arial Narrow" w:hAnsi="Arial Narrow" w:cs="Arial"/>
        <w:b/>
        <w:i/>
        <w:sz w:val="18"/>
        <w:szCs w:val="16"/>
      </w:rPr>
      <w:t>5</w:t>
    </w:r>
  </w:p>
  <w:p w14:paraId="1C85C116" w14:textId="77777777" w:rsidR="00E00B0F" w:rsidRDefault="00E00B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87DA" w14:textId="24E903BB" w:rsidR="009F0374" w:rsidRDefault="009F037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40DD26" wp14:editId="7C7D8B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7125" cy="345440"/>
              <wp:effectExtent l="0" t="0" r="0" b="16510"/>
              <wp:wrapNone/>
              <wp:docPr id="1830242466" name="Zone de texte 1" descr="ACPR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981F" w14:textId="2387B827" w:rsidR="009F0374" w:rsidRPr="009F0374" w:rsidRDefault="009F0374" w:rsidP="009F03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F03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ACPR-RESTREINT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DD2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ACPR-RESTREINT" style="position:absolute;margin-left:37.55pt;margin-top:0;width:88.7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" filled="f" stroked="f">
              <v:textbox style="mso-fit-shape-to-text:t" inset="0,15pt,20pt,0">
                <w:txbxContent>
                  <w:p w14:paraId="5F7B981F" w14:textId="2387B827" w:rsidR="009F0374" w:rsidRPr="009F0374" w:rsidRDefault="009F0374" w:rsidP="009F03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F03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ACPR-RESTREINT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FA0"/>
    <w:multiLevelType w:val="hybridMultilevel"/>
    <w:tmpl w:val="4F4211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17F9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" w15:restartNumberingAfterBreak="0">
    <w:nsid w:val="0A8A11CC"/>
    <w:multiLevelType w:val="hybridMultilevel"/>
    <w:tmpl w:val="38E4CC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0F6B"/>
    <w:multiLevelType w:val="multilevel"/>
    <w:tmpl w:val="6DE4444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 w15:restartNumberingAfterBreak="0">
    <w:nsid w:val="1D3C37D6"/>
    <w:multiLevelType w:val="hybridMultilevel"/>
    <w:tmpl w:val="8C8EAAE8"/>
    <w:lvl w:ilvl="0" w:tplc="3C4C974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86B2D3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32FDE"/>
    <w:multiLevelType w:val="hybridMultilevel"/>
    <w:tmpl w:val="106423A8"/>
    <w:lvl w:ilvl="0" w:tplc="A94C588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B6B31"/>
    <w:multiLevelType w:val="multilevel"/>
    <w:tmpl w:val="702E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DFC23AF"/>
    <w:multiLevelType w:val="hybridMultilevel"/>
    <w:tmpl w:val="963E3520"/>
    <w:lvl w:ilvl="0" w:tplc="9EB2A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E506F"/>
    <w:multiLevelType w:val="hybridMultilevel"/>
    <w:tmpl w:val="BDA63A1A"/>
    <w:lvl w:ilvl="0" w:tplc="EA90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23FB1"/>
    <w:multiLevelType w:val="hybridMultilevel"/>
    <w:tmpl w:val="34B68E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792270"/>
    <w:multiLevelType w:val="hybridMultilevel"/>
    <w:tmpl w:val="A99C38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E770D"/>
    <w:multiLevelType w:val="hybridMultilevel"/>
    <w:tmpl w:val="FBDCB854"/>
    <w:lvl w:ilvl="0" w:tplc="F83467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EF3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AC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A3D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096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C1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90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0C3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C71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CBA"/>
    <w:multiLevelType w:val="multilevel"/>
    <w:tmpl w:val="702E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0665699"/>
    <w:multiLevelType w:val="hybridMultilevel"/>
    <w:tmpl w:val="E76E1EE8"/>
    <w:lvl w:ilvl="0" w:tplc="058C1ED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66DAA"/>
    <w:multiLevelType w:val="hybridMultilevel"/>
    <w:tmpl w:val="D0D8A8EE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87249619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445257">
    <w:abstractNumId w:val="9"/>
  </w:num>
  <w:num w:numId="3" w16cid:durableId="242226524">
    <w:abstractNumId w:val="10"/>
  </w:num>
  <w:num w:numId="4" w16cid:durableId="1962225857">
    <w:abstractNumId w:val="11"/>
  </w:num>
  <w:num w:numId="5" w16cid:durableId="69553991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122277">
    <w:abstractNumId w:val="2"/>
  </w:num>
  <w:num w:numId="7" w16cid:durableId="90053339">
    <w:abstractNumId w:val="7"/>
  </w:num>
  <w:num w:numId="8" w16cid:durableId="781069790">
    <w:abstractNumId w:val="0"/>
  </w:num>
  <w:num w:numId="9" w16cid:durableId="1169902442">
    <w:abstractNumId w:val="14"/>
  </w:num>
  <w:num w:numId="10" w16cid:durableId="1759250628">
    <w:abstractNumId w:val="13"/>
  </w:num>
  <w:num w:numId="11" w16cid:durableId="578708826">
    <w:abstractNumId w:val="1"/>
  </w:num>
  <w:num w:numId="12" w16cid:durableId="1820924114">
    <w:abstractNumId w:val="8"/>
  </w:num>
  <w:num w:numId="13" w16cid:durableId="354040631">
    <w:abstractNumId w:val="4"/>
  </w:num>
  <w:num w:numId="14" w16cid:durableId="507672512">
    <w:abstractNumId w:val="12"/>
  </w:num>
  <w:num w:numId="15" w16cid:durableId="2069763269">
    <w:abstractNumId w:val="6"/>
  </w:num>
  <w:num w:numId="16" w16cid:durableId="1323311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6"/>
    <w:rsid w:val="000320F8"/>
    <w:rsid w:val="0004229D"/>
    <w:rsid w:val="0005723D"/>
    <w:rsid w:val="00085B2B"/>
    <w:rsid w:val="000D20F1"/>
    <w:rsid w:val="000D55BB"/>
    <w:rsid w:val="000D6FFF"/>
    <w:rsid w:val="0012258C"/>
    <w:rsid w:val="00144AD7"/>
    <w:rsid w:val="00152B40"/>
    <w:rsid w:val="0015371A"/>
    <w:rsid w:val="001775A5"/>
    <w:rsid w:val="001C4DC9"/>
    <w:rsid w:val="001D73FE"/>
    <w:rsid w:val="001E10EF"/>
    <w:rsid w:val="001E7360"/>
    <w:rsid w:val="00201D9A"/>
    <w:rsid w:val="00231651"/>
    <w:rsid w:val="00272186"/>
    <w:rsid w:val="00282189"/>
    <w:rsid w:val="0028562F"/>
    <w:rsid w:val="002A471F"/>
    <w:rsid w:val="002A4EB8"/>
    <w:rsid w:val="003313DF"/>
    <w:rsid w:val="003431CD"/>
    <w:rsid w:val="00360D42"/>
    <w:rsid w:val="00374A4D"/>
    <w:rsid w:val="00381C61"/>
    <w:rsid w:val="00384A4B"/>
    <w:rsid w:val="003917D5"/>
    <w:rsid w:val="0039530B"/>
    <w:rsid w:val="003A5E1C"/>
    <w:rsid w:val="003A782F"/>
    <w:rsid w:val="003D7444"/>
    <w:rsid w:val="00411707"/>
    <w:rsid w:val="00413260"/>
    <w:rsid w:val="0044383A"/>
    <w:rsid w:val="004646EE"/>
    <w:rsid w:val="00467F6F"/>
    <w:rsid w:val="00487FC1"/>
    <w:rsid w:val="004A2675"/>
    <w:rsid w:val="004A75E1"/>
    <w:rsid w:val="004B0499"/>
    <w:rsid w:val="004B4FBF"/>
    <w:rsid w:val="004D0AB3"/>
    <w:rsid w:val="004D35AF"/>
    <w:rsid w:val="004E7888"/>
    <w:rsid w:val="004F1663"/>
    <w:rsid w:val="00511DF0"/>
    <w:rsid w:val="00516FD8"/>
    <w:rsid w:val="00541E88"/>
    <w:rsid w:val="00556580"/>
    <w:rsid w:val="00586AD7"/>
    <w:rsid w:val="005904F3"/>
    <w:rsid w:val="005D107A"/>
    <w:rsid w:val="005F20A9"/>
    <w:rsid w:val="00602493"/>
    <w:rsid w:val="00641026"/>
    <w:rsid w:val="00665875"/>
    <w:rsid w:val="006A1795"/>
    <w:rsid w:val="006A3CCB"/>
    <w:rsid w:val="006B0C1F"/>
    <w:rsid w:val="006B4596"/>
    <w:rsid w:val="006D495C"/>
    <w:rsid w:val="006D5A0E"/>
    <w:rsid w:val="006E0754"/>
    <w:rsid w:val="006E20AF"/>
    <w:rsid w:val="006E4E8F"/>
    <w:rsid w:val="006F1795"/>
    <w:rsid w:val="006F6085"/>
    <w:rsid w:val="007123D3"/>
    <w:rsid w:val="00727889"/>
    <w:rsid w:val="00737480"/>
    <w:rsid w:val="0075736B"/>
    <w:rsid w:val="00777A3B"/>
    <w:rsid w:val="00780E50"/>
    <w:rsid w:val="00782B89"/>
    <w:rsid w:val="007C3731"/>
    <w:rsid w:val="007C3A16"/>
    <w:rsid w:val="007C4100"/>
    <w:rsid w:val="007D6D44"/>
    <w:rsid w:val="007E550A"/>
    <w:rsid w:val="007E65E6"/>
    <w:rsid w:val="008369B1"/>
    <w:rsid w:val="00836CB6"/>
    <w:rsid w:val="00840629"/>
    <w:rsid w:val="008409A1"/>
    <w:rsid w:val="00841C8B"/>
    <w:rsid w:val="00851E96"/>
    <w:rsid w:val="008558A0"/>
    <w:rsid w:val="0087014C"/>
    <w:rsid w:val="0088718E"/>
    <w:rsid w:val="0088719F"/>
    <w:rsid w:val="008A7AEB"/>
    <w:rsid w:val="008B2C0E"/>
    <w:rsid w:val="008C08CE"/>
    <w:rsid w:val="008C4B18"/>
    <w:rsid w:val="008D14B1"/>
    <w:rsid w:val="008D2361"/>
    <w:rsid w:val="00926BD1"/>
    <w:rsid w:val="00950F90"/>
    <w:rsid w:val="00960A7F"/>
    <w:rsid w:val="00983206"/>
    <w:rsid w:val="009C35B1"/>
    <w:rsid w:val="009D3381"/>
    <w:rsid w:val="009F0374"/>
    <w:rsid w:val="009F5E17"/>
    <w:rsid w:val="00A00BE8"/>
    <w:rsid w:val="00A52A60"/>
    <w:rsid w:val="00A5324F"/>
    <w:rsid w:val="00A82C7E"/>
    <w:rsid w:val="00AA71B9"/>
    <w:rsid w:val="00AD5324"/>
    <w:rsid w:val="00B01F5B"/>
    <w:rsid w:val="00B05228"/>
    <w:rsid w:val="00B2158F"/>
    <w:rsid w:val="00B3619E"/>
    <w:rsid w:val="00B5125D"/>
    <w:rsid w:val="00B54DD7"/>
    <w:rsid w:val="00B6666B"/>
    <w:rsid w:val="00B73A62"/>
    <w:rsid w:val="00B96BB4"/>
    <w:rsid w:val="00BA351B"/>
    <w:rsid w:val="00BE3320"/>
    <w:rsid w:val="00BF0811"/>
    <w:rsid w:val="00C1527C"/>
    <w:rsid w:val="00C25B68"/>
    <w:rsid w:val="00C374F9"/>
    <w:rsid w:val="00C53F96"/>
    <w:rsid w:val="00C60545"/>
    <w:rsid w:val="00C679CD"/>
    <w:rsid w:val="00C7397B"/>
    <w:rsid w:val="00C73CB1"/>
    <w:rsid w:val="00C9554D"/>
    <w:rsid w:val="00C96837"/>
    <w:rsid w:val="00CC6BC5"/>
    <w:rsid w:val="00CF12D6"/>
    <w:rsid w:val="00CF312C"/>
    <w:rsid w:val="00D00A8C"/>
    <w:rsid w:val="00D04C0E"/>
    <w:rsid w:val="00D13BA2"/>
    <w:rsid w:val="00D27714"/>
    <w:rsid w:val="00D30E7B"/>
    <w:rsid w:val="00D30E85"/>
    <w:rsid w:val="00D33D53"/>
    <w:rsid w:val="00D3769A"/>
    <w:rsid w:val="00D6680D"/>
    <w:rsid w:val="00D86A58"/>
    <w:rsid w:val="00D93FB4"/>
    <w:rsid w:val="00DC53AF"/>
    <w:rsid w:val="00DE2977"/>
    <w:rsid w:val="00E00B0F"/>
    <w:rsid w:val="00E449F2"/>
    <w:rsid w:val="00E469B7"/>
    <w:rsid w:val="00E53789"/>
    <w:rsid w:val="00E73A2C"/>
    <w:rsid w:val="00E9189A"/>
    <w:rsid w:val="00EC23FF"/>
    <w:rsid w:val="00EE22C9"/>
    <w:rsid w:val="00EE387A"/>
    <w:rsid w:val="00EF4317"/>
    <w:rsid w:val="00F15320"/>
    <w:rsid w:val="00F5299B"/>
    <w:rsid w:val="00F65D89"/>
    <w:rsid w:val="00F94031"/>
    <w:rsid w:val="00FC58EC"/>
    <w:rsid w:val="00FE290D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7FD3"/>
  <w15:chartTrackingRefBased/>
  <w15:docId w15:val="{C7A7D88F-4844-424F-AB66-B819A089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Titre a,1. Titre 1,Section Heading,1titre,1titre1,1titre2,1titre3,1titre4,1titre5,1titre6,Titre : normal+police 18 points,gras,GSA1,Titre 11,t1.T1.Titre 1,t1.T1,1titre7,1titre11,1titre21,1titre31,1titre41,1titre51,1titre61,Activité,AA1"/>
    <w:basedOn w:val="Normal"/>
    <w:next w:val="Normal"/>
    <w:link w:val="Titre1Car"/>
    <w:qFormat/>
    <w:rsid w:val="00272186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Reset numbering,H2,GSA2,Heading2,Heading21,Titre 21,t2.T2,H21,Heading 2,Fonctionnalité,chapitre,t2,h2,chapitre 1.1,h21,h22,T2,heading 2,l2,I2,Titre Parag,paragraphe,Contrat 2,Ctt,AA2,Überschrift 2 Anhang,Überschrift 2 Anhang1,TT2,Heading22,H22"/>
    <w:basedOn w:val="Titre1"/>
    <w:next w:val="Normal"/>
    <w:link w:val="Titre2Car"/>
    <w:semiHidden/>
    <w:unhideWhenUsed/>
    <w:qFormat/>
    <w:rsid w:val="00272186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Titre3">
    <w:name w:val="heading 3"/>
    <w:aliases w:val="H3,h3,heading 3,3rd level,Titre 31,t3.T3,H31,Heading 3,Section,TT3,H32,h31,heading 31,3rd level1,Titre 311,t3.T31,H311,Heading 31,Section1,TT31,H33,h32,heading 32,3rd level2,Titre 312,t3.T32,H312,Heading 32,Section2,TT32,H34,h33,heading 33,H313"/>
    <w:basedOn w:val="Titre2"/>
    <w:next w:val="Normal"/>
    <w:link w:val="Titre3Car"/>
    <w:semiHidden/>
    <w:unhideWhenUsed/>
    <w:qFormat/>
    <w:rsid w:val="00272186"/>
    <w:pPr>
      <w:numPr>
        <w:ilvl w:val="2"/>
      </w:numPr>
      <w:outlineLvl w:val="2"/>
    </w:pPr>
    <w:rPr>
      <w:color w:val="1F4D78" w:themeColor="accent1" w:themeShade="7F"/>
      <w:sz w:val="24"/>
      <w:szCs w:val="24"/>
    </w:rPr>
  </w:style>
  <w:style w:type="paragraph" w:styleId="Titre4">
    <w:name w:val="heading 4"/>
    <w:aliases w:val="Titre niveau 4,H4,Titre 41,t4.T4,Heading 4,(Shift Ctrl 4),- Minor Sid...,- Minor Side,H41,Titre 411,t4.T41,Heading 41,(Shift Ctrl 4)1,- Minor Side1,H42,Titre 412,t4.T42,Heading 42,(Shift Ctrl 4)2,- Minor Side2,H43,Titre 413,t4.T43,Heading 43,l4"/>
    <w:basedOn w:val="Normal"/>
    <w:link w:val="Titre4Car"/>
    <w:semiHidden/>
    <w:unhideWhenUsed/>
    <w:qFormat/>
    <w:rsid w:val="0027218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aliases w:val="Level 3 - i,Heading 5,Contrat 5,Heading 51,Heading 52,Heading 53,Heading 54,Heading 55,Heading 56,Heading 57,Heading 58,Heading 59,Heading 510,Heading 511,Heading 521,Heading 531,Heading 541,Heading 551,Heading 561,Heading 571,Heading 581"/>
    <w:basedOn w:val="Titre4"/>
    <w:next w:val="Normal"/>
    <w:link w:val="Titre5Car"/>
    <w:semiHidden/>
    <w:unhideWhenUsed/>
    <w:qFormat/>
    <w:rsid w:val="00272186"/>
    <w:pPr>
      <w:numPr>
        <w:ilvl w:val="4"/>
      </w:numPr>
      <w:outlineLvl w:val="4"/>
    </w:pPr>
    <w:rPr>
      <w:i w:val="0"/>
      <w:iCs w:val="0"/>
    </w:rPr>
  </w:style>
  <w:style w:type="paragraph" w:styleId="Titre6">
    <w:name w:val="heading 6"/>
    <w:aliases w:val="Legal Level 1.,Annexe,H6"/>
    <w:basedOn w:val="Titre5"/>
    <w:next w:val="Normal"/>
    <w:link w:val="Titre6Car"/>
    <w:semiHidden/>
    <w:unhideWhenUsed/>
    <w:qFormat/>
    <w:rsid w:val="00272186"/>
    <w:pPr>
      <w:numPr>
        <w:ilvl w:val="5"/>
      </w:numPr>
      <w:outlineLvl w:val="5"/>
    </w:pPr>
    <w:rPr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72186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72186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72186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a Car,1. Titre 1 Car,Section Heading Car,1titre Car,1titre1 Car,1titre2 Car,1titre3 Car,1titre4 Car,1titre5 Car,1titre6 Car,Titre : normal+police 18 points Car,gras Car,GSA1 Car,Titre 11 Car,t1.T1.Titre 1 Car,t1.T1 Car,1titre7 Car"/>
    <w:basedOn w:val="Policepardfaut"/>
    <w:link w:val="Titre1"/>
    <w:rsid w:val="002721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aliases w:val="Reset numbering Car,H2 Car,GSA2 Car,Heading2 Car,Heading21 Car,Titre 21 Car,t2.T2 Car,H21 Car,Heading 2 Car,Fonctionnalité Car,chapitre Car,t2 Car,h2 Car,chapitre 1.1 Car,h21 Car,h22 Car,T2 Car,heading 2 Car,l2 Car,I2 Car,Titre Parag Car"/>
    <w:basedOn w:val="Policepardfaut"/>
    <w:link w:val="Titre2"/>
    <w:semiHidden/>
    <w:rsid w:val="002721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aliases w:val="H3 Car,h3 Car,heading 3 Car,3rd level Car,Titre 31 Car,t3.T3 Car,H31 Car,Heading 3 Car,Section Car,TT3 Car,H32 Car,h31 Car,heading 31 Car,3rd level1 Car,Titre 311 Car,t3.T31 Car,H311 Car,Heading 31 Car,Section1 Car,TT31 Car,H33 Car,h32 Car"/>
    <w:basedOn w:val="Policepardfaut"/>
    <w:link w:val="Titre3"/>
    <w:semiHidden/>
    <w:rsid w:val="002721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aliases w:val="Titre niveau 4 Car,H4 Car,Titre 41 Car,t4.T4 Car,Heading 4 Car,(Shift Ctrl 4) Car,- Minor Sid... Car,- Minor Side Car,H41 Car,Titre 411 Car,t4.T41 Car,Heading 41 Car,(Shift Ctrl 4)1 Car,- Minor Side1 Car,H42 Car,Titre 412 Car,t4.T42 Car"/>
    <w:basedOn w:val="Policepardfaut"/>
    <w:link w:val="Titre4"/>
    <w:semiHidden/>
    <w:rsid w:val="0027218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character" w:customStyle="1" w:styleId="Titre5Car">
    <w:name w:val="Titre 5 Car"/>
    <w:aliases w:val="Level 3 - i Car,Heading 5 Car,Contrat 5 Car,Heading 51 Car,Heading 52 Car,Heading 53 Car,Heading 54 Car,Heading 55 Car,Heading 56 Car,Heading 57 Car,Heading 58 Car,Heading 59 Car,Heading 510 Car,Heading 511 Car,Heading 521 Car"/>
    <w:basedOn w:val="Policepardfaut"/>
    <w:link w:val="Titre5"/>
    <w:semiHidden/>
    <w:rsid w:val="00272186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fr-FR"/>
    </w:rPr>
  </w:style>
  <w:style w:type="character" w:customStyle="1" w:styleId="Titre6Car">
    <w:name w:val="Titre 6 Car"/>
    <w:aliases w:val="Legal Level 1. Car,Annexe Car,H6 Car"/>
    <w:basedOn w:val="Policepardfaut"/>
    <w:link w:val="Titre6"/>
    <w:semiHidden/>
    <w:rsid w:val="00272186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2721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2721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2721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uiPriority w:val="99"/>
    <w:unhideWhenUsed/>
    <w:rsid w:val="00272186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72186"/>
    <w:pPr>
      <w:tabs>
        <w:tab w:val="left" w:pos="284"/>
        <w:tab w:val="right" w:leader="dot" w:pos="10195"/>
      </w:tabs>
      <w:spacing w:before="120" w:after="120"/>
    </w:pPr>
    <w:rPr>
      <w:rFonts w:ascii="Arial" w:hAnsi="Arial" w:cs="Arial"/>
      <w:b/>
      <w:bCs/>
      <w:caps/>
      <w:noProof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272186"/>
    <w:pPr>
      <w:tabs>
        <w:tab w:val="left" w:pos="709"/>
        <w:tab w:val="right" w:leader="dot" w:pos="10206"/>
      </w:tabs>
      <w:ind w:left="240"/>
    </w:pPr>
    <w:rPr>
      <w:smallCaps/>
      <w:sz w:val="20"/>
    </w:rPr>
  </w:style>
  <w:style w:type="paragraph" w:styleId="Commentaire">
    <w:name w:val="annotation text"/>
    <w:basedOn w:val="Normal"/>
    <w:link w:val="CommentaireCar"/>
    <w:unhideWhenUsed/>
    <w:rsid w:val="00272186"/>
    <w:pPr>
      <w:spacing w:before="60" w:after="60"/>
      <w:jc w:val="both"/>
    </w:pPr>
    <w:rPr>
      <w:rFonts w:ascii="Arial" w:hAnsi="Arial"/>
      <w:sz w:val="20"/>
    </w:rPr>
  </w:style>
  <w:style w:type="character" w:customStyle="1" w:styleId="CommentaireCar">
    <w:name w:val="Commentaire Car"/>
    <w:basedOn w:val="Policepardfaut"/>
    <w:link w:val="Commentaire"/>
    <w:rsid w:val="00272186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72186"/>
    <w:pPr>
      <w:ind w:left="720"/>
      <w:contextualSpacing/>
    </w:pPr>
  </w:style>
  <w:style w:type="paragraph" w:customStyle="1" w:styleId="en-ttedg">
    <w:name w:val="en-tête dg"/>
    <w:basedOn w:val="Normal"/>
    <w:rsid w:val="00272186"/>
    <w:pPr>
      <w:spacing w:line="240" w:lineRule="exact"/>
    </w:pPr>
    <w:rPr>
      <w:rFonts w:ascii="Arial" w:hAnsi="Arial"/>
      <w:b/>
      <w:caps/>
      <w:sz w:val="18"/>
    </w:rPr>
  </w:style>
  <w:style w:type="paragraph" w:customStyle="1" w:styleId="adresse-date">
    <w:name w:val="adresse-date"/>
    <w:basedOn w:val="Normal"/>
    <w:rsid w:val="00272186"/>
    <w:pPr>
      <w:spacing w:line="270" w:lineRule="exact"/>
    </w:pPr>
  </w:style>
  <w:style w:type="paragraph" w:customStyle="1" w:styleId="en-ttedirection">
    <w:name w:val="en-tête direction"/>
    <w:basedOn w:val="en-ttedg"/>
    <w:rsid w:val="00272186"/>
    <w:pPr>
      <w:spacing w:before="40"/>
    </w:pPr>
    <w:rPr>
      <w:b w:val="0"/>
    </w:rPr>
  </w:style>
  <w:style w:type="paragraph" w:customStyle="1" w:styleId="CorpsTexte">
    <w:name w:val="_Corps Texte"/>
    <w:basedOn w:val="Normal"/>
    <w:rsid w:val="00272186"/>
    <w:pPr>
      <w:spacing w:before="120"/>
      <w:ind w:left="567"/>
      <w:jc w:val="both"/>
    </w:pPr>
    <w:rPr>
      <w:rFonts w:ascii="Arial" w:hAnsi="Arial" w:cs="Arial"/>
      <w:kern w:val="32"/>
      <w:sz w:val="20"/>
      <w:szCs w:val="32"/>
    </w:rPr>
  </w:style>
  <w:style w:type="paragraph" w:customStyle="1" w:styleId="Default">
    <w:name w:val="Default"/>
    <w:rsid w:val="002721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Appelnotedebasdep">
    <w:name w:val="footnote reference"/>
    <w:uiPriority w:val="99"/>
    <w:semiHidden/>
    <w:unhideWhenUsed/>
    <w:rsid w:val="00272186"/>
    <w:rPr>
      <w:position w:val="8"/>
      <w:sz w:val="12"/>
    </w:rPr>
  </w:style>
  <w:style w:type="character" w:styleId="Marquedecommentaire">
    <w:name w:val="annotation reference"/>
    <w:semiHidden/>
    <w:unhideWhenUsed/>
    <w:rsid w:val="0027218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1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186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2721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218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2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18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107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2C0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01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5B68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5B6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ba.europa.eu/risk-and-data-analysis/reporting-frameworks/reporting-framework-42" TargetMode="External"/><Relationship Id="rId18" Type="http://schemas.openxmlformats.org/officeDocument/2006/relationships/hyperlink" Target="https://esurfi.banque-france.fr/fr/esurfi-banque/informations-techniques/documentation-technique/manuels-utilisateurs-banque" TargetMode="External"/><Relationship Id="rId26" Type="http://schemas.openxmlformats.org/officeDocument/2006/relationships/image" Target="media/image7.png"/><Relationship Id="rId21" Type="http://schemas.openxmlformats.org/officeDocument/2006/relationships/image" Target="media/image3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srb.europa.eu/en/content/2025-resolution-reporting" TargetMode="External"/><Relationship Id="rId17" Type="http://schemas.openxmlformats.org/officeDocument/2006/relationships/hyperlink" Target="https://www.srb.europa.eu/en/content/notification-impracticability-include-bail-recognition-clauses-contracts-srb-approach-and" TargetMode="External"/><Relationship Id="rId25" Type="http://schemas.openxmlformats.org/officeDocument/2006/relationships/image" Target="media/image6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eba.europa.eu/risk-and-data-analysis/reporting-frameworks/reporting-framework-42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urfi.banque-france.fr/fr/esurfi-resolution-garanties/resolution" TargetMode="External"/><Relationship Id="rId24" Type="http://schemas.openxmlformats.org/officeDocument/2006/relationships/hyperlink" Target="https://www.srb.europa.eu/system/files/media/document/2024-09-27_SRB_RES_Filing_Rules_v8.0.pdf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ba.europa.eu/risk-and-data-analysis/reporting-frameworks/reporting-framework-35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legifrance.gouv.fr/download/pdf?id=iTzB6e7RHr-52RnwucdDdcrti9Ae2GWWMNCvmoJfer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rb.europa.eu/en/content/2026-srf-contributions-cycle" TargetMode="External"/><Relationship Id="rId19" Type="http://schemas.openxmlformats.org/officeDocument/2006/relationships/hyperlink" Target="https://esurfi.banque-france.fr/fr/esurfi-resolution-garanties/resolution" TargetMode="External"/><Relationship Id="rId31" Type="http://schemas.openxmlformats.org/officeDocument/2006/relationships/hyperlink" Target="https://www.eba.europa.eu/risk-and-data-analysis/reporting-frameworks/reporting-framework-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718-FONGAR-UT@acpr.banque-france.fr" TargetMode="External"/><Relationship Id="rId14" Type="http://schemas.openxmlformats.org/officeDocument/2006/relationships/hyperlink" Target="https://www.eba.europa.eu/risk-and-data-analysis/reporting-frameworks/reporting-framework-35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header" Target="header3.xml"/><Relationship Id="rId8" Type="http://schemas.openxmlformats.org/officeDocument/2006/relationships/image" Target="cid:image002.png@01D65B54.23514F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20</Pages>
  <Words>4219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CHELIHI Amael (SGACPR DR)</dc:creator>
  <cp:keywords/>
  <dc:description/>
  <cp:lastModifiedBy>GAILLARDO Christophe (SGACPR DRHM)</cp:lastModifiedBy>
  <cp:revision>38</cp:revision>
  <dcterms:created xsi:type="dcterms:W3CDTF">2025-12-07T15:20:00Z</dcterms:created>
  <dcterms:modified xsi:type="dcterms:W3CDTF">2025-12-09T10:01:00Z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6d1748a2,12f8d8ad,570c8cd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ACPR-RESTREINT</vt:lpwstr>
  </property>
  <property fmtid="{D5CDD505-2E9C-101B-9397-08002B2CF9AE}" pid="5" name="MSIP_Label_74b897aa-4b02-4e55-85dc-615b19069589_Enabled">
    <vt:lpwstr>true</vt:lpwstr>
  </property>
  <property fmtid="{D5CDD505-2E9C-101B-9397-08002B2CF9AE}" pid="6" name="MSIP_Label_74b897aa-4b02-4e55-85dc-615b19069589_SetDate">
    <vt:lpwstr>2025-11-06T20:58:34Z</vt:lpwstr>
  </property>
  <property fmtid="{D5CDD505-2E9C-101B-9397-08002B2CF9AE}" pid="7" name="MSIP_Label_74b897aa-4b02-4e55-85dc-615b19069589_Method">
    <vt:lpwstr>Privileged</vt:lpwstr>
  </property>
  <property fmtid="{D5CDD505-2E9C-101B-9397-08002B2CF9AE}" pid="8" name="MSIP_Label_74b897aa-4b02-4e55-85dc-615b19069589_Name">
    <vt:lpwstr>ACPR-Restreint</vt:lpwstr>
  </property>
  <property fmtid="{D5CDD505-2E9C-101B-9397-08002B2CF9AE}" pid="9" name="MSIP_Label_74b897aa-4b02-4e55-85dc-615b19069589_SiteId">
    <vt:lpwstr>e6599448-62a0-418e-8930-d00d8d5682c2</vt:lpwstr>
  </property>
  <property fmtid="{D5CDD505-2E9C-101B-9397-08002B2CF9AE}" pid="10" name="MSIP_Label_74b897aa-4b02-4e55-85dc-615b19069589_ActionId">
    <vt:lpwstr>3a77dbf4-61b9-4b50-8548-36e5316a7d5f</vt:lpwstr>
  </property>
  <property fmtid="{D5CDD505-2E9C-101B-9397-08002B2CF9AE}" pid="11" name="MSIP_Label_74b897aa-4b02-4e55-85dc-615b19069589_ContentBits">
    <vt:lpwstr>1</vt:lpwstr>
  </property>
  <property fmtid="{D5CDD505-2E9C-101B-9397-08002B2CF9AE}" pid="12" name="MSIP_Label_74b897aa-4b02-4e55-85dc-615b19069589_Tag">
    <vt:lpwstr>10, 0, 1, 1</vt:lpwstr>
  </property>
</Properties>
</file>