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CA2A" w14:textId="3F8E4E6B" w:rsidR="0062557F" w:rsidRPr="009243F8" w:rsidRDefault="008B3F46" w:rsidP="005360BF">
      <w:pPr>
        <w:pStyle w:val="Titre1"/>
        <w:shd w:val="clear" w:color="auto" w:fill="FFFFFF"/>
        <w:spacing w:before="0" w:beforeAutospacing="0" w:after="225" w:afterAutospacing="0" w:line="675" w:lineRule="atLeast"/>
        <w:jc w:val="center"/>
        <w:rPr>
          <w:rFonts w:ascii="Open Sans" w:hAnsi="Open Sans" w:cs="Open Sans"/>
          <w:color w:val="003B7D"/>
          <w:sz w:val="44"/>
          <w:szCs w:val="51"/>
        </w:rPr>
      </w:pPr>
      <w:r>
        <w:rPr>
          <w:rFonts w:ascii="Open Sans" w:hAnsi="Open Sans" w:cs="Open Sans"/>
          <w:color w:val="003B7D"/>
          <w:sz w:val="44"/>
          <w:szCs w:val="51"/>
        </w:rPr>
        <w:t>Collecte LCB-FT 202</w:t>
      </w:r>
      <w:r w:rsidR="005360BF">
        <w:rPr>
          <w:rFonts w:ascii="Open Sans" w:hAnsi="Open Sans" w:cs="Open Sans"/>
          <w:color w:val="003B7D"/>
          <w:sz w:val="44"/>
          <w:szCs w:val="51"/>
        </w:rPr>
        <w:t>6</w:t>
      </w:r>
    </w:p>
    <w:p w14:paraId="632488E0" w14:textId="77777777" w:rsidR="005360BF" w:rsidRPr="0062557F" w:rsidRDefault="005360BF" w:rsidP="005360BF">
      <w:pPr>
        <w:jc w:val="center"/>
        <w:rPr>
          <w:rFonts w:ascii="Open Sans" w:hAnsi="Open Sans" w:cs="Open Sans"/>
          <w:b/>
          <w:bCs/>
          <w:color w:val="2F2F2F"/>
          <w:sz w:val="23"/>
          <w:szCs w:val="23"/>
          <w:u w:val="single"/>
          <w:shd w:val="clear" w:color="auto" w:fill="FFFFFF"/>
        </w:rPr>
      </w:pPr>
      <w:r>
        <w:rPr>
          <w:rStyle w:val="lev"/>
          <w:rFonts w:ascii="Open Sans" w:hAnsi="Open Sans" w:cs="Open Sans"/>
          <w:color w:val="2F2F2F"/>
          <w:sz w:val="23"/>
          <w:szCs w:val="23"/>
          <w:u w:val="single"/>
          <w:shd w:val="clear" w:color="auto" w:fill="FFFFFF"/>
        </w:rPr>
        <w:t>Évolution de la collecte 2026 au titre de l’arrêté 12/2025</w:t>
      </w:r>
    </w:p>
    <w:p w14:paraId="0BA3F6F5" w14:textId="38C282AF" w:rsidR="005360BF" w:rsidRDefault="005360BF" w:rsidP="005360BF">
      <w:pPr>
        <w:jc w:val="both"/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</w:pPr>
      <w:r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Nous vous informons que l’ACPR a mis à disposition les cartes de visite fonctionnelles précisant le périmètre d’assujettissement à la collecte LCB-FT.</w:t>
      </w:r>
    </w:p>
    <w:p w14:paraId="241E7886" w14:textId="77777777" w:rsidR="009A5B60" w:rsidRPr="002C1A2E" w:rsidRDefault="009A5B60" w:rsidP="009A5B60">
      <w:pPr>
        <w:jc w:val="both"/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</w:pPr>
      <w:r w:rsidRPr="002C1A2E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Le périmètre de la collecte LCB-FT est défini par l'instruction 2025-I-08 modifiant l’instruction 2022-I-18.</w:t>
      </w:r>
    </w:p>
    <w:p w14:paraId="2C45D8F7" w14:textId="77777777" w:rsidR="005360BF" w:rsidRDefault="005360BF" w:rsidP="005360BF">
      <w:pPr>
        <w:jc w:val="both"/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</w:pPr>
      <w:r w:rsidRPr="00694DCA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Les nouveautés 2026 (pour la collecte des données 2025) sont précisées dans les notes de livraison de la </w:t>
      </w:r>
      <w:hyperlink r:id="rId7" w:history="1">
        <w:r w:rsidRPr="00694DCA">
          <w:rPr>
            <w:rStyle w:val="Lienhypertexte"/>
            <w:rFonts w:ascii="Open Sans" w:eastAsia="Times New Roman" w:hAnsi="Open Sans" w:cs="Open Sans"/>
            <w:sz w:val="23"/>
            <w:szCs w:val="23"/>
            <w:lang w:eastAsia="fr-FR"/>
          </w:rPr>
          <w:t>taxonomie 2.4.0.1</w:t>
        </w:r>
      </w:hyperlink>
      <w:r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, section </w:t>
      </w:r>
      <w:proofErr w:type="spellStart"/>
      <w:r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e-Surfi</w:t>
      </w:r>
      <w:proofErr w:type="spellEnd"/>
      <w:r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 « Taxonomie xBRL ».</w:t>
      </w:r>
    </w:p>
    <w:p w14:paraId="0EA14BE8" w14:textId="77777777" w:rsidR="005360BF" w:rsidRPr="0062557F" w:rsidRDefault="005360BF" w:rsidP="005360BF">
      <w:pPr>
        <w:jc w:val="both"/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</w:pPr>
      <w:r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Les établissements </w:t>
      </w:r>
      <w:r w:rsidRPr="0062557F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supervisés peuvent s’appuyer sur le guide méthodologique annexé à l’instruction 2022-I-18 qui précise les règles de contenu pour</w:t>
      </w:r>
      <w:r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 chacun des tableaux B0 à B10.</w:t>
      </w:r>
    </w:p>
    <w:p w14:paraId="00E13CAB" w14:textId="77777777" w:rsidR="00AC16F6" w:rsidRPr="0062557F" w:rsidRDefault="00AC16F6" w:rsidP="0062557F">
      <w:pPr>
        <w:jc w:val="both"/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</w:pPr>
      <w:r w:rsidRPr="00AC16F6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Pour rappel, la remise LCB-FT propose une approche différenciée selon les critères auxquels les </w:t>
      </w:r>
      <w:r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organismes</w:t>
      </w:r>
      <w:r w:rsidRPr="00AC16F6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 supervisés sont rattachés :</w:t>
      </w:r>
    </w:p>
    <w:p w14:paraId="5BE110E9" w14:textId="77777777" w:rsidR="0062557F" w:rsidRPr="009A0F69" w:rsidRDefault="0062557F" w:rsidP="009A0F69">
      <w:pPr>
        <w:pStyle w:val="Paragraphedeliste"/>
        <w:numPr>
          <w:ilvl w:val="0"/>
          <w:numId w:val="8"/>
        </w:numPr>
        <w:jc w:val="both"/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</w:pPr>
      <w:r w:rsidRPr="009A0F69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QLB </w:t>
      </w:r>
      <w:r w:rsidR="006C3B5B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Assurance </w:t>
      </w:r>
      <w:r w:rsidRPr="009A0F69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Général </w:t>
      </w:r>
    </w:p>
    <w:p w14:paraId="64529B9A" w14:textId="77777777" w:rsidR="0062557F" w:rsidRPr="009A0F69" w:rsidRDefault="0062557F" w:rsidP="009A0F69">
      <w:pPr>
        <w:pStyle w:val="Paragraphedeliste"/>
        <w:numPr>
          <w:ilvl w:val="0"/>
          <w:numId w:val="8"/>
        </w:numPr>
        <w:jc w:val="both"/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</w:pPr>
      <w:r w:rsidRPr="009A0F69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QLB </w:t>
      </w:r>
      <w:r w:rsidR="006C3B5B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Assurance Simplifié</w:t>
      </w:r>
    </w:p>
    <w:p w14:paraId="502849E5" w14:textId="77777777" w:rsidR="00631C11" w:rsidRDefault="00631C11" w:rsidP="00631C11">
      <w:pPr>
        <w:pStyle w:val="Paragraphedeliste"/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</w:pPr>
    </w:p>
    <w:p w14:paraId="34A7C60F" w14:textId="77777777" w:rsidR="00631C11" w:rsidRPr="00631C11" w:rsidRDefault="00631C11" w:rsidP="00631C11">
      <w:pPr>
        <w:pStyle w:val="Paragraphedeliste"/>
        <w:jc w:val="center"/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</w:pPr>
      <w:r w:rsidRPr="00631C11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***</w:t>
      </w:r>
    </w:p>
    <w:p w14:paraId="23660E8F" w14:textId="77777777" w:rsidR="00631C11" w:rsidRPr="0044331E" w:rsidRDefault="00631C11" w:rsidP="00631C1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Style w:val="lev"/>
          <w:rFonts w:ascii="Open Sans" w:hAnsi="Open Sans" w:cs="Open Sans"/>
          <w:color w:val="2F2F2F"/>
          <w:sz w:val="23"/>
          <w:szCs w:val="23"/>
          <w:u w:val="single"/>
        </w:rPr>
      </w:pPr>
      <w:r w:rsidRPr="0044331E">
        <w:rPr>
          <w:rStyle w:val="lev"/>
          <w:rFonts w:ascii="Open Sans" w:hAnsi="Open Sans" w:cs="Open Sans"/>
          <w:color w:val="2F2F2F"/>
          <w:sz w:val="23"/>
          <w:szCs w:val="23"/>
          <w:u w:val="single"/>
        </w:rPr>
        <w:t xml:space="preserve">Les délais de remise sont précisés </w:t>
      </w:r>
      <w:r w:rsidRPr="0026137C">
        <w:rPr>
          <w:rStyle w:val="lev"/>
          <w:rFonts w:ascii="Open Sans" w:hAnsi="Open Sans" w:cs="Open Sans"/>
          <w:color w:val="2F2F2F"/>
          <w:sz w:val="23"/>
          <w:szCs w:val="23"/>
          <w:u w:val="single"/>
        </w:rPr>
        <w:t>dans le tableau</w:t>
      </w:r>
      <w:r w:rsidRPr="0044331E">
        <w:rPr>
          <w:rStyle w:val="lev"/>
          <w:rFonts w:ascii="Open Sans" w:hAnsi="Open Sans" w:cs="Open Sans"/>
          <w:color w:val="2F2F2F"/>
          <w:sz w:val="23"/>
          <w:szCs w:val="23"/>
          <w:u w:val="single"/>
        </w:rPr>
        <w:t xml:space="preserve"> ci-dessous :</w:t>
      </w:r>
    </w:p>
    <w:p w14:paraId="1D494703" w14:textId="77777777" w:rsidR="006C3B5B" w:rsidRDefault="006C3B5B" w:rsidP="009A0F69">
      <w:pPr>
        <w:jc w:val="both"/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</w:pPr>
    </w:p>
    <w:p w14:paraId="1F36075F" w14:textId="77777777" w:rsidR="009A0F69" w:rsidRDefault="009243F8" w:rsidP="009A0F69">
      <w:pPr>
        <w:jc w:val="both"/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</w:pPr>
      <w:r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Les délais</w:t>
      </w:r>
      <w:r w:rsidR="00AC16F6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 de remise sont précisés dans le</w:t>
      </w:r>
      <w:r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 tableau ci-dessous : </w:t>
      </w:r>
    </w:p>
    <w:tbl>
      <w:tblPr>
        <w:tblpPr w:leftFromText="141" w:rightFromText="141" w:vertAnchor="text" w:horzAnchor="page" w:tblpX="1866" w:tblpY="203"/>
        <w:tblW w:w="7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2700"/>
        <w:gridCol w:w="2700"/>
      </w:tblGrid>
      <w:tr w:rsidR="009A0F69" w:rsidRPr="00687951" w14:paraId="6B04AD74" w14:textId="77777777" w:rsidTr="00FC44D6">
        <w:trPr>
          <w:trHeight w:val="367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593B6" w14:textId="77777777" w:rsidR="009A0F69" w:rsidRPr="00687951" w:rsidRDefault="009A0F69" w:rsidP="007E4EF3">
            <w:pPr>
              <w:spacing w:after="0" w:line="240" w:lineRule="auto"/>
              <w:rPr>
                <w:rFonts w:eastAsia="Times New Roman" w:cs="Times New Roman"/>
              </w:rPr>
            </w:pPr>
            <w:r w:rsidRPr="00687951">
              <w:rPr>
                <w:rFonts w:eastAsia="Times New Roman" w:cs="Times New Roman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14:paraId="14C0A2E8" w14:textId="77777777" w:rsidR="009A0F69" w:rsidRPr="00687951" w:rsidRDefault="009A0F69" w:rsidP="006C3B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proofErr w:type="spellStart"/>
            <w:proofErr w:type="gramStart"/>
            <w:r w:rsidRPr="00687951">
              <w:rPr>
                <w:rFonts w:eastAsia="Times New Roman" w:cs="Times New Roman"/>
                <w:b/>
                <w:bCs/>
              </w:rPr>
              <w:t>lcb</w:t>
            </w:r>
            <w:proofErr w:type="gramEnd"/>
            <w:r w:rsidRPr="00687951">
              <w:rPr>
                <w:rFonts w:eastAsia="Times New Roman" w:cs="Times New Roman"/>
                <w:b/>
                <w:bCs/>
              </w:rPr>
              <w:t>-ft-</w:t>
            </w:r>
            <w:r w:rsidR="006C3B5B">
              <w:rPr>
                <w:rFonts w:eastAsia="Times New Roman" w:cs="Times New Roman"/>
                <w:b/>
                <w:bCs/>
              </w:rPr>
              <w:t>ea</w:t>
            </w:r>
            <w:proofErr w:type="spellEnd"/>
            <w:r w:rsidRPr="00687951">
              <w:rPr>
                <w:rFonts w:eastAsia="Times New Roman" w:cs="Times New Roman"/>
                <w:b/>
                <w:bCs/>
              </w:rPr>
              <w:t xml:space="preserve"> : </w:t>
            </w:r>
            <w:r w:rsidRPr="00687951">
              <w:rPr>
                <w:rFonts w:eastAsia="Times New Roman" w:cs="Times New Roman"/>
              </w:rPr>
              <w:t>tableaux hors approche groupe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14:paraId="3D366670" w14:textId="77777777" w:rsidR="009A0F69" w:rsidRPr="00687951" w:rsidRDefault="009A0F69" w:rsidP="007E4E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proofErr w:type="spellStart"/>
            <w:proofErr w:type="gramStart"/>
            <w:r w:rsidRPr="00687951">
              <w:rPr>
                <w:rFonts w:eastAsia="Times New Roman" w:cs="Times New Roman"/>
                <w:b/>
                <w:bCs/>
              </w:rPr>
              <w:t>lcb</w:t>
            </w:r>
            <w:proofErr w:type="gramEnd"/>
            <w:r w:rsidRPr="00687951">
              <w:rPr>
                <w:rFonts w:eastAsia="Times New Roman" w:cs="Times New Roman"/>
                <w:b/>
                <w:bCs/>
              </w:rPr>
              <w:t>-ft-gpe</w:t>
            </w:r>
            <w:proofErr w:type="spellEnd"/>
            <w:r w:rsidRPr="00687951">
              <w:rPr>
                <w:rFonts w:eastAsia="Times New Roman" w:cs="Times New Roman"/>
                <w:b/>
                <w:bCs/>
              </w:rPr>
              <w:t xml:space="preserve"> : </w:t>
            </w:r>
            <w:r w:rsidRPr="00687951">
              <w:rPr>
                <w:rFonts w:eastAsia="Times New Roman" w:cs="Times New Roman"/>
              </w:rPr>
              <w:t>tableaux - approche groupe</w:t>
            </w:r>
          </w:p>
        </w:tc>
      </w:tr>
      <w:tr w:rsidR="009A0F69" w:rsidRPr="00687951" w14:paraId="3D12A9AD" w14:textId="77777777" w:rsidTr="00FC44D6">
        <w:trPr>
          <w:trHeight w:val="18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2D7F2205" w14:textId="77777777" w:rsidR="009A0F69" w:rsidRPr="00687951" w:rsidRDefault="009A0F69" w:rsidP="007E4EF3">
            <w:pPr>
              <w:spacing w:after="0" w:line="240" w:lineRule="auto"/>
              <w:rPr>
                <w:rFonts w:eastAsia="Times New Roman" w:cs="Times New Roman"/>
              </w:rPr>
            </w:pPr>
            <w:r w:rsidRPr="00687951">
              <w:rPr>
                <w:rFonts w:eastAsia="Times New Roman" w:cs="Times New Roman"/>
              </w:rPr>
              <w:t>Date limite de remise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DC6F" w14:textId="77777777" w:rsidR="009A0F69" w:rsidRPr="00687951" w:rsidRDefault="009A0F69" w:rsidP="007E4EF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87951">
              <w:rPr>
                <w:rFonts w:eastAsia="Times New Roman" w:cs="Times New Roman"/>
              </w:rPr>
              <w:t>31-mars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2DCB" w14:textId="77777777" w:rsidR="009A0F69" w:rsidRPr="00687951" w:rsidRDefault="009A0F69" w:rsidP="007E4EF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87951">
              <w:rPr>
                <w:rFonts w:eastAsia="Times New Roman" w:cs="Times New Roman"/>
              </w:rPr>
              <w:t>30-juin</w:t>
            </w:r>
          </w:p>
        </w:tc>
      </w:tr>
    </w:tbl>
    <w:p w14:paraId="10042A7E" w14:textId="77777777" w:rsidR="009A0F69" w:rsidRDefault="009A0F69" w:rsidP="009A0F69">
      <w:pPr>
        <w:tabs>
          <w:tab w:val="left" w:pos="1838"/>
        </w:tabs>
      </w:pPr>
    </w:p>
    <w:p w14:paraId="0ADED2AF" w14:textId="77777777" w:rsidR="009A0F69" w:rsidRDefault="009A0F69" w:rsidP="009A0F69">
      <w:pPr>
        <w:tabs>
          <w:tab w:val="left" w:pos="1838"/>
        </w:tabs>
      </w:pPr>
    </w:p>
    <w:p w14:paraId="21452BD0" w14:textId="77777777" w:rsidR="009A0F69" w:rsidRDefault="009A0F69" w:rsidP="009A0F69">
      <w:pPr>
        <w:tabs>
          <w:tab w:val="left" w:pos="1838"/>
        </w:tabs>
      </w:pPr>
    </w:p>
    <w:p w14:paraId="75AE92CA" w14:textId="77777777" w:rsidR="0062557F" w:rsidRDefault="0062557F" w:rsidP="005268CE">
      <w:pPr>
        <w:jc w:val="both"/>
        <w:rPr>
          <w:rStyle w:val="Lienhypertexte"/>
          <w:color w:val="003B7D"/>
          <w:shd w:val="clear" w:color="auto" w:fill="FFFFFF"/>
        </w:rPr>
      </w:pPr>
    </w:p>
    <w:p w14:paraId="3762B131" w14:textId="77777777" w:rsidR="005360BF" w:rsidRPr="00F108C7" w:rsidRDefault="005360BF" w:rsidP="005360BF">
      <w:pPr>
        <w:jc w:val="both"/>
        <w:rPr>
          <w:rFonts w:ascii="Open Sans" w:eastAsia="Times New Roman" w:hAnsi="Open Sans" w:cs="Open Sans"/>
          <w:sz w:val="23"/>
          <w:szCs w:val="23"/>
          <w:lang w:eastAsia="fr-FR"/>
        </w:rPr>
      </w:pPr>
      <w:r w:rsidRPr="00F108C7">
        <w:rPr>
          <w:rFonts w:ascii="Open Sans" w:eastAsia="Times New Roman" w:hAnsi="Open Sans" w:cs="Open Sans"/>
          <w:sz w:val="23"/>
          <w:szCs w:val="23"/>
          <w:lang w:eastAsia="fr-FR"/>
        </w:rPr>
        <w:t>Retrouvez l'intégralité des échéances de remise dans la section </w:t>
      </w:r>
      <w:hyperlink r:id="rId8" w:history="1">
        <w:r w:rsidRPr="00F108C7">
          <w:rPr>
            <w:rStyle w:val="Lienhypertexte"/>
            <w:rFonts w:ascii="Open Sans" w:eastAsia="Times New Roman" w:hAnsi="Open Sans" w:cs="Open Sans"/>
            <w:b/>
            <w:bCs/>
            <w:sz w:val="23"/>
            <w:szCs w:val="23"/>
            <w:lang w:eastAsia="fr-FR"/>
          </w:rPr>
          <w:t>Remises</w:t>
        </w:r>
      </w:hyperlink>
      <w:r w:rsidRPr="00F108C7">
        <w:rPr>
          <w:rFonts w:ascii="Open Sans" w:eastAsia="Times New Roman" w:hAnsi="Open Sans" w:cs="Open Sans"/>
          <w:sz w:val="23"/>
          <w:szCs w:val="23"/>
          <w:lang w:eastAsia="fr-FR"/>
        </w:rPr>
        <w:t>.</w:t>
      </w:r>
    </w:p>
    <w:p w14:paraId="5E567F68" w14:textId="77777777" w:rsidR="005360BF" w:rsidRDefault="005360BF" w:rsidP="005268CE">
      <w:pPr>
        <w:jc w:val="both"/>
        <w:rPr>
          <w:rStyle w:val="Lienhypertexte"/>
          <w:color w:val="003B7D"/>
          <w:shd w:val="clear" w:color="auto" w:fill="FFFFFF"/>
        </w:rPr>
      </w:pPr>
    </w:p>
    <w:p w14:paraId="4542537B" w14:textId="77777777" w:rsidR="009243F8" w:rsidRDefault="009243F8" w:rsidP="009243F8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Open Sans" w:hAnsi="Open Sans" w:cs="Open Sans"/>
          <w:color w:val="2F2F2F"/>
          <w:sz w:val="23"/>
          <w:szCs w:val="23"/>
        </w:rPr>
      </w:pPr>
      <w:r>
        <w:rPr>
          <w:rFonts w:ascii="Open Sans" w:hAnsi="Open Sans" w:cs="Open Sans"/>
          <w:color w:val="2F2F2F"/>
          <w:sz w:val="23"/>
          <w:szCs w:val="23"/>
        </w:rPr>
        <w:t>***</w:t>
      </w:r>
    </w:p>
    <w:p w14:paraId="1C897884" w14:textId="77777777" w:rsidR="009243F8" w:rsidRDefault="009243F8" w:rsidP="009243F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lev"/>
          <w:rFonts w:ascii="Open Sans" w:hAnsi="Open Sans" w:cs="Open Sans"/>
          <w:color w:val="2F2F2F"/>
          <w:sz w:val="23"/>
          <w:szCs w:val="23"/>
          <w:u w:val="single"/>
        </w:rPr>
      </w:pPr>
      <w:r>
        <w:rPr>
          <w:rStyle w:val="lev"/>
          <w:rFonts w:ascii="Open Sans" w:hAnsi="Open Sans" w:cs="Open Sans"/>
          <w:color w:val="2F2F2F"/>
          <w:sz w:val="23"/>
          <w:szCs w:val="23"/>
          <w:u w:val="single"/>
        </w:rPr>
        <w:t>Note technique LCB-FT</w:t>
      </w:r>
      <w:r w:rsidR="00E146E3">
        <w:rPr>
          <w:rStyle w:val="lev"/>
          <w:rFonts w:ascii="Open Sans" w:hAnsi="Open Sans" w:cs="Open Sans"/>
          <w:color w:val="2F2F2F"/>
          <w:sz w:val="23"/>
          <w:szCs w:val="23"/>
          <w:u w:val="single"/>
        </w:rPr>
        <w:t xml:space="preserve"> et compte-rendu de traitement </w:t>
      </w:r>
    </w:p>
    <w:p w14:paraId="60E129D5" w14:textId="77777777" w:rsidR="00FC44D6" w:rsidRDefault="00FC44D6" w:rsidP="009243F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lev"/>
          <w:rFonts w:ascii="Open Sans" w:hAnsi="Open Sans" w:cs="Open Sans"/>
          <w:color w:val="2F2F2F"/>
          <w:sz w:val="23"/>
          <w:szCs w:val="23"/>
          <w:u w:val="single"/>
        </w:rPr>
      </w:pPr>
    </w:p>
    <w:p w14:paraId="390EADF7" w14:textId="0AA0DD48" w:rsidR="00AC16F6" w:rsidRPr="00AC16F6" w:rsidRDefault="00AC16F6" w:rsidP="00AC16F6">
      <w:pPr>
        <w:jc w:val="both"/>
        <w:rPr>
          <w:color w:val="2F2F2F"/>
        </w:rPr>
      </w:pPr>
      <w:r w:rsidRPr="00AC16F6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La note technique précisant les modalités de remise et le fonctionnement du portail OneGate est disponible dans la section « Informations Techniques » du site eSurfi.</w:t>
      </w:r>
    </w:p>
    <w:p w14:paraId="0334B18E" w14:textId="77777777" w:rsidR="00AC16F6" w:rsidRPr="00AC16F6" w:rsidRDefault="00AC16F6" w:rsidP="00AC16F6">
      <w:pPr>
        <w:jc w:val="both"/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</w:pPr>
      <w:r w:rsidRPr="00AC16F6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Point d’attention à noter lors du dépôt de la collecte sur OneGate car peut être source de rejet : nous vous invitons à vérifier la période de remise renseignée avant de procéder au dépôt. Pour la remise annuelle, il convient de sélectionner la date de référence (d’arrêté) 20XX-12, et non la date de remise (20XX-03 ou 20XX-06)</w:t>
      </w:r>
    </w:p>
    <w:p w14:paraId="178C3961" w14:textId="77777777" w:rsidR="009A0F69" w:rsidRDefault="009A0F69" w:rsidP="009A0F69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Open Sans" w:hAnsi="Open Sans" w:cs="Open Sans"/>
          <w:color w:val="2F2F2F"/>
          <w:sz w:val="23"/>
          <w:szCs w:val="23"/>
        </w:rPr>
      </w:pPr>
      <w:r>
        <w:rPr>
          <w:rFonts w:ascii="Open Sans" w:hAnsi="Open Sans" w:cs="Open Sans"/>
          <w:color w:val="2F2F2F"/>
          <w:sz w:val="23"/>
          <w:szCs w:val="23"/>
        </w:rPr>
        <w:lastRenderedPageBreak/>
        <w:t>***</w:t>
      </w:r>
    </w:p>
    <w:p w14:paraId="7981F8D5" w14:textId="77777777" w:rsidR="00B22CCD" w:rsidRDefault="00B22CCD" w:rsidP="00B22CC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lev"/>
          <w:rFonts w:ascii="Open Sans" w:hAnsi="Open Sans" w:cs="Open Sans"/>
          <w:color w:val="2F2F2F"/>
          <w:sz w:val="23"/>
          <w:szCs w:val="23"/>
          <w:u w:val="single"/>
        </w:rPr>
      </w:pPr>
      <w:r>
        <w:rPr>
          <w:rStyle w:val="lev"/>
          <w:rFonts w:ascii="Open Sans" w:hAnsi="Open Sans" w:cs="Open Sans"/>
          <w:color w:val="2F2F2F"/>
          <w:sz w:val="23"/>
          <w:szCs w:val="23"/>
          <w:u w:val="single"/>
        </w:rPr>
        <w:t>Maquettes Excel pour une remise au format bureautique</w:t>
      </w:r>
    </w:p>
    <w:p w14:paraId="0A33F5DF" w14:textId="77777777" w:rsidR="00B22CCD" w:rsidRDefault="00B22CCD" w:rsidP="00B22CCD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Open Sans" w:hAnsi="Open Sans" w:cs="Open Sans"/>
          <w:color w:val="2F2F2F"/>
          <w:sz w:val="23"/>
          <w:szCs w:val="23"/>
          <w:u w:val="single"/>
        </w:rPr>
      </w:pPr>
    </w:p>
    <w:p w14:paraId="066C3479" w14:textId="4273CA69" w:rsidR="00B22CCD" w:rsidRPr="00B22CCD" w:rsidRDefault="00B22CCD" w:rsidP="00FC44D6">
      <w:pPr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</w:pPr>
      <w:r w:rsidRPr="00B22CCD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Les maquettes Excel sont disponibles dans la section </w:t>
      </w:r>
      <w:hyperlink r:id="rId9" w:tgtFrame="_blank" w:history="1">
        <w:r w:rsidR="009A5B60" w:rsidRPr="009A5B60">
          <w:rPr>
            <w:rStyle w:val="Lienhypertexte"/>
            <w:rFonts w:ascii="Open Sans" w:eastAsia="Times New Roman" w:hAnsi="Open Sans" w:cs="Open Sans"/>
            <w:b/>
            <w:bCs/>
            <w:sz w:val="23"/>
            <w:szCs w:val="23"/>
            <w:lang w:eastAsia="fr-FR"/>
          </w:rPr>
          <w:t>États et notices</w:t>
        </w:r>
      </w:hyperlink>
      <w:r w:rsidRPr="00B22CCD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 du site </w:t>
      </w:r>
      <w:r w:rsidR="00FC44D6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eSurfi.</w:t>
      </w:r>
      <w:r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 </w:t>
      </w:r>
    </w:p>
    <w:p w14:paraId="0025ABE0" w14:textId="77777777" w:rsidR="009A0F69" w:rsidRDefault="009A0F69" w:rsidP="009A0F69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Open Sans" w:hAnsi="Open Sans" w:cs="Open Sans"/>
          <w:color w:val="2F2F2F"/>
          <w:sz w:val="23"/>
          <w:szCs w:val="23"/>
        </w:rPr>
      </w:pPr>
      <w:r>
        <w:rPr>
          <w:rFonts w:ascii="Open Sans" w:hAnsi="Open Sans" w:cs="Open Sans"/>
          <w:color w:val="2F2F2F"/>
          <w:sz w:val="23"/>
          <w:szCs w:val="23"/>
        </w:rPr>
        <w:t>***</w:t>
      </w:r>
    </w:p>
    <w:p w14:paraId="403F6068" w14:textId="77777777" w:rsidR="009A0F69" w:rsidRDefault="009A0F69" w:rsidP="009A0F6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2F2F2F"/>
          <w:sz w:val="23"/>
          <w:szCs w:val="23"/>
        </w:rPr>
      </w:pPr>
      <w:r>
        <w:rPr>
          <w:rStyle w:val="lev"/>
          <w:rFonts w:ascii="Open Sans" w:hAnsi="Open Sans" w:cs="Open Sans"/>
          <w:color w:val="2F2F2F"/>
          <w:sz w:val="23"/>
          <w:szCs w:val="23"/>
          <w:u w:val="single"/>
        </w:rPr>
        <w:t>Ouverture des tests en homologation</w:t>
      </w:r>
    </w:p>
    <w:p w14:paraId="5A6239D1" w14:textId="77777777" w:rsidR="009A0F69" w:rsidRDefault="009A0F69" w:rsidP="009A0F69"/>
    <w:p w14:paraId="0550EC75" w14:textId="77777777" w:rsidR="009A0F69" w:rsidRDefault="009A0F69" w:rsidP="009A0F69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Open Sans" w:hAnsi="Open Sans" w:cs="Open Sans"/>
          <w:color w:val="2F2F2F"/>
          <w:sz w:val="23"/>
          <w:szCs w:val="23"/>
        </w:rPr>
      </w:pPr>
      <w:r>
        <w:rPr>
          <w:rFonts w:ascii="Open Sans" w:hAnsi="Open Sans" w:cs="Open Sans"/>
          <w:color w:val="2F2F2F"/>
          <w:sz w:val="23"/>
          <w:szCs w:val="23"/>
        </w:rPr>
        <w:t>L’environnemen</w:t>
      </w:r>
      <w:r w:rsidR="00AC16F6">
        <w:rPr>
          <w:rFonts w:ascii="Open Sans" w:hAnsi="Open Sans" w:cs="Open Sans"/>
          <w:color w:val="2F2F2F"/>
          <w:sz w:val="23"/>
          <w:szCs w:val="23"/>
        </w:rPr>
        <w:t>t d’homologation du portail OneG</w:t>
      </w:r>
      <w:r>
        <w:rPr>
          <w:rFonts w:ascii="Open Sans" w:hAnsi="Open Sans" w:cs="Open Sans"/>
          <w:color w:val="2F2F2F"/>
          <w:sz w:val="23"/>
          <w:szCs w:val="23"/>
        </w:rPr>
        <w:t xml:space="preserve">ate (Onegate Test) est actuellement ouvert pour recevoir des remises tests LCB-FT au format XBRL ou au format bureautique Excel. </w:t>
      </w:r>
      <w:r w:rsidRPr="009A0F69">
        <w:rPr>
          <w:rFonts w:ascii="Open Sans" w:hAnsi="Open Sans" w:cs="Open Sans"/>
          <w:color w:val="2F2F2F"/>
          <w:sz w:val="23"/>
          <w:szCs w:val="23"/>
          <w:u w:val="single"/>
        </w:rPr>
        <w:t xml:space="preserve">Nous encourageons les </w:t>
      </w:r>
      <w:r w:rsidR="006C3B5B">
        <w:rPr>
          <w:rFonts w:ascii="Open Sans" w:hAnsi="Open Sans" w:cs="Open Sans"/>
          <w:color w:val="2F2F2F"/>
          <w:sz w:val="23"/>
          <w:szCs w:val="23"/>
          <w:u w:val="single"/>
        </w:rPr>
        <w:t>organismes</w:t>
      </w:r>
      <w:r w:rsidRPr="009A0F69">
        <w:rPr>
          <w:rFonts w:ascii="Open Sans" w:hAnsi="Open Sans" w:cs="Open Sans"/>
          <w:color w:val="2F2F2F"/>
          <w:sz w:val="23"/>
          <w:szCs w:val="23"/>
          <w:u w:val="single"/>
        </w:rPr>
        <w:t xml:space="preserve"> à tester leurs remises</w:t>
      </w:r>
      <w:r>
        <w:rPr>
          <w:rFonts w:ascii="Open Sans" w:hAnsi="Open Sans" w:cs="Open Sans"/>
          <w:color w:val="2F2F2F"/>
          <w:sz w:val="23"/>
          <w:szCs w:val="23"/>
        </w:rPr>
        <w:t xml:space="preserve"> en amont, en homologation, afin de prendre connaissance des éventuelles anomalies avant soumission en production.</w:t>
      </w:r>
    </w:p>
    <w:p w14:paraId="0C8BFCB4" w14:textId="67389675" w:rsidR="009A0F69" w:rsidRPr="00B22CCD" w:rsidRDefault="00AC16F6" w:rsidP="00B22CCD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Open Sans" w:hAnsi="Open Sans" w:cs="Open Sans"/>
          <w:color w:val="2F2F2F"/>
          <w:sz w:val="23"/>
          <w:szCs w:val="23"/>
        </w:rPr>
      </w:pPr>
      <w:r>
        <w:rPr>
          <w:rFonts w:ascii="Open Sans" w:hAnsi="Open Sans" w:cs="Open Sans"/>
          <w:color w:val="2F2F2F"/>
          <w:sz w:val="23"/>
          <w:szCs w:val="23"/>
        </w:rPr>
        <w:t>Le portail OneG</w:t>
      </w:r>
      <w:r w:rsidR="009A0F69">
        <w:rPr>
          <w:rFonts w:ascii="Open Sans" w:hAnsi="Open Sans" w:cs="Open Sans"/>
          <w:color w:val="2F2F2F"/>
          <w:sz w:val="23"/>
          <w:szCs w:val="23"/>
        </w:rPr>
        <w:t>ate Production se</w:t>
      </w:r>
      <w:r w:rsidR="008B3F46">
        <w:rPr>
          <w:rFonts w:ascii="Open Sans" w:hAnsi="Open Sans" w:cs="Open Sans"/>
          <w:color w:val="2F2F2F"/>
          <w:sz w:val="23"/>
          <w:szCs w:val="23"/>
        </w:rPr>
        <w:t xml:space="preserve">ra disponible </w:t>
      </w:r>
      <w:r w:rsidR="00875613">
        <w:rPr>
          <w:rFonts w:ascii="Open Sans" w:hAnsi="Open Sans" w:cs="Open Sans"/>
          <w:color w:val="2F2F2F"/>
          <w:sz w:val="23"/>
          <w:szCs w:val="23"/>
        </w:rPr>
        <w:t>à partir de</w:t>
      </w:r>
      <w:r w:rsidR="008B3F46">
        <w:rPr>
          <w:rFonts w:ascii="Open Sans" w:hAnsi="Open Sans" w:cs="Open Sans"/>
          <w:color w:val="2F2F2F"/>
          <w:sz w:val="23"/>
          <w:szCs w:val="23"/>
        </w:rPr>
        <w:t xml:space="preserve"> janvier </w:t>
      </w:r>
      <w:r w:rsidR="008B3F46" w:rsidRPr="002C1A2E">
        <w:rPr>
          <w:rFonts w:ascii="Open Sans" w:hAnsi="Open Sans" w:cs="Open Sans"/>
          <w:color w:val="2F2F2F"/>
          <w:sz w:val="23"/>
          <w:szCs w:val="23"/>
        </w:rPr>
        <w:t>202</w:t>
      </w:r>
      <w:r w:rsidR="005360BF" w:rsidRPr="002C1A2E">
        <w:rPr>
          <w:rFonts w:ascii="Open Sans" w:hAnsi="Open Sans" w:cs="Open Sans"/>
          <w:color w:val="2F2F2F"/>
          <w:sz w:val="23"/>
          <w:szCs w:val="23"/>
        </w:rPr>
        <w:t>6</w:t>
      </w:r>
      <w:r w:rsidR="009A0F69" w:rsidRPr="002C1A2E">
        <w:rPr>
          <w:rFonts w:ascii="Open Sans" w:hAnsi="Open Sans" w:cs="Open Sans"/>
          <w:color w:val="2F2F2F"/>
          <w:sz w:val="23"/>
          <w:szCs w:val="23"/>
        </w:rPr>
        <w:t>.</w:t>
      </w:r>
    </w:p>
    <w:p w14:paraId="716A41B5" w14:textId="77777777" w:rsidR="009A0F69" w:rsidRPr="009A0F69" w:rsidRDefault="009A0F69" w:rsidP="009A0F69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Open Sans" w:hAnsi="Open Sans" w:cs="Open Sans"/>
          <w:color w:val="2F2F2F"/>
          <w:sz w:val="23"/>
          <w:szCs w:val="23"/>
        </w:rPr>
      </w:pPr>
      <w:r>
        <w:rPr>
          <w:rFonts w:ascii="Open Sans" w:hAnsi="Open Sans" w:cs="Open Sans"/>
          <w:color w:val="2F2F2F"/>
          <w:sz w:val="23"/>
          <w:szCs w:val="23"/>
        </w:rPr>
        <w:t>***</w:t>
      </w:r>
    </w:p>
    <w:p w14:paraId="14679F10" w14:textId="77777777" w:rsidR="009A0F69" w:rsidRPr="009A0F69" w:rsidRDefault="009A0F69" w:rsidP="009A0F6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lev"/>
          <w:rFonts w:ascii="Open Sans" w:hAnsi="Open Sans" w:cs="Open Sans"/>
          <w:color w:val="2F2F2F"/>
          <w:sz w:val="23"/>
          <w:szCs w:val="23"/>
          <w:u w:val="single"/>
        </w:rPr>
      </w:pPr>
      <w:r w:rsidRPr="009A0F69">
        <w:rPr>
          <w:rStyle w:val="lev"/>
          <w:rFonts w:ascii="Open Sans" w:hAnsi="Open Sans" w:cs="Open Sans"/>
          <w:color w:val="2F2F2F"/>
          <w:sz w:val="23"/>
          <w:szCs w:val="23"/>
          <w:u w:val="single"/>
        </w:rPr>
        <w:t xml:space="preserve">Accréditation </w:t>
      </w:r>
      <w:r>
        <w:rPr>
          <w:rStyle w:val="lev"/>
          <w:rFonts w:ascii="Open Sans" w:hAnsi="Open Sans" w:cs="Open Sans"/>
          <w:color w:val="2F2F2F"/>
          <w:sz w:val="23"/>
          <w:szCs w:val="23"/>
          <w:u w:val="single"/>
        </w:rPr>
        <w:t>au portail OneGate</w:t>
      </w:r>
    </w:p>
    <w:p w14:paraId="664DE846" w14:textId="77777777" w:rsidR="009A0F69" w:rsidRDefault="009A0F69" w:rsidP="009A0F69">
      <w:pPr>
        <w:tabs>
          <w:tab w:val="left" w:pos="2394"/>
        </w:tabs>
      </w:pPr>
    </w:p>
    <w:p w14:paraId="55D4BFDD" w14:textId="77777777" w:rsidR="00AC16F6" w:rsidRPr="009A0F69" w:rsidRDefault="00AC16F6" w:rsidP="00AC16F6">
      <w:pPr>
        <w:jc w:val="both"/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</w:pPr>
      <w:r w:rsidRPr="009A0F69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Afin de procéder au dépôt des remises LCB-FT, les remettants doivent être accrédités à la collecte </w:t>
      </w:r>
      <w:r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SOLVA. </w:t>
      </w:r>
      <w:r w:rsidRPr="009A0F69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Cette demande s’effectue sur le portail OneGate. Vous trouverez, ci-dessous, la procédure de demande d’extension de droits sur le LEI :</w:t>
      </w:r>
    </w:p>
    <w:p w14:paraId="39B4FE43" w14:textId="48FDA26D" w:rsidR="005360BF" w:rsidRPr="0026137C" w:rsidRDefault="005360BF" w:rsidP="00AC16F6">
      <w:pPr>
        <w:jc w:val="both"/>
        <w:rPr>
          <w:rFonts w:ascii="Open Sans" w:eastAsia="Times New Roman" w:hAnsi="Open Sans" w:cs="Open Sans"/>
          <w:color w:val="0070C0"/>
          <w:sz w:val="23"/>
          <w:szCs w:val="23"/>
          <w:u w:val="single"/>
          <w:lang w:eastAsia="fr-FR"/>
        </w:rPr>
      </w:pPr>
      <w:r w:rsidRPr="005360BF">
        <w:rPr>
          <w:rFonts w:ascii="Open Sans" w:eastAsia="Times New Roman" w:hAnsi="Open Sans" w:cs="Open Sans"/>
          <w:color w:val="0070C0"/>
          <w:sz w:val="23"/>
          <w:szCs w:val="23"/>
          <w:u w:val="single"/>
          <w:lang w:eastAsia="fr-FR"/>
        </w:rPr>
        <w:t>https://esurfi.banque-france.fr/system/files/2024-11/procedure_demande_extension_de_droits_lei_2023_1.docx</w:t>
      </w:r>
    </w:p>
    <w:p w14:paraId="427C797D" w14:textId="77777777" w:rsidR="00AC16F6" w:rsidRPr="00AC16F6" w:rsidRDefault="00AC16F6" w:rsidP="00AC16F6">
      <w:pPr>
        <w:jc w:val="both"/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</w:pPr>
      <w:r w:rsidRPr="00AC16F6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Dans OneGate, les domaines de dépôt sont :</w:t>
      </w:r>
    </w:p>
    <w:p w14:paraId="3C4D8827" w14:textId="77777777" w:rsidR="00AC16F6" w:rsidRPr="00AC16F6" w:rsidRDefault="00AC16F6" w:rsidP="00AC16F6">
      <w:pPr>
        <w:pStyle w:val="Paragraphedeliste"/>
        <w:numPr>
          <w:ilvl w:val="0"/>
          <w:numId w:val="12"/>
        </w:numPr>
        <w:spacing w:line="254" w:lineRule="auto"/>
        <w:jc w:val="both"/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</w:pPr>
      <w:r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« DBA</w:t>
      </w:r>
      <w:r w:rsidRPr="00AC16F6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 » pour les remises au format bureautique avec la maquette Excel</w:t>
      </w:r>
    </w:p>
    <w:p w14:paraId="056D0E8C" w14:textId="77777777" w:rsidR="00AC16F6" w:rsidRPr="00AC16F6" w:rsidRDefault="00AC16F6" w:rsidP="00AC16F6">
      <w:pPr>
        <w:pStyle w:val="Paragraphedeliste"/>
        <w:numPr>
          <w:ilvl w:val="0"/>
          <w:numId w:val="12"/>
        </w:numPr>
        <w:spacing w:line="254" w:lineRule="auto"/>
        <w:jc w:val="both"/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</w:pPr>
      <w:r w:rsidRPr="00AC16F6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« BL</w:t>
      </w:r>
      <w:r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A</w:t>
      </w:r>
      <w:r w:rsidRPr="00AC16F6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 xml:space="preserve"> » pour les remises au format </w:t>
      </w:r>
      <w:proofErr w:type="spellStart"/>
      <w:r w:rsidRPr="00AC16F6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xbrl</w:t>
      </w:r>
      <w:proofErr w:type="spellEnd"/>
      <w:r w:rsidRPr="00AC16F6">
        <w:rPr>
          <w:rFonts w:ascii="Open Sans" w:eastAsia="Times New Roman" w:hAnsi="Open Sans" w:cs="Open Sans"/>
          <w:color w:val="2F2F2F"/>
          <w:sz w:val="23"/>
          <w:szCs w:val="23"/>
          <w:lang w:eastAsia="fr-FR"/>
        </w:rPr>
        <w:t>-xml</w:t>
      </w:r>
    </w:p>
    <w:p w14:paraId="43D3C42F" w14:textId="77777777" w:rsidR="00B22CCD" w:rsidRPr="009A0F69" w:rsidRDefault="00B22CCD" w:rsidP="00B22CCD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Open Sans" w:hAnsi="Open Sans" w:cs="Open Sans"/>
          <w:color w:val="2F2F2F"/>
          <w:sz w:val="23"/>
          <w:szCs w:val="23"/>
        </w:rPr>
      </w:pPr>
      <w:r>
        <w:rPr>
          <w:rFonts w:ascii="Open Sans" w:hAnsi="Open Sans" w:cs="Open Sans"/>
          <w:color w:val="2F2F2F"/>
          <w:sz w:val="23"/>
          <w:szCs w:val="23"/>
        </w:rPr>
        <w:t>***</w:t>
      </w:r>
    </w:p>
    <w:p w14:paraId="2E1A292D" w14:textId="77777777" w:rsidR="00B22CCD" w:rsidRDefault="00B22CCD" w:rsidP="00B22CC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lev"/>
          <w:rFonts w:ascii="Open Sans" w:hAnsi="Open Sans" w:cs="Open Sans"/>
          <w:color w:val="2F2F2F"/>
          <w:sz w:val="23"/>
          <w:szCs w:val="23"/>
          <w:u w:val="single"/>
        </w:rPr>
      </w:pPr>
      <w:r>
        <w:rPr>
          <w:rStyle w:val="lev"/>
          <w:rFonts w:ascii="Open Sans" w:hAnsi="Open Sans" w:cs="Open Sans"/>
          <w:color w:val="2F2F2F"/>
          <w:sz w:val="23"/>
          <w:szCs w:val="23"/>
          <w:u w:val="single"/>
        </w:rPr>
        <w:t>Documentation</w:t>
      </w:r>
    </w:p>
    <w:p w14:paraId="3CAA5E9E" w14:textId="77777777" w:rsidR="00B22CCD" w:rsidRDefault="00B22CCD" w:rsidP="00B22CC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lev"/>
          <w:rFonts w:ascii="Open Sans" w:hAnsi="Open Sans" w:cs="Open Sans"/>
          <w:color w:val="2F2F2F"/>
          <w:sz w:val="23"/>
          <w:szCs w:val="23"/>
          <w:u w:val="single"/>
        </w:rPr>
      </w:pPr>
    </w:p>
    <w:p w14:paraId="6EFCA0DF" w14:textId="2809C616" w:rsidR="00AC16F6" w:rsidRPr="00AC16F6" w:rsidRDefault="00AC16F6" w:rsidP="00AC16F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F2F2F"/>
          <w:sz w:val="23"/>
          <w:szCs w:val="23"/>
        </w:rPr>
      </w:pPr>
      <w:r w:rsidRPr="00AC16F6">
        <w:rPr>
          <w:rFonts w:ascii="Open Sans" w:hAnsi="Open Sans" w:cs="Open Sans"/>
          <w:color w:val="2F2F2F"/>
          <w:sz w:val="23"/>
          <w:szCs w:val="23"/>
        </w:rPr>
        <w:t>NOTE TECHNIQUE 202</w:t>
      </w:r>
      <w:r w:rsidR="009A5B60">
        <w:rPr>
          <w:rFonts w:ascii="Open Sans" w:hAnsi="Open Sans" w:cs="Open Sans"/>
          <w:color w:val="2F2F2F"/>
          <w:sz w:val="23"/>
          <w:szCs w:val="23"/>
        </w:rPr>
        <w:t>5</w:t>
      </w:r>
      <w:r w:rsidRPr="00AC16F6">
        <w:rPr>
          <w:rFonts w:ascii="Open Sans" w:hAnsi="Open Sans" w:cs="Open Sans"/>
          <w:color w:val="2F2F2F"/>
          <w:sz w:val="23"/>
          <w:szCs w:val="23"/>
        </w:rPr>
        <w:t>_LCBFT_Assurance V.1.</w:t>
      </w:r>
      <w:r w:rsidR="009A5B60">
        <w:rPr>
          <w:rFonts w:ascii="Open Sans" w:hAnsi="Open Sans" w:cs="Open Sans"/>
          <w:color w:val="2F2F2F"/>
          <w:sz w:val="23"/>
          <w:szCs w:val="23"/>
        </w:rPr>
        <w:t>3</w:t>
      </w:r>
      <w:r w:rsidRPr="00AC16F6">
        <w:rPr>
          <w:rFonts w:ascii="Open Sans" w:hAnsi="Open Sans" w:cs="Open Sans"/>
          <w:color w:val="2F2F2F"/>
          <w:sz w:val="23"/>
          <w:szCs w:val="23"/>
        </w:rPr>
        <w:t xml:space="preserve"> disponible sur le site eSurfi Assurance</w:t>
      </w:r>
    </w:p>
    <w:p w14:paraId="643F5AE2" w14:textId="655B0F64" w:rsidR="009A0F69" w:rsidRPr="005360BF" w:rsidRDefault="00B22CCD" w:rsidP="0052013C">
      <w:pPr>
        <w:pStyle w:val="NormalWeb"/>
        <w:numPr>
          <w:ilvl w:val="0"/>
          <w:numId w:val="11"/>
        </w:numPr>
        <w:shd w:val="clear" w:color="auto" w:fill="FFFFFF"/>
        <w:tabs>
          <w:tab w:val="left" w:pos="2449"/>
        </w:tabs>
        <w:spacing w:before="0" w:beforeAutospacing="0" w:after="0" w:afterAutospacing="0"/>
        <w:rPr>
          <w:rFonts w:ascii="Open Sans" w:hAnsi="Open Sans" w:cs="Open Sans"/>
          <w:sz w:val="20"/>
          <w:szCs w:val="23"/>
        </w:rPr>
      </w:pPr>
      <w:r w:rsidRPr="005360BF">
        <w:rPr>
          <w:rStyle w:val="lev"/>
          <w:rFonts w:ascii="Open Sans" w:hAnsi="Open Sans" w:cs="Open Sans"/>
          <w:b w:val="0"/>
          <w:color w:val="2F2F2F"/>
          <w:sz w:val="23"/>
          <w:szCs w:val="23"/>
        </w:rPr>
        <w:t xml:space="preserve">Taxonomie LCB-FT : </w:t>
      </w:r>
      <w:hyperlink r:id="rId10" w:history="1">
        <w:r w:rsidR="005360BF" w:rsidRPr="005360BF">
          <w:rPr>
            <w:rStyle w:val="Lienhypertexte"/>
            <w:rFonts w:ascii="Open Sans" w:hAnsi="Open Sans" w:cs="Open Sans"/>
          </w:rPr>
          <w:t>Taxonomie LCB-FT 2.4.0.1 | eSurfi Banque et Assurance</w:t>
        </w:r>
      </w:hyperlink>
    </w:p>
    <w:sectPr w:rsidR="009A0F69" w:rsidRPr="00536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1636" w14:textId="77777777" w:rsidR="00466F25" w:rsidRDefault="00466F25" w:rsidP="009A0F69">
      <w:pPr>
        <w:spacing w:after="0" w:line="240" w:lineRule="auto"/>
      </w:pPr>
      <w:r>
        <w:separator/>
      </w:r>
    </w:p>
  </w:endnote>
  <w:endnote w:type="continuationSeparator" w:id="0">
    <w:p w14:paraId="51437490" w14:textId="77777777" w:rsidR="00466F25" w:rsidRDefault="00466F25" w:rsidP="009A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FC261" w14:textId="77777777" w:rsidR="00466F25" w:rsidRDefault="00466F25" w:rsidP="009A0F69">
      <w:pPr>
        <w:spacing w:after="0" w:line="240" w:lineRule="auto"/>
      </w:pPr>
      <w:r>
        <w:separator/>
      </w:r>
    </w:p>
  </w:footnote>
  <w:footnote w:type="continuationSeparator" w:id="0">
    <w:p w14:paraId="217FD14B" w14:textId="77777777" w:rsidR="00466F25" w:rsidRDefault="00466F25" w:rsidP="009A0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704A"/>
    <w:multiLevelType w:val="hybridMultilevel"/>
    <w:tmpl w:val="6024ABF6"/>
    <w:lvl w:ilvl="0" w:tplc="B5D071F2">
      <w:start w:val="1"/>
      <w:numFmt w:val="bullet"/>
      <w:lvlText w:val="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733383"/>
    <w:multiLevelType w:val="hybridMultilevel"/>
    <w:tmpl w:val="1A2EDA9A"/>
    <w:lvl w:ilvl="0" w:tplc="38BAA1DA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6C30E1F0">
      <w:numFmt w:val="bullet"/>
      <w:lvlText w:val=""/>
      <w:lvlJc w:val="left"/>
      <w:pPr>
        <w:ind w:left="1070" w:hanging="360"/>
      </w:pPr>
      <w:rPr>
        <w:rFonts w:ascii="Wingdings" w:eastAsiaTheme="minorHAnsi" w:hAnsi="Wingdings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45597"/>
    <w:multiLevelType w:val="hybridMultilevel"/>
    <w:tmpl w:val="CE66B886"/>
    <w:lvl w:ilvl="0" w:tplc="B5D071F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A427C"/>
    <w:multiLevelType w:val="hybridMultilevel"/>
    <w:tmpl w:val="837C9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6783B"/>
    <w:multiLevelType w:val="hybridMultilevel"/>
    <w:tmpl w:val="A686DD7A"/>
    <w:lvl w:ilvl="0" w:tplc="6C30E1F0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32D14EB"/>
    <w:multiLevelType w:val="hybridMultilevel"/>
    <w:tmpl w:val="53042648"/>
    <w:lvl w:ilvl="0" w:tplc="B5D071F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465BC"/>
    <w:multiLevelType w:val="multilevel"/>
    <w:tmpl w:val="539C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552A7"/>
    <w:multiLevelType w:val="hybridMultilevel"/>
    <w:tmpl w:val="3F145124"/>
    <w:lvl w:ilvl="0" w:tplc="6C30E1F0">
      <w:numFmt w:val="bullet"/>
      <w:lvlText w:val=""/>
      <w:lvlJc w:val="left"/>
      <w:pPr>
        <w:ind w:left="107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0494439"/>
    <w:multiLevelType w:val="hybridMultilevel"/>
    <w:tmpl w:val="1FBA91D8"/>
    <w:lvl w:ilvl="0" w:tplc="38BAA1DA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D5897"/>
    <w:multiLevelType w:val="hybridMultilevel"/>
    <w:tmpl w:val="DB12FF1C"/>
    <w:lvl w:ilvl="0" w:tplc="B5D071F2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5E4D4B"/>
    <w:multiLevelType w:val="hybridMultilevel"/>
    <w:tmpl w:val="D6B21A40"/>
    <w:lvl w:ilvl="0" w:tplc="38BAA1DA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41C80"/>
    <w:multiLevelType w:val="hybridMultilevel"/>
    <w:tmpl w:val="361E8F0C"/>
    <w:lvl w:ilvl="0" w:tplc="B5D071F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F4086"/>
    <w:multiLevelType w:val="hybridMultilevel"/>
    <w:tmpl w:val="279E63D4"/>
    <w:lvl w:ilvl="0" w:tplc="6C30E1F0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53705019">
    <w:abstractNumId w:val="10"/>
  </w:num>
  <w:num w:numId="2" w16cid:durableId="1924337740">
    <w:abstractNumId w:val="8"/>
  </w:num>
  <w:num w:numId="3" w16cid:durableId="1139542476">
    <w:abstractNumId w:val="1"/>
  </w:num>
  <w:num w:numId="4" w16cid:durableId="822309820">
    <w:abstractNumId w:val="3"/>
  </w:num>
  <w:num w:numId="5" w16cid:durableId="905651221">
    <w:abstractNumId w:val="12"/>
  </w:num>
  <w:num w:numId="6" w16cid:durableId="656419130">
    <w:abstractNumId w:val="4"/>
  </w:num>
  <w:num w:numId="7" w16cid:durableId="1198737141">
    <w:abstractNumId w:val="7"/>
  </w:num>
  <w:num w:numId="8" w16cid:durableId="1627540858">
    <w:abstractNumId w:val="2"/>
  </w:num>
  <w:num w:numId="9" w16cid:durableId="80572133">
    <w:abstractNumId w:val="6"/>
  </w:num>
  <w:num w:numId="10" w16cid:durableId="1518616367">
    <w:abstractNumId w:val="11"/>
  </w:num>
  <w:num w:numId="11" w16cid:durableId="597107049">
    <w:abstractNumId w:val="5"/>
  </w:num>
  <w:num w:numId="12" w16cid:durableId="1363289246">
    <w:abstractNumId w:val="0"/>
  </w:num>
  <w:num w:numId="13" w16cid:durableId="1917087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4FF"/>
    <w:rsid w:val="00002B57"/>
    <w:rsid w:val="00101037"/>
    <w:rsid w:val="00162696"/>
    <w:rsid w:val="00163819"/>
    <w:rsid w:val="00172BD0"/>
    <w:rsid w:val="001E3065"/>
    <w:rsid w:val="002A5784"/>
    <w:rsid w:val="002C1A2E"/>
    <w:rsid w:val="003412F5"/>
    <w:rsid w:val="003474F3"/>
    <w:rsid w:val="00350326"/>
    <w:rsid w:val="0035517A"/>
    <w:rsid w:val="003D52E2"/>
    <w:rsid w:val="0041187D"/>
    <w:rsid w:val="0045375D"/>
    <w:rsid w:val="00466F25"/>
    <w:rsid w:val="004D7D72"/>
    <w:rsid w:val="004E6808"/>
    <w:rsid w:val="005145F9"/>
    <w:rsid w:val="005253DE"/>
    <w:rsid w:val="005268CE"/>
    <w:rsid w:val="005360BF"/>
    <w:rsid w:val="00595383"/>
    <w:rsid w:val="0062557F"/>
    <w:rsid w:val="006314C5"/>
    <w:rsid w:val="00631C11"/>
    <w:rsid w:val="006C3B5B"/>
    <w:rsid w:val="0073297F"/>
    <w:rsid w:val="007964FF"/>
    <w:rsid w:val="00875613"/>
    <w:rsid w:val="008B3F46"/>
    <w:rsid w:val="008D39A9"/>
    <w:rsid w:val="009243F8"/>
    <w:rsid w:val="009A0F69"/>
    <w:rsid w:val="009A5B60"/>
    <w:rsid w:val="00A01A51"/>
    <w:rsid w:val="00AB4C4F"/>
    <w:rsid w:val="00AC16F6"/>
    <w:rsid w:val="00B22CCD"/>
    <w:rsid w:val="00B458C0"/>
    <w:rsid w:val="00BF2AFB"/>
    <w:rsid w:val="00C36E6D"/>
    <w:rsid w:val="00C75B0D"/>
    <w:rsid w:val="00D81D89"/>
    <w:rsid w:val="00DB150A"/>
    <w:rsid w:val="00E146E3"/>
    <w:rsid w:val="00E55A42"/>
    <w:rsid w:val="00E827E6"/>
    <w:rsid w:val="00EC5EFA"/>
    <w:rsid w:val="00F81EA0"/>
    <w:rsid w:val="00FA786E"/>
    <w:rsid w:val="00FC44D6"/>
    <w:rsid w:val="00FE259D"/>
    <w:rsid w:val="00F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4BF7"/>
  <w15:chartTrackingRefBased/>
  <w15:docId w15:val="{514B0597-7EBE-461E-BE8D-F68192EE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96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64F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79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964FF"/>
    <w:rPr>
      <w:b/>
      <w:bCs/>
    </w:rPr>
  </w:style>
  <w:style w:type="paragraph" w:styleId="Paragraphedeliste">
    <w:name w:val="List Paragraph"/>
    <w:basedOn w:val="Normal"/>
    <w:uiPriority w:val="34"/>
    <w:qFormat/>
    <w:rsid w:val="007964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268C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268CE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5268C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9A0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0F69"/>
  </w:style>
  <w:style w:type="paragraph" w:styleId="Pieddepage">
    <w:name w:val="footer"/>
    <w:basedOn w:val="Normal"/>
    <w:link w:val="PieddepageCar"/>
    <w:uiPriority w:val="99"/>
    <w:unhideWhenUsed/>
    <w:rsid w:val="009A0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0F69"/>
  </w:style>
  <w:style w:type="character" w:styleId="Mentionnonrsolue">
    <w:name w:val="Unresolved Mention"/>
    <w:basedOn w:val="Policepardfaut"/>
    <w:uiPriority w:val="99"/>
    <w:semiHidden/>
    <w:unhideWhenUsed/>
    <w:rsid w:val="00536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urfi.banque-france.fr/fr/esurfi-banque/remises/remises-lcb-ft-banq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urfi.banque-france.fr/fr/esurfi-banque/taxonomies-xbrl/lcb-ft/taxonomie-lcb-ft-24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surfi.banque-france.fr/fr/esurfi-banque/taxonomies-xbrl/lcb-ft/taxonomie-lcb-ft-24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urfi.banque-france.fr/node/2811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MAILLET Jonathan (SGACPR DRHM)</dc:creator>
  <cp:keywords/>
  <dc:description/>
  <cp:lastModifiedBy>NGO Sylvie (SGACPR DIDRIT)</cp:lastModifiedBy>
  <cp:revision>6</cp:revision>
  <dcterms:created xsi:type="dcterms:W3CDTF">2025-12-15T12:37:00Z</dcterms:created>
  <dcterms:modified xsi:type="dcterms:W3CDTF">2025-12-23T16:05:00Z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4caeef-21ee-4ca7-84b8-6f5702ffdbc6_Enabled">
    <vt:lpwstr>true</vt:lpwstr>
  </property>
  <property fmtid="{D5CDD505-2E9C-101B-9397-08002B2CF9AE}" pid="3" name="MSIP_Label_9d4caeef-21ee-4ca7-84b8-6f5702ffdbc6_SetDate">
    <vt:lpwstr>2025-12-15T12:36:45Z</vt:lpwstr>
  </property>
  <property fmtid="{D5CDD505-2E9C-101B-9397-08002B2CF9AE}" pid="4" name="MSIP_Label_9d4caeef-21ee-4ca7-84b8-6f5702ffdbc6_Method">
    <vt:lpwstr>Privileged</vt:lpwstr>
  </property>
  <property fmtid="{D5CDD505-2E9C-101B-9397-08002B2CF9AE}" pid="5" name="MSIP_Label_9d4caeef-21ee-4ca7-84b8-6f5702ffdbc6_Name">
    <vt:lpwstr>BDF-INTERNE-Sans-Marquage</vt:lpwstr>
  </property>
  <property fmtid="{D5CDD505-2E9C-101B-9397-08002B2CF9AE}" pid="6" name="MSIP_Label_9d4caeef-21ee-4ca7-84b8-6f5702ffdbc6_SiteId">
    <vt:lpwstr>e6599448-62a0-418e-8930-d00d8d5682c2</vt:lpwstr>
  </property>
  <property fmtid="{D5CDD505-2E9C-101B-9397-08002B2CF9AE}" pid="7" name="MSIP_Label_9d4caeef-21ee-4ca7-84b8-6f5702ffdbc6_ActionId">
    <vt:lpwstr>413965e4-b417-4f6c-95e4-103e9c0688a2</vt:lpwstr>
  </property>
  <property fmtid="{D5CDD505-2E9C-101B-9397-08002B2CF9AE}" pid="8" name="MSIP_Label_9d4caeef-21ee-4ca7-84b8-6f5702ffdbc6_ContentBits">
    <vt:lpwstr>0</vt:lpwstr>
  </property>
  <property fmtid="{D5CDD505-2E9C-101B-9397-08002B2CF9AE}" pid="9" name="MSIP_Label_9d4caeef-21ee-4ca7-84b8-6f5702ffdbc6_Tag">
    <vt:lpwstr>10, 0, 1, 1</vt:lpwstr>
  </property>
</Properties>
</file>