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0EB07" w14:textId="77777777" w:rsidR="007A15AF" w:rsidRDefault="002B2B89" w:rsidP="00C544BA">
      <w:r>
        <w:rPr>
          <w:noProof/>
          <w:color w:val="FFFFFF"/>
        </w:rPr>
        <w:drawing>
          <wp:inline distT="0" distB="0" distL="0" distR="0" wp14:anchorId="273280EF" wp14:editId="578921AC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14:paraId="3755369F" w14:textId="77777777" w:rsidR="002D31CA" w:rsidRPr="005C7DF1" w:rsidRDefault="002D31CA" w:rsidP="002D31CA">
      <w:pPr>
        <w:jc w:val="center"/>
        <w:rPr>
          <w:b/>
          <w:color w:val="003B8E"/>
          <w:sz w:val="32"/>
          <w:szCs w:val="32"/>
        </w:rPr>
      </w:pPr>
      <w:r w:rsidRPr="005C7DF1">
        <w:rPr>
          <w:b/>
          <w:color w:val="003B8E"/>
          <w:sz w:val="32"/>
          <w:szCs w:val="32"/>
        </w:rPr>
        <w:t>Guide méthodologique</w:t>
      </w:r>
    </w:p>
    <w:p w14:paraId="5B1D4BC0" w14:textId="77777777" w:rsidR="002D31CA" w:rsidRPr="005C7DF1" w:rsidRDefault="002D31CA" w:rsidP="002D31CA">
      <w:pPr>
        <w:jc w:val="center"/>
        <w:rPr>
          <w:b/>
          <w:color w:val="003B8E"/>
          <w:sz w:val="32"/>
          <w:szCs w:val="32"/>
        </w:rPr>
      </w:pPr>
      <w:r w:rsidRPr="005C7DF1">
        <w:rPr>
          <w:b/>
          <w:color w:val="003B8E"/>
          <w:sz w:val="32"/>
          <w:szCs w:val="32"/>
        </w:rPr>
        <w:t>Utilisation de l’état de suivi des conventions relevant de la branche 26</w:t>
      </w:r>
      <w:r w:rsidR="00F056F6" w:rsidRPr="005C7DF1">
        <w:rPr>
          <w:b/>
          <w:color w:val="003B8E"/>
          <w:sz w:val="32"/>
          <w:szCs w:val="32"/>
        </w:rPr>
        <w:t xml:space="preserve"> - FR.26.01</w:t>
      </w:r>
    </w:p>
    <w:p w14:paraId="0DEFE45D" w14:textId="77777777" w:rsidR="002D31CA" w:rsidRDefault="002D31CA" w:rsidP="00C544BA"/>
    <w:p w14:paraId="47186E92" w14:textId="7BC36ACD" w:rsidR="000474E4" w:rsidRDefault="000474E4" w:rsidP="00C57F8C">
      <w:r>
        <w:t>Le tableau de l’état FR.26</w:t>
      </w:r>
      <w:r w:rsidR="00320EC3">
        <w:t>.01</w:t>
      </w:r>
      <w:r>
        <w:t xml:space="preserve"> est à renseigner par les organismes d’assurance </w:t>
      </w:r>
      <w:r w:rsidR="00BD3F1E">
        <w:t xml:space="preserve">concernés </w:t>
      </w:r>
      <w:r>
        <w:t xml:space="preserve">en fonction de leur activité en application de </w:t>
      </w:r>
      <w:r w:rsidR="00CE1C90">
        <w:t>l’</w:t>
      </w:r>
      <w:r>
        <w:t xml:space="preserve">instruction </w:t>
      </w:r>
      <w:r w:rsidR="00111665" w:rsidRPr="00111665">
        <w:t>de l’ACPR n°202</w:t>
      </w:r>
      <w:r w:rsidR="00411273">
        <w:t>5</w:t>
      </w:r>
      <w:r w:rsidR="00111665" w:rsidRPr="00111665">
        <w:t>-</w:t>
      </w:r>
      <w:r w:rsidR="00111665">
        <w:t>I-</w:t>
      </w:r>
      <w:r w:rsidR="00411273">
        <w:t>0</w:t>
      </w:r>
      <w:r w:rsidR="00111665">
        <w:t>2 (anciennement n°20</w:t>
      </w:r>
      <w:r w:rsidR="00411273">
        <w:t>23</w:t>
      </w:r>
      <w:r w:rsidR="00111665">
        <w:t>-I-1</w:t>
      </w:r>
      <w:r w:rsidR="00DE7F24">
        <w:t>3</w:t>
      </w:r>
      <w:r w:rsidR="00111665">
        <w:t>)</w:t>
      </w:r>
      <w:r w:rsidR="00111665" w:rsidRPr="00111665">
        <w:t xml:space="preserve"> </w:t>
      </w:r>
      <w:r w:rsidRPr="00706538">
        <w:t>relative</w:t>
      </w:r>
      <w:r>
        <w:t xml:space="preserve"> à la transmission à l’Autorité du contrôle prudentiel et de résolution de documents prudentiels annuels.</w:t>
      </w:r>
      <w:r w:rsidR="00F76098">
        <w:t xml:space="preserve"> </w:t>
      </w:r>
      <w:r w:rsidR="00F76098" w:rsidRPr="00F76098">
        <w:t xml:space="preserve">Les organismes ne relevant pas du régime « Solvabilité II » ne doivent </w:t>
      </w:r>
      <w:r w:rsidR="00F76098">
        <w:t>plus</w:t>
      </w:r>
      <w:r w:rsidR="006F4F85">
        <w:t xml:space="preserve"> le</w:t>
      </w:r>
      <w:r w:rsidR="00F76098" w:rsidRPr="00F76098">
        <w:t xml:space="preserve"> communiquer.</w:t>
      </w:r>
    </w:p>
    <w:p w14:paraId="0F56A604" w14:textId="77777777" w:rsidR="000474E4" w:rsidRDefault="000474E4" w:rsidP="00C57F8C"/>
    <w:p w14:paraId="0A2BAC2A" w14:textId="77777777"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>
        <w:t xml:space="preserve"> pour les organismes relevant des deux instructions (les organismes SII devant communiquer </w:t>
      </w:r>
      <w:r w:rsidR="00BD3F1E">
        <w:t>FR.26</w:t>
      </w:r>
      <w:r w:rsidR="005E76E3">
        <w:t>.01</w:t>
      </w:r>
      <w:r w:rsidR="00BD3F1E">
        <w:t xml:space="preserve"> </w:t>
      </w:r>
      <w:r>
        <w:t>au format XBRL)</w:t>
      </w:r>
      <w:r w:rsidR="00C57F8C" w:rsidRPr="00775EA8">
        <w:t>.</w:t>
      </w:r>
    </w:p>
    <w:p w14:paraId="48789063" w14:textId="77777777" w:rsidR="007D6140" w:rsidRDefault="007D6140" w:rsidP="00D61A70">
      <w:pPr>
        <w:rPr>
          <w:b/>
        </w:rPr>
      </w:pPr>
    </w:p>
    <w:p w14:paraId="54480A98" w14:textId="77777777"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14:paraId="6ACB40E2" w14:textId="77777777"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14:paraId="17AF1B23" w14:textId="77777777" w:rsidTr="00124EEB">
        <w:trPr>
          <w:trHeight w:val="243"/>
        </w:trPr>
        <w:tc>
          <w:tcPr>
            <w:tcW w:w="2376" w:type="dxa"/>
          </w:tcPr>
          <w:p w14:paraId="12850BE0" w14:textId="77777777"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14:paraId="152547E6" w14:textId="77777777"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14:paraId="52440CE2" w14:textId="77777777"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14:paraId="21FB4B04" w14:textId="77777777" w:rsidTr="00532C03">
        <w:trPr>
          <w:trHeight w:val="1202"/>
        </w:trPr>
        <w:tc>
          <w:tcPr>
            <w:tcW w:w="2376" w:type="dxa"/>
            <w:vAlign w:val="center"/>
          </w:tcPr>
          <w:p w14:paraId="33B0C9CF" w14:textId="77777777" w:rsidR="0012127E" w:rsidRDefault="0012127E" w:rsidP="00532C03">
            <w:pPr>
              <w:snapToGrid w:val="0"/>
              <w:jc w:val="center"/>
            </w:pPr>
          </w:p>
          <w:p w14:paraId="203AD79A" w14:textId="77777777" w:rsidR="0012127E" w:rsidRDefault="0012127E" w:rsidP="00532C03">
            <w:pPr>
              <w:snapToGrid w:val="0"/>
              <w:jc w:val="center"/>
            </w:pPr>
          </w:p>
          <w:p w14:paraId="0C6DFAC7" w14:textId="77777777"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14:paraId="723A50DF" w14:textId="77777777" w:rsidR="0012127E" w:rsidRPr="00774C22" w:rsidRDefault="0012127E" w:rsidP="00532C03">
            <w:pPr>
              <w:snapToGrid w:val="0"/>
              <w:jc w:val="center"/>
            </w:pPr>
          </w:p>
          <w:p w14:paraId="423D7E23" w14:textId="77777777"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4C1CD9C2" w14:textId="77777777"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14:paraId="09DAC78A" w14:textId="77777777"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9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14:paraId="2925A75E" w14:textId="77777777" w:rsidR="0012127E" w:rsidRDefault="0012127E" w:rsidP="00F82E11">
            <w:pPr>
              <w:snapToGrid w:val="0"/>
            </w:pPr>
          </w:p>
          <w:p w14:paraId="24927766" w14:textId="77777777"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14:paraId="221F18AC" w14:textId="77777777" w:rsidTr="00C51634">
        <w:trPr>
          <w:trHeight w:val="418"/>
        </w:trPr>
        <w:tc>
          <w:tcPr>
            <w:tcW w:w="2376" w:type="dxa"/>
            <w:vAlign w:val="center"/>
          </w:tcPr>
          <w:p w14:paraId="40798C74" w14:textId="77777777"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14:paraId="120E1A3B" w14:textId="77777777"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14:paraId="421105FA" w14:textId="77777777"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14:paraId="4884D464" w14:textId="77777777" w:rsidTr="00C51634">
        <w:trPr>
          <w:trHeight w:val="418"/>
        </w:trPr>
        <w:tc>
          <w:tcPr>
            <w:tcW w:w="2376" w:type="dxa"/>
            <w:vAlign w:val="center"/>
          </w:tcPr>
          <w:p w14:paraId="1E023196" w14:textId="77777777"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14:paraId="55351CAF" w14:textId="77777777"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14:paraId="719A5391" w14:textId="77777777"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14:paraId="5CEA1A83" w14:textId="77777777" w:rsidTr="00F056F6">
        <w:trPr>
          <w:trHeight w:val="1041"/>
        </w:trPr>
        <w:tc>
          <w:tcPr>
            <w:tcW w:w="2376" w:type="dxa"/>
            <w:vAlign w:val="center"/>
          </w:tcPr>
          <w:p w14:paraId="2AD4DDC4" w14:textId="77777777"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14:paraId="434C6F16" w14:textId="77777777"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14:paraId="664E7263" w14:textId="77777777"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14:paraId="6A87202C" w14:textId="77777777"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14:paraId="6C3E1BCB" w14:textId="77777777" w:rsidTr="00532C03">
        <w:trPr>
          <w:trHeight w:val="827"/>
        </w:trPr>
        <w:tc>
          <w:tcPr>
            <w:tcW w:w="2376" w:type="dxa"/>
            <w:vAlign w:val="center"/>
          </w:tcPr>
          <w:p w14:paraId="1C080E53" w14:textId="77777777" w:rsidR="0012127E" w:rsidRDefault="0012127E" w:rsidP="00532C03">
            <w:pPr>
              <w:snapToGrid w:val="0"/>
              <w:jc w:val="center"/>
            </w:pPr>
          </w:p>
          <w:p w14:paraId="7C1A4DDB" w14:textId="77777777" w:rsidR="0012127E" w:rsidRDefault="0012127E" w:rsidP="00532C03">
            <w:pPr>
              <w:snapToGrid w:val="0"/>
              <w:jc w:val="center"/>
            </w:pPr>
          </w:p>
          <w:p w14:paraId="1829C43F" w14:textId="77777777"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14:paraId="155A57C4" w14:textId="77777777"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14:paraId="45E5BA7E" w14:textId="77777777"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14:paraId="193047C5" w14:textId="77777777"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14:paraId="24E7228B" w14:textId="77777777" w:rsidTr="00C51634">
        <w:trPr>
          <w:trHeight w:val="599"/>
        </w:trPr>
        <w:tc>
          <w:tcPr>
            <w:tcW w:w="2376" w:type="dxa"/>
            <w:vAlign w:val="center"/>
          </w:tcPr>
          <w:p w14:paraId="25BD22AC" w14:textId="77777777"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</w:p>
        </w:tc>
        <w:tc>
          <w:tcPr>
            <w:tcW w:w="1843" w:type="dxa"/>
            <w:vAlign w:val="center"/>
          </w:tcPr>
          <w:p w14:paraId="63E7F7EC" w14:textId="77777777"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14:paraId="551F17F6" w14:textId="77777777"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14:paraId="62F054DF" w14:textId="77777777" w:rsidTr="00532C03">
        <w:trPr>
          <w:trHeight w:val="827"/>
        </w:trPr>
        <w:tc>
          <w:tcPr>
            <w:tcW w:w="2376" w:type="dxa"/>
            <w:vAlign w:val="center"/>
          </w:tcPr>
          <w:p w14:paraId="5224F0BB" w14:textId="77777777"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14:paraId="6E3425A6" w14:textId="77777777"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14:paraId="61954AD6" w14:textId="7AFDD31B"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r w:rsidR="002845AE">
              <w:t>p</w:t>
            </w:r>
            <w:r w:rsidR="002845AE" w:rsidRPr="006C05EE">
              <w:t>rovision technique spéciale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technique spéciale de retournement (cf. </w:t>
            </w:r>
            <w:proofErr w:type="spellStart"/>
            <w:r w:rsidR="002845AE">
              <w:t>CdA</w:t>
            </w:r>
            <w:proofErr w:type="spellEnd"/>
            <w:r w:rsidR="002845AE">
              <w:t>, art. R.385-2 et R.441-7 et suivants)</w:t>
            </w:r>
            <w:r>
              <w:t>.</w:t>
            </w:r>
          </w:p>
          <w:p w14:paraId="3764E58F" w14:textId="77777777" w:rsidR="0012127E" w:rsidRDefault="0012127E" w:rsidP="007B3F06">
            <w:pPr>
              <w:snapToGrid w:val="0"/>
            </w:pPr>
            <w:r>
              <w:lastRenderedPageBreak/>
              <w:t>Dans aucun des trois codes, il n’est prévu de réserve de capitalisation en branche 26.</w:t>
            </w:r>
          </w:p>
          <w:p w14:paraId="34C7756B" w14:textId="77777777" w:rsidR="000D6E50" w:rsidRPr="00774C22" w:rsidRDefault="000D6E50" w:rsidP="007B3F06">
            <w:pPr>
              <w:snapToGrid w:val="0"/>
            </w:pPr>
          </w:p>
        </w:tc>
      </w:tr>
      <w:tr w:rsidR="000D6E50" w:rsidRPr="00AE0FB6" w14:paraId="49D20670" w14:textId="77777777" w:rsidTr="00124EEB">
        <w:trPr>
          <w:trHeight w:val="827"/>
        </w:trPr>
        <w:tc>
          <w:tcPr>
            <w:tcW w:w="2376" w:type="dxa"/>
          </w:tcPr>
          <w:p w14:paraId="38F4E865" w14:textId="77777777" w:rsidR="000D6E50" w:rsidRDefault="000D6E50" w:rsidP="000D6E50">
            <w:pPr>
              <w:jc w:val="center"/>
            </w:pPr>
            <w:r>
              <w:lastRenderedPageBreak/>
              <w:t>Plus ou moins</w:t>
            </w:r>
            <w:r w:rsidR="008B5C2E">
              <w:t>-</w:t>
            </w:r>
            <w:r>
              <w:t>values latentes sur actifs en représentation de la provision technique spéciale</w:t>
            </w:r>
          </w:p>
          <w:p w14:paraId="3CC15602" w14:textId="77777777" w:rsidR="000D6E50" w:rsidRDefault="000D6E50" w:rsidP="005C7DF1"/>
        </w:tc>
        <w:tc>
          <w:tcPr>
            <w:tcW w:w="1843" w:type="dxa"/>
            <w:vAlign w:val="center"/>
          </w:tcPr>
          <w:p w14:paraId="600D5D39" w14:textId="77777777"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14:paraId="7BBE2D05" w14:textId="77777777" w:rsidR="000D6E50" w:rsidRDefault="00E167BC" w:rsidP="00F82E11">
            <w:pPr>
              <w:snapToGrid w:val="0"/>
            </w:pPr>
            <w:r w:rsidRPr="00E167BC">
              <w:t>Plus ou moins</w:t>
            </w:r>
            <w:r w:rsidR="008B5C2E">
              <w:t>-</w:t>
            </w:r>
            <w:r w:rsidRPr="00E167BC">
              <w:t>values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14:paraId="1F876B79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194DC6A4" w14:textId="77777777"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14:paraId="57CA2DC9" w14:textId="77777777"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14:paraId="024B584E" w14:textId="77777777"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14:paraId="59E7F7FE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2932D136" w14:textId="77777777"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14:paraId="1D90BD57" w14:textId="77777777" w:rsidR="000D6E50" w:rsidRDefault="000D6E50" w:rsidP="000D6E50">
            <w:pPr>
              <w:snapToGrid w:val="0"/>
              <w:jc w:val="center"/>
            </w:pPr>
          </w:p>
          <w:p w14:paraId="54BC7956" w14:textId="77777777"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5D87C410" w14:textId="77777777"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14:paraId="07CE4EAE" w14:textId="7DDB6164" w:rsidR="000D6E50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  <w:r w:rsidR="00D262BB">
              <w:t xml:space="preserve"> </w:t>
            </w:r>
            <w:r>
              <w:t>est inférieur à 1, il est constitué une PTSC, suivant les dispositions de l’article R.441-7-1 du Code des assurances. Suivant les dispositions de l’article R.441-21, l’assureur procède à l’affectation d’actifs au régime</w:t>
            </w:r>
            <w:r w:rsidR="00D262BB">
              <w:t xml:space="preserve"> </w:t>
            </w:r>
            <w:r>
              <w:t>à hauteur du montant de la PTSC</w:t>
            </w:r>
            <w:r w:rsidR="00D262BB">
              <w:t>.</w:t>
            </w:r>
          </w:p>
          <w:p w14:paraId="10AD0D68" w14:textId="77777777" w:rsidR="00E167BC" w:rsidRDefault="00E167BC" w:rsidP="00BD627E">
            <w:pPr>
              <w:snapToGrid w:val="0"/>
            </w:pPr>
          </w:p>
        </w:tc>
      </w:tr>
      <w:tr w:rsidR="000D6E50" w:rsidRPr="00AE0FB6" w14:paraId="5B800B9B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0A07EB1D" w14:textId="7DE39DC8" w:rsidR="000D6E50" w:rsidRDefault="000D6E50" w:rsidP="00411273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</w:tc>
        <w:tc>
          <w:tcPr>
            <w:tcW w:w="1843" w:type="dxa"/>
            <w:vAlign w:val="center"/>
          </w:tcPr>
          <w:p w14:paraId="6CD37307" w14:textId="77777777"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14:paraId="06F0B5ED" w14:textId="64344571"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proofErr w:type="gramStart"/>
            <w:r w:rsidR="00E167BC">
              <w:rPr>
                <w:szCs w:val="22"/>
              </w:rPr>
              <w:t>pour</w:t>
            </w:r>
            <w:proofErr w:type="gramEnd"/>
            <w:r w:rsidR="00E167BC">
              <w:rPr>
                <w:szCs w:val="22"/>
              </w:rPr>
              <w:t xml:space="preserve"> l’exercice</w:t>
            </w:r>
          </w:p>
        </w:tc>
      </w:tr>
    </w:tbl>
    <w:p w14:paraId="5A4A1039" w14:textId="77777777" w:rsidR="007E6256" w:rsidRDefault="007E6256">
      <w:pPr>
        <w:jc w:val="left"/>
      </w:pPr>
      <w:r>
        <w:br w:type="page"/>
      </w:r>
    </w:p>
    <w:p w14:paraId="665D4F85" w14:textId="77777777" w:rsidR="007E6256" w:rsidRDefault="007E6256" w:rsidP="00D61A70">
      <w:pPr>
        <w:sectPr w:rsidR="007E6256" w:rsidSect="0061247F">
          <w:footerReference w:type="default" r:id="rId12"/>
          <w:pgSz w:w="11906" w:h="16838"/>
          <w:pgMar w:top="1417" w:right="1417" w:bottom="1417" w:left="1417" w:header="720" w:footer="720" w:gutter="0"/>
          <w:cols w:space="720"/>
        </w:sectPr>
      </w:pPr>
    </w:p>
    <w:p w14:paraId="24C081FA" w14:textId="77777777" w:rsidR="007E6256" w:rsidRDefault="007E6256" w:rsidP="00D61A70"/>
    <w:p w14:paraId="08471370" w14:textId="77777777"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14:paraId="29C16B55" w14:textId="77777777" w:rsidR="007E6256" w:rsidRDefault="007E6256" w:rsidP="007E6256">
      <w:pPr>
        <w:rPr>
          <w:b/>
        </w:rPr>
      </w:pPr>
    </w:p>
    <w:p w14:paraId="7C3F65D4" w14:textId="2388A504" w:rsidR="00F056F6" w:rsidRPr="007E6256" w:rsidRDefault="00D262BB" w:rsidP="007E6256">
      <w:pPr>
        <w:rPr>
          <w:b/>
        </w:rPr>
      </w:pPr>
      <w:r w:rsidRPr="00D262BB">
        <w:rPr>
          <w:b/>
          <w:noProof/>
        </w:rPr>
        <w:drawing>
          <wp:inline distT="0" distB="0" distL="0" distR="0" wp14:anchorId="4B884897" wp14:editId="46559535">
            <wp:extent cx="9972040" cy="19735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759EB" w14:textId="77777777" w:rsidR="003201D0" w:rsidRDefault="003201D0" w:rsidP="00D61A70">
      <w:r>
        <w:separator/>
      </w:r>
    </w:p>
  </w:endnote>
  <w:endnote w:type="continuationSeparator" w:id="0">
    <w:p w14:paraId="1254A65E" w14:textId="77777777" w:rsidR="003201D0" w:rsidRDefault="003201D0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63219"/>
      <w:docPartObj>
        <w:docPartGallery w:val="Page Numbers (Bottom of Page)"/>
        <w:docPartUnique/>
      </w:docPartObj>
    </w:sdtPr>
    <w:sdtContent>
      <w:p w14:paraId="794BE8BA" w14:textId="7E138319"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A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2C2D64" w14:textId="77777777"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3463F" w14:textId="77777777" w:rsidR="003201D0" w:rsidRDefault="003201D0" w:rsidP="00D61A70">
      <w:r>
        <w:separator/>
      </w:r>
    </w:p>
  </w:footnote>
  <w:footnote w:type="continuationSeparator" w:id="0">
    <w:p w14:paraId="06C090AC" w14:textId="77777777" w:rsidR="003201D0" w:rsidRDefault="003201D0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96485051">
    <w:abstractNumId w:val="5"/>
  </w:num>
  <w:num w:numId="2" w16cid:durableId="395978166">
    <w:abstractNumId w:val="5"/>
  </w:num>
  <w:num w:numId="3" w16cid:durableId="1141846405">
    <w:abstractNumId w:val="5"/>
  </w:num>
  <w:num w:numId="4" w16cid:durableId="1141578049">
    <w:abstractNumId w:val="5"/>
  </w:num>
  <w:num w:numId="5" w16cid:durableId="1628927472">
    <w:abstractNumId w:val="5"/>
  </w:num>
  <w:num w:numId="6" w16cid:durableId="2070766633">
    <w:abstractNumId w:val="1"/>
  </w:num>
  <w:num w:numId="7" w16cid:durableId="1340692301">
    <w:abstractNumId w:val="3"/>
  </w:num>
  <w:num w:numId="8" w16cid:durableId="447966514">
    <w:abstractNumId w:val="2"/>
  </w:num>
  <w:num w:numId="9" w16cid:durableId="132214706">
    <w:abstractNumId w:val="4"/>
  </w:num>
  <w:num w:numId="10" w16cid:durableId="261650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058A4"/>
    <w:rsid w:val="00111665"/>
    <w:rsid w:val="0012127E"/>
    <w:rsid w:val="00124EEB"/>
    <w:rsid w:val="00137861"/>
    <w:rsid w:val="001D7CEA"/>
    <w:rsid w:val="002133F7"/>
    <w:rsid w:val="002845AE"/>
    <w:rsid w:val="002B2B89"/>
    <w:rsid w:val="002B7395"/>
    <w:rsid w:val="002D31CA"/>
    <w:rsid w:val="002F7801"/>
    <w:rsid w:val="003201D0"/>
    <w:rsid w:val="00320EC3"/>
    <w:rsid w:val="00345DBF"/>
    <w:rsid w:val="00411273"/>
    <w:rsid w:val="00447347"/>
    <w:rsid w:val="004E7D53"/>
    <w:rsid w:val="00502705"/>
    <w:rsid w:val="00532C03"/>
    <w:rsid w:val="005B0D54"/>
    <w:rsid w:val="005C7DF1"/>
    <w:rsid w:val="005E2F20"/>
    <w:rsid w:val="005E4887"/>
    <w:rsid w:val="005E76E3"/>
    <w:rsid w:val="0061247F"/>
    <w:rsid w:val="00625A2B"/>
    <w:rsid w:val="006A6FFE"/>
    <w:rsid w:val="006B3434"/>
    <w:rsid w:val="006C1E92"/>
    <w:rsid w:val="006C2E44"/>
    <w:rsid w:val="006D45A0"/>
    <w:rsid w:val="006E2AA3"/>
    <w:rsid w:val="006F4F85"/>
    <w:rsid w:val="00727577"/>
    <w:rsid w:val="00747959"/>
    <w:rsid w:val="007706FA"/>
    <w:rsid w:val="007A15AF"/>
    <w:rsid w:val="007B3F06"/>
    <w:rsid w:val="007D6140"/>
    <w:rsid w:val="007E6256"/>
    <w:rsid w:val="008401ED"/>
    <w:rsid w:val="008B5C2E"/>
    <w:rsid w:val="008C5A3C"/>
    <w:rsid w:val="008E2ECA"/>
    <w:rsid w:val="00954CDB"/>
    <w:rsid w:val="009A6A5C"/>
    <w:rsid w:val="009E7449"/>
    <w:rsid w:val="00A04EB0"/>
    <w:rsid w:val="00A322CB"/>
    <w:rsid w:val="00A57DB4"/>
    <w:rsid w:val="00A82795"/>
    <w:rsid w:val="00AF44EF"/>
    <w:rsid w:val="00B132AB"/>
    <w:rsid w:val="00BA1025"/>
    <w:rsid w:val="00BC232F"/>
    <w:rsid w:val="00BD3F1E"/>
    <w:rsid w:val="00BD627E"/>
    <w:rsid w:val="00BF7102"/>
    <w:rsid w:val="00C02123"/>
    <w:rsid w:val="00C03FE0"/>
    <w:rsid w:val="00C51634"/>
    <w:rsid w:val="00C544BA"/>
    <w:rsid w:val="00C57F8C"/>
    <w:rsid w:val="00C63E93"/>
    <w:rsid w:val="00C701E2"/>
    <w:rsid w:val="00C912A3"/>
    <w:rsid w:val="00CC5737"/>
    <w:rsid w:val="00CE1898"/>
    <w:rsid w:val="00CE1C90"/>
    <w:rsid w:val="00CF2B5C"/>
    <w:rsid w:val="00CF5C8E"/>
    <w:rsid w:val="00D0080A"/>
    <w:rsid w:val="00D262BB"/>
    <w:rsid w:val="00D420A3"/>
    <w:rsid w:val="00D61A70"/>
    <w:rsid w:val="00DB198D"/>
    <w:rsid w:val="00DE17B3"/>
    <w:rsid w:val="00DE2DB3"/>
    <w:rsid w:val="00DE7F24"/>
    <w:rsid w:val="00E167BC"/>
    <w:rsid w:val="00E51E1A"/>
    <w:rsid w:val="00E633C0"/>
    <w:rsid w:val="00E706C9"/>
    <w:rsid w:val="00E912DF"/>
    <w:rsid w:val="00F056F6"/>
    <w:rsid w:val="00F1302A"/>
    <w:rsid w:val="00F2699D"/>
    <w:rsid w:val="00F422E4"/>
    <w:rsid w:val="00F76098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F9451"/>
  <w15:docId w15:val="{7DD20C89-1C35-4761-9164-16E3F81E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41127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06073189&amp;idArticle=LEGIARTI00000673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0AD5-652C-46E4-AAEF-CFE43104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633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DIAGNE Afissa-Elodie (SGACPR DAI)</cp:lastModifiedBy>
  <cp:revision>5</cp:revision>
  <cp:lastPrinted>2013-05-14T07:44:00Z</cp:lastPrinted>
  <dcterms:created xsi:type="dcterms:W3CDTF">2026-02-01T17:39:00Z</dcterms:created>
  <dcterms:modified xsi:type="dcterms:W3CDTF">2026-02-05T16:05:00Z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8f1332-2cfb-404a-934f-6a2bfd1bd80c_Enabled">
    <vt:lpwstr>true</vt:lpwstr>
  </property>
  <property fmtid="{D5CDD505-2E9C-101B-9397-08002B2CF9AE}" pid="3" name="MSIP_Label_c08f1332-2cfb-404a-934f-6a2bfd1bd80c_SetDate">
    <vt:lpwstr>2026-02-01T17:38:37Z</vt:lpwstr>
  </property>
  <property fmtid="{D5CDD505-2E9C-101B-9397-08002B2CF9AE}" pid="4" name="MSIP_Label_c08f1332-2cfb-404a-934f-6a2bfd1bd80c_Method">
    <vt:lpwstr>Privileged</vt:lpwstr>
  </property>
  <property fmtid="{D5CDD505-2E9C-101B-9397-08002B2CF9AE}" pid="5" name="MSIP_Label_c08f1332-2cfb-404a-934f-6a2bfd1bd80c_Name">
    <vt:lpwstr>BDF-PUBLIC-Sans-Marquage</vt:lpwstr>
  </property>
  <property fmtid="{D5CDD505-2E9C-101B-9397-08002B2CF9AE}" pid="6" name="MSIP_Label_c08f1332-2cfb-404a-934f-6a2bfd1bd80c_SiteId">
    <vt:lpwstr>e6599448-62a0-418e-8930-d00d8d5682c2</vt:lpwstr>
  </property>
  <property fmtid="{D5CDD505-2E9C-101B-9397-08002B2CF9AE}" pid="7" name="MSIP_Label_c08f1332-2cfb-404a-934f-6a2bfd1bd80c_ActionId">
    <vt:lpwstr>cb0e19ac-dd59-4ba3-a192-347986abf225</vt:lpwstr>
  </property>
  <property fmtid="{D5CDD505-2E9C-101B-9397-08002B2CF9AE}" pid="8" name="MSIP_Label_c08f1332-2cfb-404a-934f-6a2bfd1bd80c_ContentBits">
    <vt:lpwstr>0</vt:lpwstr>
  </property>
  <property fmtid="{D5CDD505-2E9C-101B-9397-08002B2CF9AE}" pid="9" name="MSIP_Label_c08f1332-2cfb-404a-934f-6a2bfd1bd80c_Tag">
    <vt:lpwstr>10, 0, 1, 1</vt:lpwstr>
  </property>
</Properties>
</file>