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EEAF20" w14:textId="39E05C93" w:rsidR="004900F2" w:rsidRDefault="004900F2" w:rsidP="00655BE7">
      <w:pPr>
        <w:pStyle w:val="Sansinterligne"/>
        <w:rPr>
          <w:rFonts w:ascii="Times New Roman" w:hAnsi="Times New Roman" w:cs="Times New Roman"/>
          <w:sz w:val="20"/>
          <w:szCs w:val="20"/>
        </w:rPr>
      </w:pPr>
      <w:r>
        <w:rPr>
          <w:noProof/>
          <w:lang w:eastAsia="fr-FR"/>
        </w:rPr>
        <w:drawing>
          <wp:inline distT="0" distB="0" distL="0" distR="0" wp14:anchorId="3AAF42AE" wp14:editId="709DECE4">
            <wp:extent cx="1130400" cy="1008000"/>
            <wp:effectExtent l="0" t="0" r="0" b="1905"/>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14:paraId="3A9AF3D9" w14:textId="77777777" w:rsidR="004900F2" w:rsidRPr="00441CAF" w:rsidRDefault="004900F2" w:rsidP="004900F2">
      <w:pPr>
        <w:pStyle w:val="Titre"/>
        <w:rPr>
          <w:rFonts w:ascii="Times New Roman" w:hAnsi="Times New Roman" w:cs="Times New Roman"/>
          <w:b w:val="0"/>
        </w:rPr>
      </w:pPr>
      <w:r w:rsidRPr="00441CAF">
        <w:rPr>
          <w:rFonts w:ascii="Times New Roman" w:hAnsi="Times New Roman" w:cs="Times New Roman"/>
        </w:rPr>
        <w:t>Guide méthodologique</w:t>
      </w:r>
    </w:p>
    <w:p w14:paraId="6F4C44FF" w14:textId="2355D12A" w:rsidR="004900F2" w:rsidRPr="00441CAF" w:rsidRDefault="00304511" w:rsidP="0042508A">
      <w:pPr>
        <w:pStyle w:val="Titre"/>
        <w:rPr>
          <w:rFonts w:ascii="Times New Roman" w:hAnsi="Times New Roman" w:cs="Times New Roman"/>
          <w:b w:val="0"/>
        </w:rPr>
      </w:pPr>
      <w:r w:rsidRPr="00441CAF">
        <w:rPr>
          <w:rFonts w:ascii="Times New Roman" w:hAnsi="Times New Roman" w:cs="Times New Roman"/>
        </w:rPr>
        <w:t xml:space="preserve">Valorisation des </w:t>
      </w:r>
      <w:r w:rsidR="002F4439" w:rsidRPr="00441CAF">
        <w:rPr>
          <w:rFonts w:ascii="Times New Roman" w:hAnsi="Times New Roman" w:cs="Times New Roman"/>
        </w:rPr>
        <w:t>biens</w:t>
      </w:r>
      <w:r w:rsidRPr="00441CAF">
        <w:rPr>
          <w:rFonts w:ascii="Times New Roman" w:hAnsi="Times New Roman" w:cs="Times New Roman"/>
        </w:rPr>
        <w:t xml:space="preserve"> immobiliers</w:t>
      </w:r>
    </w:p>
    <w:p w14:paraId="10A2A552" w14:textId="77777777" w:rsidR="004900F2" w:rsidRDefault="004900F2" w:rsidP="00773585">
      <w:pPr>
        <w:spacing w:after="200" w:line="276" w:lineRule="auto"/>
        <w:jc w:val="both"/>
        <w:rPr>
          <w:rFonts w:cs="Times New Roman"/>
          <w:b/>
          <w:bCs/>
          <w:sz w:val="20"/>
          <w:szCs w:val="20"/>
        </w:rPr>
      </w:pPr>
    </w:p>
    <w:p w14:paraId="335580A3" w14:textId="53DEAEB4" w:rsidR="007D717D" w:rsidRDefault="007D717D">
      <w:pPr>
        <w:rPr>
          <w:rFonts w:ascii="Arial" w:eastAsiaTheme="majorEastAsia" w:hAnsi="Arial" w:cs="Arial"/>
          <w:bCs/>
          <w:sz w:val="32"/>
          <w:szCs w:val="32"/>
        </w:rPr>
      </w:pPr>
    </w:p>
    <w:p w14:paraId="20E11200" w14:textId="72D1BF50" w:rsidR="00D12CCC" w:rsidRDefault="00D12CCC" w:rsidP="00DF2FB8">
      <w:pPr>
        <w:jc w:val="both"/>
      </w:pPr>
      <w:r>
        <w:t>Le tableau de l’état FR.30</w:t>
      </w:r>
      <w:r w:rsidRPr="00DF2FB8">
        <w:t xml:space="preserve">.01 </w:t>
      </w:r>
      <w:r>
        <w:t>est</w:t>
      </w:r>
      <w:r w:rsidRPr="00DF2FB8">
        <w:t xml:space="preserve"> à renseigner par les organismes d’assurance en application de </w:t>
      </w:r>
      <w:r w:rsidRPr="00765A02">
        <w:t xml:space="preserve">l’instruction </w:t>
      </w:r>
      <w:r w:rsidR="00E33584" w:rsidRPr="00E33584">
        <w:t>de l’ACPR n°202</w:t>
      </w:r>
      <w:r w:rsidR="004D31A1">
        <w:t>5</w:t>
      </w:r>
      <w:r w:rsidR="00E33584" w:rsidRPr="00E33584">
        <w:t>-I-</w:t>
      </w:r>
      <w:r w:rsidR="004D31A1">
        <w:t>0</w:t>
      </w:r>
      <w:r w:rsidR="00E33584" w:rsidRPr="00E33584">
        <w:t>2 (anciennement n°20</w:t>
      </w:r>
      <w:r w:rsidR="004D31A1">
        <w:t>23</w:t>
      </w:r>
      <w:r w:rsidR="00E33584" w:rsidRPr="00E33584">
        <w:t>-I-1</w:t>
      </w:r>
      <w:r w:rsidR="004D31A1">
        <w:t>3</w:t>
      </w:r>
      <w:r w:rsidR="00E33584" w:rsidRPr="00E33584">
        <w:t xml:space="preserve">) </w:t>
      </w:r>
      <w:r w:rsidRPr="00DF2FB8">
        <w:t>relative à la transmission à l’Autorité du contrôle prudentiel et de résolution de documents prudentiels annuels.</w:t>
      </w:r>
    </w:p>
    <w:p w14:paraId="2D7DA5E2" w14:textId="77777777" w:rsidR="004D31A1" w:rsidRPr="00DF2FB8" w:rsidRDefault="004D31A1" w:rsidP="00DF2FB8">
      <w:pPr>
        <w:jc w:val="both"/>
      </w:pPr>
    </w:p>
    <w:p w14:paraId="5629DD23" w14:textId="7196A173" w:rsidR="0042508A" w:rsidRPr="0042508A" w:rsidRDefault="0042508A" w:rsidP="0042508A">
      <w:pPr>
        <w:pStyle w:val="Titre1"/>
      </w:pPr>
      <w:r w:rsidRPr="0042508A">
        <w:t>Description générale de l’état</w:t>
      </w:r>
    </w:p>
    <w:p w14:paraId="3ABCB11D" w14:textId="7DC613C8" w:rsidR="0042508A" w:rsidRPr="00AD11FA" w:rsidRDefault="00B72694" w:rsidP="00E66D49">
      <w:pPr>
        <w:jc w:val="both"/>
      </w:pPr>
      <w:r w:rsidRPr="00AD11FA">
        <w:t>Cet état a vocation à collecter des informations sur la valorisation des biens immobiliers.</w:t>
      </w:r>
    </w:p>
    <w:p w14:paraId="6ECFF35C" w14:textId="667E5B99" w:rsidR="00B72694" w:rsidRPr="00AD11FA" w:rsidRDefault="00B72694" w:rsidP="00E66D49">
      <w:pPr>
        <w:jc w:val="both"/>
      </w:pPr>
      <w:r w:rsidRPr="00AD11FA">
        <w:t xml:space="preserve">Il y a deux cas de figure à considérer ici : </w:t>
      </w:r>
    </w:p>
    <w:p w14:paraId="2FA95D7C" w14:textId="4FEFBB1F" w:rsidR="00B72694" w:rsidRPr="00AD11FA" w:rsidRDefault="00E27AA2" w:rsidP="00E66D49">
      <w:pPr>
        <w:pStyle w:val="Paragraphedeliste"/>
        <w:numPr>
          <w:ilvl w:val="0"/>
          <w:numId w:val="4"/>
        </w:numPr>
        <w:jc w:val="both"/>
      </w:pPr>
      <w:r>
        <w:t>L</w:t>
      </w:r>
      <w:r w:rsidR="00B72694" w:rsidRPr="00AD11FA">
        <w:t>es biens détenus directement par le remettant ;</w:t>
      </w:r>
    </w:p>
    <w:p w14:paraId="6905A4F7" w14:textId="25DE90EC" w:rsidR="00AD11FA" w:rsidRDefault="00E27AA2" w:rsidP="00E66D49">
      <w:pPr>
        <w:pStyle w:val="Paragraphedeliste"/>
        <w:numPr>
          <w:ilvl w:val="0"/>
          <w:numId w:val="4"/>
        </w:numPr>
        <w:jc w:val="both"/>
        <w:rPr>
          <w:rFonts w:cstheme="minorHAnsi"/>
        </w:rPr>
      </w:pPr>
      <w:r>
        <w:t>L</w:t>
      </w:r>
      <w:r w:rsidR="00B72694" w:rsidRPr="00AD11FA">
        <w:t xml:space="preserve">es biens détenus indirectement (par </w:t>
      </w:r>
      <w:r w:rsidR="00E66D49">
        <w:t>mise en transparence</w:t>
      </w:r>
      <w:r w:rsidR="00B72694" w:rsidRPr="00AD11FA">
        <w:t>) par le remettant</w:t>
      </w:r>
      <w:r w:rsidR="00A05B2F" w:rsidRPr="00AD11FA">
        <w:t xml:space="preserve"> via des sociétés immobilières/foncières non cotées à une bourse OCDE</w:t>
      </w:r>
      <w:r w:rsidR="00AD11FA">
        <w:rPr>
          <w:rFonts w:cstheme="minorHAnsi"/>
        </w:rPr>
        <w:t xml:space="preserve">, sauf pour les cas </w:t>
      </w:r>
      <w:r w:rsidR="00E66D49">
        <w:rPr>
          <w:rFonts w:cstheme="minorHAnsi"/>
        </w:rPr>
        <w:t>suivants, pour lesquels aucune mise en transparence</w:t>
      </w:r>
      <w:r w:rsidR="00AD11FA">
        <w:rPr>
          <w:rFonts w:cstheme="minorHAnsi"/>
        </w:rPr>
        <w:t xml:space="preserve"> n’est </w:t>
      </w:r>
      <w:r w:rsidR="002B05A1">
        <w:rPr>
          <w:rFonts w:cstheme="minorHAnsi"/>
        </w:rPr>
        <w:t>exigée</w:t>
      </w:r>
      <w:r w:rsidR="00AD11FA">
        <w:rPr>
          <w:rFonts w:cstheme="minorHAnsi"/>
        </w:rPr>
        <w:t> :</w:t>
      </w:r>
    </w:p>
    <w:p w14:paraId="7982033D" w14:textId="284E3D33" w:rsidR="00AD11FA" w:rsidRDefault="00AD11FA" w:rsidP="00E66D49">
      <w:pPr>
        <w:pStyle w:val="Paragraphedeliste"/>
        <w:numPr>
          <w:ilvl w:val="1"/>
          <w:numId w:val="4"/>
        </w:numPr>
        <w:jc w:val="both"/>
        <w:rPr>
          <w:rFonts w:cstheme="minorHAnsi"/>
        </w:rPr>
      </w:pPr>
      <w:r w:rsidRPr="00AD11FA">
        <w:rPr>
          <w:rFonts w:cstheme="minorHAnsi"/>
        </w:rPr>
        <w:t>Fonds d’Investissement Alternatifs (FIA) mentionnés au 1° de l’article L.214-24 du code monétaire et financier</w:t>
      </w:r>
      <w:r>
        <w:rPr>
          <w:rFonts w:cstheme="minorHAnsi"/>
        </w:rPr>
        <w:t> ;</w:t>
      </w:r>
    </w:p>
    <w:p w14:paraId="522E954A" w14:textId="609FD618" w:rsidR="00AD11FA" w:rsidRDefault="00E27AA2" w:rsidP="00E66D49">
      <w:pPr>
        <w:pStyle w:val="Paragraphedeliste"/>
        <w:numPr>
          <w:ilvl w:val="1"/>
          <w:numId w:val="4"/>
        </w:numPr>
        <w:jc w:val="both"/>
        <w:rPr>
          <w:rFonts w:cstheme="minorHAnsi"/>
        </w:rPr>
      </w:pPr>
      <w:r>
        <w:rPr>
          <w:rFonts w:cstheme="minorHAnsi"/>
        </w:rPr>
        <w:t>T</w:t>
      </w:r>
      <w:r w:rsidR="00AD11FA" w:rsidRPr="00AD11FA">
        <w:rPr>
          <w:rFonts w:cstheme="minorHAnsi"/>
        </w:rPr>
        <w:t xml:space="preserve">out organisme dont la société de gestion ou </w:t>
      </w:r>
      <w:r w:rsidR="00E66D49">
        <w:rPr>
          <w:rFonts w:cstheme="minorHAnsi"/>
        </w:rPr>
        <w:t>le gestionnaire d’actifs</w:t>
      </w:r>
      <w:r w:rsidR="00AD11FA" w:rsidRPr="00AD11FA">
        <w:rPr>
          <w:rFonts w:cstheme="minorHAnsi"/>
        </w:rPr>
        <w:t xml:space="preserve"> communique une valeur liquidative à l'Autorité des Marchés Financiers ou à une autorité étrangère équivalente</w:t>
      </w:r>
      <w:r w:rsidR="00AD11FA">
        <w:rPr>
          <w:rFonts w:cstheme="minorHAnsi"/>
        </w:rPr>
        <w:t> ;</w:t>
      </w:r>
    </w:p>
    <w:p w14:paraId="3091A29B" w14:textId="766E0700" w:rsidR="00B81340" w:rsidRPr="00AD11FA" w:rsidRDefault="00E27AA2" w:rsidP="00C11C1F">
      <w:pPr>
        <w:pStyle w:val="Paragraphedeliste"/>
        <w:numPr>
          <w:ilvl w:val="1"/>
          <w:numId w:val="4"/>
        </w:numPr>
        <w:jc w:val="both"/>
        <w:rPr>
          <w:rFonts w:cstheme="minorHAnsi"/>
        </w:rPr>
      </w:pPr>
      <w:r>
        <w:rPr>
          <w:rFonts w:cstheme="minorHAnsi"/>
        </w:rPr>
        <w:t>B</w:t>
      </w:r>
      <w:r w:rsidR="00AD11FA">
        <w:rPr>
          <w:rFonts w:cstheme="minorHAnsi"/>
        </w:rPr>
        <w:t xml:space="preserve">iens détenus indirectement </w:t>
      </w:r>
      <w:r w:rsidR="00AD11FA" w:rsidRPr="00E66D49">
        <w:rPr>
          <w:i/>
        </w:rPr>
        <w:t>via</w:t>
      </w:r>
      <w:r w:rsidR="00AD11FA" w:rsidRPr="00AD11FA">
        <w:t xml:space="preserve"> </w:t>
      </w:r>
      <w:r w:rsidR="00AD11FA">
        <w:t xml:space="preserve">au moins deux </w:t>
      </w:r>
      <w:r w:rsidR="00AD11FA" w:rsidRPr="00AD11FA">
        <w:t>sociétés immobilières/foncières</w:t>
      </w:r>
      <w:r w:rsidR="00AD11FA">
        <w:t xml:space="preserve"> successives</w:t>
      </w:r>
      <w:r w:rsidR="00681414">
        <w:t xml:space="preserve"> et dont le remettant détient indirectement moins de 50% du bien</w:t>
      </w:r>
      <w:r w:rsidR="00AD11FA">
        <w:t>.</w:t>
      </w:r>
    </w:p>
    <w:p w14:paraId="38CAF378" w14:textId="68CA8A88" w:rsidR="00664BF9" w:rsidRDefault="00664BF9" w:rsidP="00E66D49">
      <w:pPr>
        <w:jc w:val="both"/>
      </w:pPr>
      <w:r w:rsidRPr="00AD11FA">
        <w:t>Dans le premier cas, chaque bien est déclaré sur une</w:t>
      </w:r>
      <w:r>
        <w:t xml:space="preserve"> seule ligne.</w:t>
      </w:r>
    </w:p>
    <w:p w14:paraId="3D316D5B" w14:textId="40E2110A" w:rsidR="00664BF9" w:rsidRDefault="00664BF9" w:rsidP="00B72694">
      <w:r>
        <w:t xml:space="preserve">Dans le second cas, </w:t>
      </w:r>
      <w:r w:rsidR="00075268">
        <w:t xml:space="preserve">il faut : </w:t>
      </w:r>
    </w:p>
    <w:p w14:paraId="4D5DE5EC" w14:textId="2D0B001B" w:rsidR="00A41C43" w:rsidRDefault="00D12CCC" w:rsidP="00E66D49">
      <w:pPr>
        <w:pStyle w:val="Paragraphedeliste"/>
        <w:numPr>
          <w:ilvl w:val="0"/>
          <w:numId w:val="4"/>
        </w:numPr>
        <w:jc w:val="both"/>
      </w:pPr>
      <w:r>
        <w:t>Une</w:t>
      </w:r>
      <w:r w:rsidR="00075268">
        <w:t xml:space="preserve"> ligne par </w:t>
      </w:r>
      <w:r w:rsidR="00A05B2F" w:rsidRPr="00A05B2F">
        <w:t>société immobilière/foncière non cotées à une bourse OCDE</w:t>
      </w:r>
      <w:r w:rsidR="00AD11FA">
        <w:t xml:space="preserve"> </w:t>
      </w:r>
      <w:r w:rsidR="00A05B2F">
        <w:t>;</w:t>
      </w:r>
    </w:p>
    <w:p w14:paraId="49FFA216" w14:textId="6E5469B3" w:rsidR="000F4A34" w:rsidRDefault="00D12CCC" w:rsidP="00E66D49">
      <w:pPr>
        <w:pStyle w:val="Paragraphedeliste"/>
        <w:numPr>
          <w:ilvl w:val="0"/>
          <w:numId w:val="4"/>
        </w:numPr>
        <w:jc w:val="both"/>
      </w:pPr>
      <w:r>
        <w:t>Une</w:t>
      </w:r>
      <w:r w:rsidR="00A05B2F">
        <w:t xml:space="preserve"> ligne par bien immobilier détenu</w:t>
      </w:r>
      <w:r w:rsidR="00A05B2F" w:rsidRPr="00A05B2F">
        <w:t xml:space="preserve"> </w:t>
      </w:r>
      <w:r w:rsidR="003C512F">
        <w:t>par</w:t>
      </w:r>
      <w:r w:rsidR="003C512F" w:rsidRPr="00A05B2F">
        <w:t xml:space="preserve"> </w:t>
      </w:r>
      <w:r w:rsidR="00A05B2F">
        <w:t>la</w:t>
      </w:r>
      <w:r w:rsidR="00A05B2F" w:rsidRPr="00A05B2F">
        <w:t xml:space="preserve"> socié</w:t>
      </w:r>
      <w:r w:rsidR="00A05B2F">
        <w:t>té immobilière/foncière non cotée</w:t>
      </w:r>
      <w:r w:rsidR="00A05B2F" w:rsidRPr="00A05B2F">
        <w:t xml:space="preserve"> à une bourse OCDE</w:t>
      </w:r>
      <w:r w:rsidR="00A05B2F">
        <w:t>.</w:t>
      </w:r>
    </w:p>
    <w:p w14:paraId="082AE160" w14:textId="67F5EE50" w:rsidR="00A05B2F" w:rsidRDefault="00A05B2F" w:rsidP="000F4A34"/>
    <w:p w14:paraId="468BCE5B" w14:textId="77777777" w:rsidR="002433A6" w:rsidRPr="00111849" w:rsidRDefault="002433A6" w:rsidP="002433A6">
      <w:pPr>
        <w:pStyle w:val="Paragraphedeliste1"/>
        <w:spacing w:before="120" w:after="120"/>
        <w:ind w:left="0"/>
      </w:pPr>
      <w:r w:rsidRPr="00111849">
        <w:rPr>
          <w:iCs/>
          <w:color w:val="000000"/>
        </w:rPr>
        <w:t>Organismes S</w:t>
      </w:r>
      <w:r>
        <w:rPr>
          <w:iCs/>
          <w:color w:val="000000"/>
        </w:rPr>
        <w:t xml:space="preserve"> </w:t>
      </w:r>
      <w:r w:rsidRPr="00111849">
        <w:rPr>
          <w:iCs/>
          <w:color w:val="000000"/>
        </w:rPr>
        <w:t>I et S</w:t>
      </w:r>
      <w:r>
        <w:rPr>
          <w:iCs/>
          <w:color w:val="000000"/>
        </w:rPr>
        <w:t xml:space="preserve"> </w:t>
      </w:r>
      <w:r w:rsidRPr="00111849">
        <w:rPr>
          <w:iCs/>
          <w:color w:val="000000"/>
        </w:rPr>
        <w:t xml:space="preserve">II (remettant en XBRL) : les montants sont exprimés </w:t>
      </w:r>
      <w:r>
        <w:rPr>
          <w:iCs/>
          <w:color w:val="000000"/>
        </w:rPr>
        <w:t xml:space="preserve">en </w:t>
      </w:r>
      <w:r w:rsidRPr="00111849">
        <w:rPr>
          <w:iCs/>
          <w:color w:val="000000"/>
        </w:rPr>
        <w:t>euros sans être arrondis.</w:t>
      </w:r>
    </w:p>
    <w:p w14:paraId="2DF0E236" w14:textId="77777777" w:rsidR="00F33B3B" w:rsidRDefault="00F33B3B" w:rsidP="000F4A34"/>
    <w:p w14:paraId="2E8EAAF4" w14:textId="77777777" w:rsidR="00F738A2" w:rsidRDefault="00F738A2" w:rsidP="000F4A34"/>
    <w:p w14:paraId="1280A020" w14:textId="77777777" w:rsidR="00F738A2" w:rsidRDefault="00F738A2" w:rsidP="000F4A34"/>
    <w:p w14:paraId="289DBCFB" w14:textId="77777777" w:rsidR="00F738A2" w:rsidRDefault="00F738A2" w:rsidP="000F4A34"/>
    <w:p w14:paraId="2C801C51" w14:textId="77777777" w:rsidR="00F738A2" w:rsidRPr="0042508A" w:rsidRDefault="00F738A2" w:rsidP="000F4A34"/>
    <w:p w14:paraId="6CD7ED2B" w14:textId="6D1B94D7" w:rsidR="007D717D" w:rsidRPr="00304511" w:rsidRDefault="007D717D" w:rsidP="0042508A">
      <w:pPr>
        <w:pStyle w:val="Titre1"/>
        <w:rPr>
          <w:rFonts w:eastAsiaTheme="majorEastAsia"/>
        </w:rPr>
      </w:pPr>
      <w:r w:rsidRPr="0042508A">
        <w:rPr>
          <w:rFonts w:eastAsiaTheme="majorEastAsia"/>
        </w:rPr>
        <w:lastRenderedPageBreak/>
        <w:t>Utilisation de l’état</w:t>
      </w:r>
    </w:p>
    <w:p w14:paraId="2CBC09B4" w14:textId="3545C949" w:rsidR="00610A41" w:rsidRPr="00B67CFE" w:rsidRDefault="00610A41" w:rsidP="00610A41">
      <w:pPr>
        <w:autoSpaceDE w:val="0"/>
        <w:autoSpaceDN w:val="0"/>
        <w:adjustRightInd w:val="0"/>
        <w:spacing w:after="0" w:line="240" w:lineRule="auto"/>
        <w:rPr>
          <w:rFonts w:ascii="ArialMT" w:hAnsi="ArialMT" w:cs="ArialMT"/>
          <w:sz w:val="20"/>
          <w:szCs w:val="20"/>
        </w:rPr>
      </w:pPr>
    </w:p>
    <w:tbl>
      <w:tblPr>
        <w:tblStyle w:val="Grilledutableau"/>
        <w:tblW w:w="0" w:type="auto"/>
        <w:tblLook w:val="04A0" w:firstRow="1" w:lastRow="0" w:firstColumn="1" w:lastColumn="0" w:noHBand="0" w:noVBand="1"/>
      </w:tblPr>
      <w:tblGrid>
        <w:gridCol w:w="1563"/>
        <w:gridCol w:w="1127"/>
        <w:gridCol w:w="6372"/>
      </w:tblGrid>
      <w:tr w:rsidR="0042508A" w:rsidRPr="00B67CFE" w14:paraId="1EB02D1B" w14:textId="77777777" w:rsidTr="00441CAF">
        <w:trPr>
          <w:cantSplit/>
          <w:trHeight w:val="285"/>
        </w:trPr>
        <w:tc>
          <w:tcPr>
            <w:tcW w:w="1563" w:type="dxa"/>
            <w:noWrap/>
            <w:hideMark/>
          </w:tcPr>
          <w:p w14:paraId="44CD069F" w14:textId="58A7FE97" w:rsidR="0042508A" w:rsidRPr="00B67CFE" w:rsidRDefault="0042508A" w:rsidP="0042508A">
            <w:pPr>
              <w:rPr>
                <w:rFonts w:cs="Times New Roman"/>
                <w:sz w:val="20"/>
                <w:szCs w:val="20"/>
                <w:lang w:val="fr-FR"/>
              </w:rPr>
            </w:pPr>
            <w:r w:rsidRPr="00EA2FE3">
              <w:rPr>
                <w:b/>
                <w:sz w:val="18"/>
                <w:szCs w:val="18"/>
              </w:rPr>
              <w:t>INTITULE</w:t>
            </w:r>
          </w:p>
        </w:tc>
        <w:tc>
          <w:tcPr>
            <w:tcW w:w="1127" w:type="dxa"/>
          </w:tcPr>
          <w:p w14:paraId="0883DF80" w14:textId="3FDEDA2C" w:rsidR="0042508A" w:rsidRPr="00B67CFE" w:rsidRDefault="0042508A" w:rsidP="0042508A">
            <w:pPr>
              <w:rPr>
                <w:rFonts w:cs="Times New Roman"/>
                <w:b/>
                <w:bCs/>
                <w:sz w:val="20"/>
                <w:szCs w:val="20"/>
                <w:lang w:val="fr-FR"/>
              </w:rPr>
            </w:pPr>
            <w:r w:rsidRPr="00EA2FE3">
              <w:rPr>
                <w:b/>
                <w:sz w:val="18"/>
                <w:szCs w:val="18"/>
              </w:rPr>
              <w:t>NUMERO DE COLONNE</w:t>
            </w:r>
          </w:p>
        </w:tc>
        <w:tc>
          <w:tcPr>
            <w:tcW w:w="6372" w:type="dxa"/>
          </w:tcPr>
          <w:p w14:paraId="4621EDE4" w14:textId="6364925D" w:rsidR="0042508A" w:rsidRPr="00B67CFE" w:rsidRDefault="0042508A" w:rsidP="0042508A">
            <w:pPr>
              <w:rPr>
                <w:rFonts w:cs="Times New Roman"/>
                <w:b/>
                <w:bCs/>
                <w:sz w:val="20"/>
                <w:szCs w:val="20"/>
                <w:lang w:val="fr-FR"/>
              </w:rPr>
            </w:pPr>
            <w:r w:rsidRPr="00EA2FE3">
              <w:rPr>
                <w:b/>
                <w:sz w:val="18"/>
                <w:szCs w:val="18"/>
              </w:rPr>
              <w:t>DEFINITION</w:t>
            </w:r>
          </w:p>
        </w:tc>
      </w:tr>
      <w:tr w:rsidR="009C7421" w:rsidRPr="00B67CFE" w14:paraId="2D07AB4C" w14:textId="77777777" w:rsidTr="00441CAF">
        <w:trPr>
          <w:cantSplit/>
        </w:trPr>
        <w:tc>
          <w:tcPr>
            <w:tcW w:w="1563" w:type="dxa"/>
          </w:tcPr>
          <w:p w14:paraId="2203BD55" w14:textId="3175CEBE" w:rsidR="009C7421" w:rsidRPr="00940C55" w:rsidRDefault="003605CA" w:rsidP="009C7421">
            <w:pPr>
              <w:rPr>
                <w:rFonts w:cs="Times New Roman"/>
                <w:color w:val="000000"/>
                <w:sz w:val="20"/>
                <w:szCs w:val="20"/>
                <w:lang w:val="fr-FR"/>
              </w:rPr>
            </w:pPr>
            <w:r>
              <w:rPr>
                <w:rFonts w:cs="Times New Roman"/>
                <w:color w:val="000000"/>
                <w:sz w:val="20"/>
                <w:szCs w:val="20"/>
                <w:lang w:val="fr-FR"/>
              </w:rPr>
              <w:t>Identifiant de la ligne</w:t>
            </w:r>
          </w:p>
        </w:tc>
        <w:tc>
          <w:tcPr>
            <w:tcW w:w="1127" w:type="dxa"/>
            <w:noWrap/>
          </w:tcPr>
          <w:p w14:paraId="04831CCE" w14:textId="0A46E2F0" w:rsidR="009C7421" w:rsidRPr="00940C55" w:rsidRDefault="003605CA" w:rsidP="009C7421">
            <w:pPr>
              <w:rPr>
                <w:rFonts w:cs="Times New Roman"/>
                <w:color w:val="000000"/>
                <w:sz w:val="20"/>
                <w:szCs w:val="20"/>
                <w:lang w:val="fr-FR"/>
              </w:rPr>
            </w:pPr>
            <w:r>
              <w:rPr>
                <w:rFonts w:cs="Times New Roman"/>
                <w:color w:val="000000"/>
                <w:sz w:val="20"/>
                <w:szCs w:val="20"/>
                <w:lang w:val="fr-FR"/>
              </w:rPr>
              <w:t>C0010</w:t>
            </w:r>
          </w:p>
        </w:tc>
        <w:tc>
          <w:tcPr>
            <w:tcW w:w="6372" w:type="dxa"/>
          </w:tcPr>
          <w:p w14:paraId="4E7EF1ED" w14:textId="77777777" w:rsidR="00D051BC" w:rsidRPr="00D051BC" w:rsidRDefault="00D051BC" w:rsidP="00D051BC">
            <w:pPr>
              <w:jc w:val="both"/>
              <w:rPr>
                <w:rFonts w:cs="Times New Roman"/>
                <w:color w:val="000000"/>
                <w:sz w:val="20"/>
                <w:szCs w:val="20"/>
                <w:lang w:val="fr-FR"/>
              </w:rPr>
            </w:pPr>
            <w:r w:rsidRPr="00D051BC">
              <w:rPr>
                <w:rFonts w:cs="Times New Roman"/>
                <w:color w:val="000000"/>
                <w:sz w:val="20"/>
                <w:szCs w:val="20"/>
                <w:lang w:val="fr-FR"/>
              </w:rPr>
              <w:t xml:space="preserve">Ce champ doit être systématiquement renseigné. </w:t>
            </w:r>
          </w:p>
          <w:p w14:paraId="725DC1D3" w14:textId="77777777" w:rsidR="00D051BC" w:rsidRDefault="00D051BC" w:rsidP="009C7421">
            <w:pPr>
              <w:pStyle w:val="Default"/>
              <w:jc w:val="both"/>
              <w:rPr>
                <w:sz w:val="20"/>
                <w:szCs w:val="20"/>
                <w:lang w:val="fr-FR"/>
              </w:rPr>
            </w:pPr>
          </w:p>
          <w:p w14:paraId="34F4C3C8" w14:textId="7DEC6EA6" w:rsidR="009C7421" w:rsidRPr="00B67CFE" w:rsidRDefault="003605CA" w:rsidP="009C7421">
            <w:pPr>
              <w:pStyle w:val="Default"/>
              <w:jc w:val="both"/>
              <w:rPr>
                <w:sz w:val="20"/>
                <w:szCs w:val="20"/>
                <w:lang w:val="fr-FR"/>
              </w:rPr>
            </w:pPr>
            <w:r w:rsidRPr="003605CA">
              <w:rPr>
                <w:sz w:val="20"/>
                <w:szCs w:val="20"/>
                <w:lang w:val="fr-FR"/>
              </w:rPr>
              <w:t>Identifiant de la ligne (nombre entier) à rapporter dans la remise. Le remettant doit identifier chaque ligne de manière unique.</w:t>
            </w:r>
          </w:p>
        </w:tc>
      </w:tr>
      <w:tr w:rsidR="00940C55" w:rsidRPr="00B67CFE" w14:paraId="6AD56955" w14:textId="77777777" w:rsidTr="00441CAF">
        <w:trPr>
          <w:cantSplit/>
        </w:trPr>
        <w:tc>
          <w:tcPr>
            <w:tcW w:w="1563" w:type="dxa"/>
          </w:tcPr>
          <w:p w14:paraId="1A433BB5" w14:textId="4F5C1F41" w:rsidR="00940C55" w:rsidRPr="00940C55" w:rsidRDefault="003605CA" w:rsidP="00940C55">
            <w:pPr>
              <w:rPr>
                <w:rFonts w:cs="Times New Roman"/>
                <w:color w:val="000000"/>
                <w:sz w:val="20"/>
                <w:szCs w:val="20"/>
                <w:lang w:val="fr-FR"/>
              </w:rPr>
            </w:pPr>
            <w:r w:rsidRPr="003605CA">
              <w:rPr>
                <w:rFonts w:cs="Times New Roman"/>
                <w:color w:val="000000"/>
                <w:sz w:val="20"/>
                <w:szCs w:val="20"/>
                <w:lang w:val="fr-FR"/>
              </w:rPr>
              <w:t>Identifiant du bien</w:t>
            </w:r>
          </w:p>
        </w:tc>
        <w:tc>
          <w:tcPr>
            <w:tcW w:w="1127" w:type="dxa"/>
            <w:noWrap/>
          </w:tcPr>
          <w:p w14:paraId="205651F8" w14:textId="1B372BC2" w:rsidR="00940C55" w:rsidRPr="00940C55" w:rsidRDefault="003605CA" w:rsidP="00940C55">
            <w:pPr>
              <w:rPr>
                <w:rFonts w:cs="Times New Roman"/>
                <w:color w:val="000000"/>
                <w:sz w:val="20"/>
                <w:szCs w:val="20"/>
                <w:lang w:val="fr-FR"/>
              </w:rPr>
            </w:pPr>
            <w:r>
              <w:rPr>
                <w:rFonts w:cs="Times New Roman"/>
                <w:color w:val="000000"/>
                <w:sz w:val="20"/>
                <w:szCs w:val="20"/>
                <w:lang w:val="fr-FR"/>
              </w:rPr>
              <w:t>C0020</w:t>
            </w:r>
          </w:p>
        </w:tc>
        <w:tc>
          <w:tcPr>
            <w:tcW w:w="6372" w:type="dxa"/>
          </w:tcPr>
          <w:p w14:paraId="532B7F38" w14:textId="05A963D9" w:rsidR="00D051BC" w:rsidRDefault="00D051BC" w:rsidP="00940C55">
            <w:pPr>
              <w:jc w:val="both"/>
              <w:rPr>
                <w:rFonts w:cs="Times New Roman"/>
                <w:color w:val="000000"/>
                <w:sz w:val="20"/>
                <w:szCs w:val="20"/>
                <w:lang w:val="fr-FR"/>
              </w:rPr>
            </w:pPr>
            <w:r w:rsidRPr="00D051BC">
              <w:rPr>
                <w:rFonts w:cs="Times New Roman"/>
                <w:color w:val="000000"/>
                <w:sz w:val="20"/>
                <w:szCs w:val="20"/>
                <w:lang w:val="fr-FR"/>
              </w:rPr>
              <w:t>Ce champ doit êt</w:t>
            </w:r>
            <w:r>
              <w:rPr>
                <w:rFonts w:cs="Times New Roman"/>
                <w:color w:val="000000"/>
                <w:sz w:val="20"/>
                <w:szCs w:val="20"/>
                <w:lang w:val="fr-FR"/>
              </w:rPr>
              <w:t xml:space="preserve">re systématiquement renseigné. </w:t>
            </w:r>
          </w:p>
          <w:p w14:paraId="6DE4CF2A" w14:textId="77777777" w:rsidR="00D051BC" w:rsidRDefault="00D051BC" w:rsidP="00940C55">
            <w:pPr>
              <w:jc w:val="both"/>
              <w:rPr>
                <w:rFonts w:cs="Times New Roman"/>
                <w:color w:val="000000"/>
                <w:sz w:val="20"/>
                <w:szCs w:val="20"/>
                <w:lang w:val="fr-FR"/>
              </w:rPr>
            </w:pPr>
          </w:p>
          <w:p w14:paraId="63FCC4FC" w14:textId="28BBDC45" w:rsidR="00940C55" w:rsidRDefault="003605CA" w:rsidP="00940C55">
            <w:pPr>
              <w:jc w:val="both"/>
              <w:rPr>
                <w:rFonts w:cs="Times New Roman"/>
                <w:color w:val="000000"/>
                <w:sz w:val="20"/>
                <w:szCs w:val="20"/>
                <w:lang w:val="fr-FR"/>
              </w:rPr>
            </w:pPr>
            <w:r w:rsidRPr="003605CA">
              <w:rPr>
                <w:rFonts w:cs="Times New Roman"/>
                <w:color w:val="000000"/>
                <w:sz w:val="20"/>
                <w:szCs w:val="20"/>
                <w:lang w:val="fr-FR"/>
              </w:rPr>
              <w:t>Identifiant unique du bien</w:t>
            </w:r>
            <w:r>
              <w:rPr>
                <w:rFonts w:cs="Times New Roman"/>
                <w:color w:val="000000"/>
                <w:sz w:val="20"/>
                <w:szCs w:val="20"/>
                <w:lang w:val="fr-FR"/>
              </w:rPr>
              <w:t xml:space="preserve"> immobilier</w:t>
            </w:r>
            <w:r w:rsidR="007C4E42">
              <w:rPr>
                <w:rFonts w:cs="Times New Roman"/>
                <w:color w:val="000000"/>
                <w:sz w:val="20"/>
                <w:szCs w:val="20"/>
                <w:lang w:val="fr-FR"/>
              </w:rPr>
              <w:t>, il doit être conservé d’une année à l’autre.</w:t>
            </w:r>
            <w:r w:rsidR="00C91637">
              <w:rPr>
                <w:rFonts w:cs="Times New Roman"/>
                <w:color w:val="000000"/>
                <w:sz w:val="20"/>
                <w:szCs w:val="20"/>
                <w:lang w:val="fr-FR"/>
              </w:rPr>
              <w:t xml:space="preserve"> Cela peut être un code ou bien un libellé.</w:t>
            </w:r>
          </w:p>
          <w:p w14:paraId="0FA38796" w14:textId="77777777" w:rsidR="00D051BC" w:rsidRDefault="00D051BC" w:rsidP="00940C55">
            <w:pPr>
              <w:jc w:val="both"/>
              <w:rPr>
                <w:rFonts w:cs="Times New Roman"/>
                <w:color w:val="000000"/>
                <w:sz w:val="20"/>
                <w:szCs w:val="20"/>
                <w:lang w:val="fr-FR"/>
              </w:rPr>
            </w:pPr>
          </w:p>
          <w:p w14:paraId="6F3BF93C" w14:textId="233383E5" w:rsidR="00D051BC" w:rsidRPr="00940C55" w:rsidRDefault="00D051BC">
            <w:pPr>
              <w:jc w:val="both"/>
              <w:rPr>
                <w:rFonts w:cs="Times New Roman"/>
                <w:color w:val="000000"/>
                <w:sz w:val="20"/>
                <w:szCs w:val="20"/>
                <w:lang w:val="fr-FR"/>
              </w:rPr>
            </w:pPr>
            <w:r w:rsidRPr="00E8578C">
              <w:rPr>
                <w:rFonts w:cs="Times New Roman"/>
                <w:color w:val="000000"/>
                <w:sz w:val="20"/>
                <w:szCs w:val="20"/>
                <w:lang w:val="fr-FR"/>
              </w:rPr>
              <w:t>Pour la ligne de total par des sociétés immobilières/foncières non cotées à une bourse OCDE, mettre ici « Total »</w:t>
            </w:r>
            <w:r w:rsidR="00602630">
              <w:rPr>
                <w:rFonts w:cs="Times New Roman"/>
                <w:color w:val="000000"/>
                <w:sz w:val="20"/>
                <w:szCs w:val="20"/>
                <w:lang w:val="fr-FR"/>
              </w:rPr>
              <w:t xml:space="preserve"> uniquement</w:t>
            </w:r>
            <w:r w:rsidRPr="00E8578C">
              <w:rPr>
                <w:rFonts w:cs="Times New Roman"/>
                <w:color w:val="000000"/>
                <w:sz w:val="20"/>
                <w:szCs w:val="20"/>
                <w:lang w:val="fr-FR"/>
              </w:rPr>
              <w:t>.</w:t>
            </w:r>
          </w:p>
        </w:tc>
      </w:tr>
      <w:tr w:rsidR="00F55B59" w:rsidRPr="00B67CFE" w14:paraId="37AEB565" w14:textId="77777777" w:rsidTr="00441CAF">
        <w:trPr>
          <w:cantSplit/>
        </w:trPr>
        <w:tc>
          <w:tcPr>
            <w:tcW w:w="1563" w:type="dxa"/>
          </w:tcPr>
          <w:p w14:paraId="1836C982" w14:textId="5A501011" w:rsidR="00F55B59" w:rsidRPr="00F55B59" w:rsidRDefault="00D051BC" w:rsidP="00F55B59">
            <w:pPr>
              <w:rPr>
                <w:rFonts w:cs="Times New Roman"/>
                <w:color w:val="000000"/>
                <w:sz w:val="20"/>
                <w:szCs w:val="20"/>
                <w:lang w:val="fr-FR"/>
              </w:rPr>
            </w:pPr>
            <w:r w:rsidRPr="00D051BC">
              <w:rPr>
                <w:rFonts w:cs="Times New Roman"/>
                <w:color w:val="000000"/>
                <w:sz w:val="20"/>
                <w:szCs w:val="20"/>
                <w:lang w:val="fr-FR"/>
              </w:rPr>
              <w:t>Code SII de l’actif correspondant</w:t>
            </w:r>
          </w:p>
        </w:tc>
        <w:tc>
          <w:tcPr>
            <w:tcW w:w="1127" w:type="dxa"/>
            <w:noWrap/>
          </w:tcPr>
          <w:p w14:paraId="08DD3BCC" w14:textId="20E9819A" w:rsidR="00F55B59" w:rsidRPr="00F55B59" w:rsidRDefault="00D051BC" w:rsidP="00F55B59">
            <w:pPr>
              <w:rPr>
                <w:rFonts w:cs="Times New Roman"/>
                <w:color w:val="000000"/>
                <w:sz w:val="20"/>
                <w:szCs w:val="20"/>
                <w:lang w:val="fr-FR"/>
              </w:rPr>
            </w:pPr>
            <w:r>
              <w:rPr>
                <w:rFonts w:cs="Times New Roman"/>
                <w:color w:val="000000"/>
                <w:sz w:val="20"/>
                <w:szCs w:val="20"/>
                <w:lang w:val="fr-FR"/>
              </w:rPr>
              <w:t>C0030</w:t>
            </w:r>
          </w:p>
        </w:tc>
        <w:tc>
          <w:tcPr>
            <w:tcW w:w="6372" w:type="dxa"/>
          </w:tcPr>
          <w:p w14:paraId="330AB2F1" w14:textId="11E1AEAC" w:rsidR="00D051BC" w:rsidRDefault="00D051BC" w:rsidP="00D051BC">
            <w:pPr>
              <w:jc w:val="both"/>
              <w:rPr>
                <w:rFonts w:cs="Times New Roman"/>
                <w:color w:val="000000"/>
                <w:sz w:val="20"/>
                <w:szCs w:val="20"/>
                <w:lang w:val="fr-FR"/>
              </w:rPr>
            </w:pPr>
            <w:r w:rsidRPr="00D051BC">
              <w:rPr>
                <w:rFonts w:cs="Times New Roman"/>
                <w:color w:val="000000"/>
                <w:sz w:val="20"/>
                <w:szCs w:val="20"/>
                <w:lang w:val="fr-FR"/>
              </w:rPr>
              <w:t xml:space="preserve">Ce champ doit être systématiquement renseigné. </w:t>
            </w:r>
          </w:p>
          <w:p w14:paraId="19F6A912" w14:textId="77777777" w:rsidR="00D051BC" w:rsidRPr="00D051BC" w:rsidRDefault="00D051BC" w:rsidP="00D051BC">
            <w:pPr>
              <w:jc w:val="both"/>
              <w:rPr>
                <w:rFonts w:cs="Times New Roman"/>
                <w:color w:val="000000"/>
                <w:sz w:val="20"/>
                <w:szCs w:val="20"/>
                <w:lang w:val="fr-FR"/>
              </w:rPr>
            </w:pPr>
          </w:p>
          <w:p w14:paraId="3C7F951A" w14:textId="49FE10FE" w:rsidR="00D051BC" w:rsidRDefault="00D051BC" w:rsidP="00D051BC">
            <w:pPr>
              <w:jc w:val="both"/>
              <w:rPr>
                <w:rFonts w:cs="Times New Roman"/>
                <w:color w:val="000000"/>
                <w:sz w:val="20"/>
                <w:szCs w:val="20"/>
                <w:lang w:val="fr-FR"/>
              </w:rPr>
            </w:pPr>
            <w:r w:rsidRPr="00D051BC">
              <w:rPr>
                <w:rFonts w:cs="Times New Roman"/>
                <w:color w:val="000000"/>
                <w:sz w:val="20"/>
                <w:szCs w:val="20"/>
                <w:lang w:val="fr-FR"/>
              </w:rPr>
              <w:t>Pour les biens détenus directement</w:t>
            </w:r>
            <w:r w:rsidR="000F4A34">
              <w:rPr>
                <w:rFonts w:cs="Times New Roman"/>
                <w:color w:val="000000"/>
                <w:sz w:val="20"/>
                <w:szCs w:val="20"/>
                <w:lang w:val="fr-FR"/>
              </w:rPr>
              <w:t xml:space="preserve"> et les parts de sociétés </w:t>
            </w:r>
            <w:r w:rsidR="000F4A34" w:rsidRPr="000F4A34">
              <w:rPr>
                <w:rFonts w:cs="Times New Roman"/>
                <w:color w:val="000000"/>
                <w:sz w:val="20"/>
                <w:szCs w:val="20"/>
                <w:lang w:val="fr-FR"/>
              </w:rPr>
              <w:t>immobilières/foncières non cotées à une bourse OCDE</w:t>
            </w:r>
            <w:r w:rsidRPr="00D051BC">
              <w:rPr>
                <w:rFonts w:cs="Times New Roman"/>
                <w:color w:val="000000"/>
                <w:sz w:val="20"/>
                <w:szCs w:val="20"/>
                <w:lang w:val="fr-FR"/>
              </w:rPr>
              <w:t>, il faut saisir ici le même code que celui exploité pour identifier ce bien dans l’état S.06.02</w:t>
            </w:r>
            <w:r w:rsidR="00C91637">
              <w:rPr>
                <w:rFonts w:cs="Times New Roman"/>
                <w:color w:val="000000"/>
                <w:sz w:val="20"/>
                <w:szCs w:val="20"/>
                <w:lang w:val="fr-FR"/>
              </w:rPr>
              <w:t xml:space="preserve"> pour les remettants soumis à S2. </w:t>
            </w:r>
            <w:r w:rsidR="00F33B3B">
              <w:rPr>
                <w:rFonts w:cs="Times New Roman"/>
                <w:color w:val="000000"/>
                <w:sz w:val="20"/>
                <w:szCs w:val="20"/>
                <w:lang w:val="fr-FR"/>
              </w:rPr>
              <w:t>Les remettants non soumis à S2</w:t>
            </w:r>
            <w:r w:rsidR="00C91637">
              <w:rPr>
                <w:rFonts w:cs="Times New Roman"/>
                <w:color w:val="000000"/>
                <w:sz w:val="20"/>
                <w:szCs w:val="20"/>
                <w:lang w:val="fr-FR"/>
              </w:rPr>
              <w:t xml:space="preserve"> doivent préciser ici un code unique (cela peut être celui saisie en C0020 pour les biens détenus directement)</w:t>
            </w:r>
            <w:r w:rsidR="00F33B3B">
              <w:rPr>
                <w:rFonts w:cs="Times New Roman"/>
                <w:color w:val="000000"/>
                <w:sz w:val="20"/>
                <w:szCs w:val="20"/>
                <w:lang w:val="fr-FR"/>
              </w:rPr>
              <w:t xml:space="preserve">. Ce code doit être conservé d’une année à l’autre. </w:t>
            </w:r>
          </w:p>
          <w:p w14:paraId="4DA94515" w14:textId="77777777" w:rsidR="00D051BC" w:rsidRPr="00D051BC" w:rsidRDefault="00D051BC" w:rsidP="00D051BC">
            <w:pPr>
              <w:jc w:val="both"/>
              <w:rPr>
                <w:rFonts w:cs="Times New Roman"/>
                <w:color w:val="000000"/>
                <w:sz w:val="20"/>
                <w:szCs w:val="20"/>
                <w:lang w:val="fr-FR"/>
              </w:rPr>
            </w:pPr>
          </w:p>
          <w:p w14:paraId="2A4BC419" w14:textId="32DEB684" w:rsidR="00D12CCC" w:rsidRPr="00F55B59" w:rsidRDefault="00D051BC" w:rsidP="00D051BC">
            <w:pPr>
              <w:jc w:val="both"/>
              <w:rPr>
                <w:rFonts w:cs="Times New Roman"/>
                <w:color w:val="000000"/>
                <w:sz w:val="20"/>
                <w:szCs w:val="20"/>
                <w:lang w:val="fr-FR"/>
              </w:rPr>
            </w:pPr>
            <w:r w:rsidRPr="00D051BC">
              <w:rPr>
                <w:rFonts w:cs="Times New Roman"/>
                <w:color w:val="000000"/>
                <w:sz w:val="20"/>
                <w:szCs w:val="20"/>
                <w:lang w:val="fr-FR"/>
              </w:rPr>
              <w:t>Pour les biens détenus indirectement via des sociétés immobilières/foncières non cotées à une bourse OCDE, il faut fournir ici le code exploité pour identifier cette société immobilière/foncière dans l’état S.06.02</w:t>
            </w:r>
            <w:r w:rsidR="00F33B3B">
              <w:rPr>
                <w:rFonts w:cs="Times New Roman"/>
                <w:color w:val="000000"/>
                <w:sz w:val="20"/>
                <w:szCs w:val="20"/>
                <w:lang w:val="fr-FR"/>
              </w:rPr>
              <w:t xml:space="preserve"> pour les remettants soumis à S2. Les remettants non soumis à S2 doivent réutiliser ici le code unique de la </w:t>
            </w:r>
            <w:r w:rsidR="00F33B3B" w:rsidRPr="00F33B3B">
              <w:rPr>
                <w:rFonts w:cs="Times New Roman"/>
                <w:color w:val="000000"/>
                <w:sz w:val="20"/>
                <w:szCs w:val="20"/>
                <w:lang w:val="fr-FR"/>
              </w:rPr>
              <w:t>sociétés immobilières/foncières non cotées à une bourse OCDE</w:t>
            </w:r>
            <w:r w:rsidR="00F33B3B">
              <w:rPr>
                <w:rFonts w:cs="Times New Roman"/>
                <w:color w:val="000000"/>
                <w:sz w:val="20"/>
                <w:szCs w:val="20"/>
                <w:lang w:val="fr-FR"/>
              </w:rPr>
              <w:t>.</w:t>
            </w:r>
          </w:p>
        </w:tc>
      </w:tr>
      <w:tr w:rsidR="00D051BC" w:rsidRPr="00B67CFE" w14:paraId="45C1AB6D" w14:textId="77777777" w:rsidTr="00441CAF">
        <w:trPr>
          <w:cantSplit/>
        </w:trPr>
        <w:tc>
          <w:tcPr>
            <w:tcW w:w="1563" w:type="dxa"/>
          </w:tcPr>
          <w:p w14:paraId="5B3DE8EE" w14:textId="1CB2AAE0" w:rsidR="00D051BC" w:rsidRPr="00D051BC" w:rsidRDefault="00D051BC" w:rsidP="00F55B59">
            <w:pPr>
              <w:rPr>
                <w:rFonts w:cs="Times New Roman"/>
                <w:color w:val="000000"/>
                <w:sz w:val="20"/>
                <w:szCs w:val="20"/>
                <w:lang w:val="fr-FR"/>
              </w:rPr>
            </w:pPr>
            <w:r w:rsidRPr="00D051BC">
              <w:rPr>
                <w:rFonts w:cs="Times New Roman"/>
                <w:color w:val="000000"/>
                <w:sz w:val="20"/>
                <w:szCs w:val="20"/>
                <w:lang w:val="fr-FR"/>
              </w:rPr>
              <w:t>Type de code SII de l’actif correspondant</w:t>
            </w:r>
          </w:p>
        </w:tc>
        <w:tc>
          <w:tcPr>
            <w:tcW w:w="1127" w:type="dxa"/>
            <w:noWrap/>
          </w:tcPr>
          <w:p w14:paraId="711DCB8C" w14:textId="5A71D185" w:rsidR="00D051BC" w:rsidRPr="00D051BC" w:rsidRDefault="00D051BC" w:rsidP="00F55B59">
            <w:pPr>
              <w:rPr>
                <w:rFonts w:cs="Times New Roman"/>
                <w:color w:val="000000"/>
                <w:sz w:val="20"/>
                <w:szCs w:val="20"/>
                <w:lang w:val="fr-FR"/>
              </w:rPr>
            </w:pPr>
            <w:r>
              <w:rPr>
                <w:rFonts w:cs="Times New Roman"/>
                <w:color w:val="000000"/>
                <w:sz w:val="20"/>
                <w:szCs w:val="20"/>
                <w:lang w:val="fr-FR"/>
              </w:rPr>
              <w:t>C0040</w:t>
            </w:r>
          </w:p>
        </w:tc>
        <w:tc>
          <w:tcPr>
            <w:tcW w:w="6372" w:type="dxa"/>
          </w:tcPr>
          <w:p w14:paraId="46038084" w14:textId="5B39C548" w:rsidR="00D051BC" w:rsidRDefault="00D051BC" w:rsidP="00D051BC">
            <w:pPr>
              <w:jc w:val="both"/>
              <w:rPr>
                <w:rFonts w:cs="Times New Roman"/>
                <w:color w:val="000000"/>
                <w:sz w:val="20"/>
                <w:szCs w:val="20"/>
                <w:lang w:val="fr-FR"/>
              </w:rPr>
            </w:pPr>
            <w:r w:rsidRPr="00D051BC">
              <w:rPr>
                <w:rFonts w:cs="Times New Roman"/>
                <w:color w:val="000000"/>
                <w:sz w:val="20"/>
                <w:szCs w:val="20"/>
                <w:lang w:val="fr-FR"/>
              </w:rPr>
              <w:t xml:space="preserve">Ce champ doit être systématiquement renseigné. </w:t>
            </w:r>
          </w:p>
          <w:p w14:paraId="52523572" w14:textId="77777777" w:rsidR="00D051BC" w:rsidRPr="00D051BC" w:rsidRDefault="00D051BC" w:rsidP="00D051BC">
            <w:pPr>
              <w:jc w:val="both"/>
              <w:rPr>
                <w:rFonts w:cs="Times New Roman"/>
                <w:color w:val="000000"/>
                <w:sz w:val="20"/>
                <w:szCs w:val="20"/>
                <w:lang w:val="fr-FR"/>
              </w:rPr>
            </w:pPr>
          </w:p>
          <w:p w14:paraId="6919DA84" w14:textId="07198609" w:rsidR="00D051BC" w:rsidRDefault="00D051BC" w:rsidP="00D051BC">
            <w:pPr>
              <w:jc w:val="both"/>
              <w:rPr>
                <w:rFonts w:cs="Times New Roman"/>
                <w:color w:val="000000"/>
                <w:sz w:val="20"/>
                <w:szCs w:val="20"/>
                <w:lang w:val="fr-FR"/>
              </w:rPr>
            </w:pPr>
            <w:r w:rsidRPr="00D051BC">
              <w:rPr>
                <w:rFonts w:cs="Times New Roman"/>
                <w:color w:val="000000"/>
                <w:sz w:val="20"/>
                <w:szCs w:val="20"/>
                <w:lang w:val="fr-FR"/>
              </w:rPr>
              <w:t>Il faut préciser ic</w:t>
            </w:r>
            <w:r>
              <w:rPr>
                <w:rFonts w:cs="Times New Roman"/>
                <w:color w:val="000000"/>
                <w:sz w:val="20"/>
                <w:szCs w:val="20"/>
                <w:lang w:val="fr-FR"/>
              </w:rPr>
              <w:t xml:space="preserve">i le type </w:t>
            </w:r>
            <w:r w:rsidR="00106A4B">
              <w:rPr>
                <w:rFonts w:cs="Times New Roman"/>
                <w:color w:val="000000"/>
                <w:sz w:val="20"/>
                <w:szCs w:val="20"/>
                <w:lang w:val="fr-FR"/>
              </w:rPr>
              <w:t>du code saisi</w:t>
            </w:r>
            <w:r>
              <w:rPr>
                <w:rFonts w:cs="Times New Roman"/>
                <w:color w:val="000000"/>
                <w:sz w:val="20"/>
                <w:szCs w:val="20"/>
                <w:lang w:val="fr-FR"/>
              </w:rPr>
              <w:t xml:space="preserve"> en C003</w:t>
            </w:r>
            <w:r w:rsidRPr="00D051BC">
              <w:rPr>
                <w:rFonts w:cs="Times New Roman"/>
                <w:color w:val="000000"/>
                <w:sz w:val="20"/>
                <w:szCs w:val="20"/>
                <w:lang w:val="fr-FR"/>
              </w:rPr>
              <w:t xml:space="preserve">0. Choisir impérativement l'une </w:t>
            </w:r>
            <w:r w:rsidR="00106A4B" w:rsidRPr="00D051BC">
              <w:rPr>
                <w:rFonts w:cs="Times New Roman"/>
                <w:color w:val="000000"/>
                <w:sz w:val="20"/>
                <w:szCs w:val="20"/>
                <w:lang w:val="fr-FR"/>
              </w:rPr>
              <w:t xml:space="preserve">des options </w:t>
            </w:r>
            <w:r w:rsidR="00106A4B">
              <w:rPr>
                <w:rFonts w:cs="Times New Roman"/>
                <w:color w:val="000000"/>
                <w:sz w:val="20"/>
                <w:szCs w:val="20"/>
                <w:lang w:val="fr-FR"/>
              </w:rPr>
              <w:t>suivantes</w:t>
            </w:r>
            <w:r>
              <w:rPr>
                <w:rFonts w:cs="Times New Roman"/>
                <w:color w:val="000000"/>
                <w:sz w:val="20"/>
                <w:szCs w:val="20"/>
                <w:lang w:val="fr-FR"/>
              </w:rPr>
              <w:t> :</w:t>
            </w:r>
          </w:p>
          <w:p w14:paraId="3FCBA3E9" w14:textId="77777777" w:rsidR="00D051BC" w:rsidRPr="00D051BC" w:rsidRDefault="00D051BC" w:rsidP="00D051BC">
            <w:pPr>
              <w:jc w:val="both"/>
              <w:rPr>
                <w:rFonts w:cs="Times New Roman"/>
                <w:color w:val="000000"/>
                <w:sz w:val="20"/>
                <w:szCs w:val="20"/>
                <w:lang w:val="fr-FR"/>
              </w:rPr>
            </w:pPr>
            <w:r w:rsidRPr="00D051BC">
              <w:rPr>
                <w:rFonts w:cs="Times New Roman"/>
                <w:color w:val="000000"/>
                <w:sz w:val="20"/>
                <w:szCs w:val="20"/>
                <w:lang w:val="fr-FR"/>
              </w:rPr>
              <w:t>1 - code ISIN de l'ISO 6166</w:t>
            </w:r>
          </w:p>
          <w:p w14:paraId="1C5BA646" w14:textId="32E2B7EF" w:rsidR="00D051BC" w:rsidRPr="00D051BC" w:rsidRDefault="00D051BC" w:rsidP="00D051BC">
            <w:pPr>
              <w:jc w:val="both"/>
              <w:rPr>
                <w:rFonts w:cs="Times New Roman"/>
                <w:color w:val="000000"/>
                <w:sz w:val="20"/>
                <w:szCs w:val="20"/>
                <w:lang w:val="fr-FR"/>
              </w:rPr>
            </w:pPr>
            <w:r w:rsidRPr="00D051BC">
              <w:rPr>
                <w:rFonts w:cs="Times New Roman"/>
                <w:color w:val="000000"/>
                <w:sz w:val="20"/>
                <w:szCs w:val="20"/>
                <w:lang w:val="fr-FR"/>
              </w:rPr>
              <w:t>2 - code CUSIP (</w:t>
            </w:r>
            <w:proofErr w:type="spellStart"/>
            <w:r w:rsidRPr="00D051BC">
              <w:rPr>
                <w:rFonts w:cs="Times New Roman"/>
                <w:color w:val="000000"/>
                <w:sz w:val="20"/>
                <w:szCs w:val="20"/>
                <w:lang w:val="fr-FR"/>
              </w:rPr>
              <w:t>Committee</w:t>
            </w:r>
            <w:proofErr w:type="spellEnd"/>
            <w:r w:rsidRPr="00D051BC">
              <w:rPr>
                <w:rFonts w:cs="Times New Roman"/>
                <w:color w:val="000000"/>
                <w:sz w:val="20"/>
                <w:szCs w:val="20"/>
                <w:lang w:val="fr-FR"/>
              </w:rPr>
              <w:t xml:space="preserve"> on Uniform Securities Identification </w:t>
            </w:r>
            <w:proofErr w:type="spellStart"/>
            <w:r w:rsidRPr="00D051BC">
              <w:rPr>
                <w:rFonts w:cs="Times New Roman"/>
                <w:color w:val="000000"/>
                <w:sz w:val="20"/>
                <w:szCs w:val="20"/>
                <w:lang w:val="fr-FR"/>
              </w:rPr>
              <w:t>Procedures</w:t>
            </w:r>
            <w:proofErr w:type="spellEnd"/>
            <w:proofErr w:type="gramStart"/>
            <w:r w:rsidRPr="00D051BC">
              <w:rPr>
                <w:rFonts w:cs="Times New Roman"/>
                <w:color w:val="000000"/>
                <w:sz w:val="20"/>
                <w:szCs w:val="20"/>
                <w:lang w:val="fr-FR"/>
              </w:rPr>
              <w:t>):</w:t>
            </w:r>
            <w:proofErr w:type="gramEnd"/>
            <w:r w:rsidRPr="00D051BC">
              <w:rPr>
                <w:rFonts w:cs="Times New Roman"/>
                <w:color w:val="000000"/>
                <w:sz w:val="20"/>
                <w:szCs w:val="20"/>
                <w:lang w:val="fr-FR"/>
              </w:rPr>
              <w:t xml:space="preserve"> numéro attribué par le CUSIP Service Bureau pour les</w:t>
            </w:r>
            <w:r w:rsidR="00334BE2">
              <w:rPr>
                <w:rFonts w:cs="Times New Roman"/>
                <w:color w:val="000000"/>
                <w:sz w:val="20"/>
                <w:szCs w:val="20"/>
                <w:lang w:val="fr-FR"/>
              </w:rPr>
              <w:t xml:space="preserve"> </w:t>
            </w:r>
            <w:r w:rsidRPr="00D051BC">
              <w:rPr>
                <w:rFonts w:cs="Times New Roman"/>
                <w:color w:val="000000"/>
                <w:sz w:val="20"/>
                <w:szCs w:val="20"/>
                <w:lang w:val="fr-FR"/>
              </w:rPr>
              <w:t>entreprises américaines et canadiennes</w:t>
            </w:r>
          </w:p>
          <w:p w14:paraId="03069B3C" w14:textId="672416E0" w:rsidR="00D051BC" w:rsidRPr="00D051BC" w:rsidRDefault="00D051BC" w:rsidP="00D051BC">
            <w:pPr>
              <w:jc w:val="both"/>
              <w:rPr>
                <w:rFonts w:cs="Times New Roman"/>
                <w:color w:val="000000"/>
                <w:sz w:val="20"/>
                <w:szCs w:val="20"/>
                <w:lang w:val="fr-FR"/>
              </w:rPr>
            </w:pPr>
            <w:r w:rsidRPr="00D051BC">
              <w:rPr>
                <w:rFonts w:cs="Times New Roman"/>
                <w:color w:val="000000"/>
                <w:sz w:val="20"/>
                <w:szCs w:val="20"/>
                <w:lang w:val="fr-FR"/>
              </w:rPr>
              <w:t>3 - SEDOL (Stock Exchange Daily Official List pour la bourse de</w:t>
            </w:r>
            <w:r w:rsidR="000B5620">
              <w:rPr>
                <w:rFonts w:cs="Times New Roman"/>
                <w:color w:val="000000"/>
                <w:sz w:val="20"/>
                <w:szCs w:val="20"/>
                <w:lang w:val="fr-FR"/>
              </w:rPr>
              <w:t xml:space="preserve"> </w:t>
            </w:r>
            <w:r w:rsidRPr="00D051BC">
              <w:rPr>
                <w:rFonts w:cs="Times New Roman"/>
                <w:color w:val="000000"/>
                <w:sz w:val="20"/>
                <w:szCs w:val="20"/>
                <w:lang w:val="fr-FR"/>
              </w:rPr>
              <w:t>Londres)</w:t>
            </w:r>
          </w:p>
          <w:p w14:paraId="2F7E0212" w14:textId="3EB722BE" w:rsidR="00D051BC" w:rsidRPr="00D051BC" w:rsidRDefault="00D051BC" w:rsidP="00D051BC">
            <w:pPr>
              <w:jc w:val="both"/>
              <w:rPr>
                <w:rFonts w:cs="Times New Roman"/>
                <w:color w:val="000000"/>
                <w:sz w:val="20"/>
                <w:szCs w:val="20"/>
                <w:lang w:val="fr-FR"/>
              </w:rPr>
            </w:pPr>
            <w:r w:rsidRPr="00D051BC">
              <w:rPr>
                <w:rFonts w:cs="Times New Roman"/>
                <w:color w:val="000000"/>
                <w:sz w:val="20"/>
                <w:szCs w:val="20"/>
                <w:lang w:val="fr-FR"/>
              </w:rPr>
              <w:t>4</w:t>
            </w:r>
            <w:r w:rsidR="003C512F">
              <w:rPr>
                <w:rFonts w:cs="Times New Roman"/>
                <w:color w:val="000000"/>
                <w:sz w:val="20"/>
                <w:szCs w:val="20"/>
                <w:lang w:val="fr-FR"/>
              </w:rPr>
              <w:t xml:space="preserve"> </w:t>
            </w:r>
            <w:r w:rsidRPr="00D051BC">
              <w:rPr>
                <w:rFonts w:cs="Times New Roman"/>
                <w:color w:val="000000"/>
                <w:sz w:val="20"/>
                <w:szCs w:val="20"/>
                <w:lang w:val="fr-FR"/>
              </w:rPr>
              <w:t>- WKN (</w:t>
            </w:r>
            <w:proofErr w:type="spellStart"/>
            <w:r w:rsidRPr="00D051BC">
              <w:rPr>
                <w:rFonts w:cs="Times New Roman"/>
                <w:color w:val="000000"/>
                <w:sz w:val="20"/>
                <w:szCs w:val="20"/>
                <w:lang w:val="fr-FR"/>
              </w:rPr>
              <w:t>Wertpapier</w:t>
            </w:r>
            <w:proofErr w:type="spellEnd"/>
            <w:r w:rsidRPr="00D051BC">
              <w:rPr>
                <w:rFonts w:cs="Times New Roman"/>
                <w:color w:val="000000"/>
                <w:sz w:val="20"/>
                <w:szCs w:val="20"/>
                <w:lang w:val="fr-FR"/>
              </w:rPr>
              <w:t xml:space="preserve"> Kenn-</w:t>
            </w:r>
            <w:proofErr w:type="spellStart"/>
            <w:r w:rsidRPr="00D051BC">
              <w:rPr>
                <w:rFonts w:cs="Times New Roman"/>
                <w:color w:val="000000"/>
                <w:sz w:val="20"/>
                <w:szCs w:val="20"/>
                <w:lang w:val="fr-FR"/>
              </w:rPr>
              <w:t>Nummer</w:t>
            </w:r>
            <w:proofErr w:type="spellEnd"/>
            <w:r w:rsidRPr="00D051BC">
              <w:rPr>
                <w:rFonts w:cs="Times New Roman"/>
                <w:color w:val="000000"/>
                <w:sz w:val="20"/>
                <w:szCs w:val="20"/>
                <w:lang w:val="fr-FR"/>
              </w:rPr>
              <w:t>, le numéro d'identification alphanumérique allemand)</w:t>
            </w:r>
          </w:p>
          <w:p w14:paraId="10224C01" w14:textId="77777777" w:rsidR="00D051BC" w:rsidRPr="00D051BC" w:rsidRDefault="00D051BC" w:rsidP="00D051BC">
            <w:pPr>
              <w:jc w:val="both"/>
              <w:rPr>
                <w:rFonts w:cs="Times New Roman"/>
                <w:color w:val="000000"/>
                <w:sz w:val="20"/>
                <w:szCs w:val="20"/>
                <w:lang w:val="fr-FR"/>
              </w:rPr>
            </w:pPr>
            <w:r w:rsidRPr="00D051BC">
              <w:rPr>
                <w:rFonts w:cs="Times New Roman"/>
                <w:color w:val="000000"/>
                <w:sz w:val="20"/>
                <w:szCs w:val="20"/>
                <w:lang w:val="fr-FR"/>
              </w:rPr>
              <w:t xml:space="preserve">5 - Bloomberg </w:t>
            </w:r>
            <w:proofErr w:type="spellStart"/>
            <w:r w:rsidRPr="00D051BC">
              <w:rPr>
                <w:rFonts w:cs="Times New Roman"/>
                <w:color w:val="000000"/>
                <w:sz w:val="20"/>
                <w:szCs w:val="20"/>
                <w:lang w:val="fr-FR"/>
              </w:rPr>
              <w:t>Ticker</w:t>
            </w:r>
            <w:proofErr w:type="spellEnd"/>
            <w:r w:rsidRPr="00D051BC">
              <w:rPr>
                <w:rFonts w:cs="Times New Roman"/>
                <w:color w:val="000000"/>
                <w:sz w:val="20"/>
                <w:szCs w:val="20"/>
                <w:lang w:val="fr-FR"/>
              </w:rPr>
              <w:t xml:space="preserve"> (code à lettres Bloomberg d'identification des titres d'une société)</w:t>
            </w:r>
          </w:p>
          <w:p w14:paraId="0ECA7638" w14:textId="77777777" w:rsidR="00D051BC" w:rsidRPr="00D051BC" w:rsidRDefault="00D051BC" w:rsidP="00D051BC">
            <w:pPr>
              <w:jc w:val="both"/>
              <w:rPr>
                <w:rFonts w:cs="Times New Roman"/>
                <w:color w:val="000000"/>
                <w:sz w:val="20"/>
                <w:szCs w:val="20"/>
                <w:lang w:val="fr-FR"/>
              </w:rPr>
            </w:pPr>
            <w:r w:rsidRPr="00D051BC">
              <w:rPr>
                <w:rFonts w:cs="Times New Roman"/>
                <w:color w:val="000000"/>
                <w:sz w:val="20"/>
                <w:szCs w:val="20"/>
                <w:lang w:val="fr-FR"/>
              </w:rPr>
              <w:t>6 - BBGID (Bloomberg Global ID)</w:t>
            </w:r>
          </w:p>
          <w:p w14:paraId="0825EA22" w14:textId="77777777" w:rsidR="00D051BC" w:rsidRPr="00D051BC" w:rsidRDefault="00D051BC" w:rsidP="00D051BC">
            <w:pPr>
              <w:jc w:val="both"/>
              <w:rPr>
                <w:rFonts w:cs="Times New Roman"/>
                <w:color w:val="000000"/>
                <w:sz w:val="20"/>
                <w:szCs w:val="20"/>
                <w:lang w:val="fr-FR"/>
              </w:rPr>
            </w:pPr>
            <w:r w:rsidRPr="00D051BC">
              <w:rPr>
                <w:rFonts w:cs="Times New Roman"/>
                <w:color w:val="000000"/>
                <w:sz w:val="20"/>
                <w:szCs w:val="20"/>
                <w:lang w:val="fr-FR"/>
              </w:rPr>
              <w:t>7 - Reuters RIC (Reuters Instrument Code)</w:t>
            </w:r>
          </w:p>
          <w:p w14:paraId="3193DF23" w14:textId="77777777" w:rsidR="00D051BC" w:rsidRPr="00D051BC" w:rsidRDefault="00D051BC" w:rsidP="00D051BC">
            <w:pPr>
              <w:jc w:val="both"/>
              <w:rPr>
                <w:rFonts w:cs="Times New Roman"/>
                <w:color w:val="000000"/>
                <w:sz w:val="20"/>
                <w:szCs w:val="20"/>
                <w:lang w:val="fr-FR"/>
              </w:rPr>
            </w:pPr>
            <w:r w:rsidRPr="00D051BC">
              <w:rPr>
                <w:rFonts w:cs="Times New Roman"/>
                <w:color w:val="000000"/>
                <w:sz w:val="20"/>
                <w:szCs w:val="20"/>
                <w:lang w:val="fr-FR"/>
              </w:rPr>
              <w:t>8 - FIGI (Financial Instrument Global Identifier)</w:t>
            </w:r>
          </w:p>
          <w:p w14:paraId="10E411D1" w14:textId="77777777" w:rsidR="00D051BC" w:rsidRPr="00D051BC" w:rsidRDefault="00D051BC" w:rsidP="00D051BC">
            <w:pPr>
              <w:jc w:val="both"/>
              <w:rPr>
                <w:rFonts w:cs="Times New Roman"/>
                <w:color w:val="000000"/>
                <w:sz w:val="20"/>
                <w:szCs w:val="20"/>
                <w:lang w:val="fr-FR"/>
              </w:rPr>
            </w:pPr>
            <w:r w:rsidRPr="00D051BC">
              <w:rPr>
                <w:rFonts w:cs="Times New Roman"/>
                <w:color w:val="000000"/>
                <w:sz w:val="20"/>
                <w:szCs w:val="20"/>
                <w:lang w:val="fr-FR"/>
              </w:rPr>
              <w:t>9 - Autre code attribué par un membre de l'Association des agences nationales de codification</w:t>
            </w:r>
          </w:p>
          <w:p w14:paraId="1F16B8F1" w14:textId="188C3913" w:rsidR="00D051BC" w:rsidRPr="00D051BC" w:rsidRDefault="00D051BC" w:rsidP="00D051BC">
            <w:pPr>
              <w:jc w:val="both"/>
              <w:rPr>
                <w:rFonts w:cs="Times New Roman"/>
                <w:color w:val="000000"/>
                <w:sz w:val="20"/>
                <w:szCs w:val="20"/>
                <w:lang w:val="fr-FR"/>
              </w:rPr>
            </w:pPr>
            <w:r w:rsidRPr="00D051BC">
              <w:rPr>
                <w:rFonts w:cs="Times New Roman"/>
                <w:color w:val="000000"/>
                <w:sz w:val="20"/>
                <w:szCs w:val="20"/>
                <w:lang w:val="fr-FR"/>
              </w:rPr>
              <w:t>99 - Code attribué par l'entreprise</w:t>
            </w:r>
          </w:p>
        </w:tc>
      </w:tr>
      <w:tr w:rsidR="00106A4B" w:rsidRPr="00B67CFE" w14:paraId="445E7E47" w14:textId="77777777" w:rsidTr="00441CAF">
        <w:trPr>
          <w:cantSplit/>
        </w:trPr>
        <w:tc>
          <w:tcPr>
            <w:tcW w:w="1563" w:type="dxa"/>
          </w:tcPr>
          <w:p w14:paraId="245FB225" w14:textId="35D330CA" w:rsidR="00106A4B" w:rsidRPr="00D051BC" w:rsidRDefault="00106A4B" w:rsidP="00F55B59">
            <w:pPr>
              <w:rPr>
                <w:rFonts w:cs="Times New Roman"/>
                <w:color w:val="000000"/>
                <w:sz w:val="20"/>
                <w:szCs w:val="20"/>
              </w:rPr>
            </w:pPr>
            <w:r w:rsidRPr="00106A4B">
              <w:rPr>
                <w:rFonts w:cs="Times New Roman"/>
                <w:color w:val="000000"/>
                <w:sz w:val="20"/>
                <w:szCs w:val="20"/>
              </w:rPr>
              <w:lastRenderedPageBreak/>
              <w:t>Nature du bien</w:t>
            </w:r>
          </w:p>
        </w:tc>
        <w:tc>
          <w:tcPr>
            <w:tcW w:w="1127" w:type="dxa"/>
            <w:noWrap/>
          </w:tcPr>
          <w:p w14:paraId="0641EA92" w14:textId="28BD389C" w:rsidR="00106A4B" w:rsidRDefault="00106A4B" w:rsidP="00F55B59">
            <w:pPr>
              <w:rPr>
                <w:rFonts w:cs="Times New Roman"/>
                <w:color w:val="000000"/>
                <w:sz w:val="20"/>
                <w:szCs w:val="20"/>
              </w:rPr>
            </w:pPr>
            <w:r>
              <w:rPr>
                <w:rFonts w:cs="Times New Roman"/>
                <w:color w:val="000000"/>
                <w:sz w:val="20"/>
                <w:szCs w:val="20"/>
              </w:rPr>
              <w:t>C0050</w:t>
            </w:r>
          </w:p>
        </w:tc>
        <w:tc>
          <w:tcPr>
            <w:tcW w:w="6372" w:type="dxa"/>
          </w:tcPr>
          <w:p w14:paraId="295C50D3" w14:textId="5F8C9DAE" w:rsidR="00106A4B" w:rsidRDefault="00E66D49" w:rsidP="00D051BC">
            <w:pPr>
              <w:jc w:val="both"/>
              <w:rPr>
                <w:rFonts w:cs="Times New Roman"/>
                <w:color w:val="000000"/>
                <w:sz w:val="20"/>
                <w:szCs w:val="20"/>
                <w:lang w:val="fr-FR"/>
              </w:rPr>
            </w:pPr>
            <w:r>
              <w:rPr>
                <w:rFonts w:cs="Times New Roman"/>
                <w:color w:val="000000"/>
                <w:sz w:val="20"/>
                <w:szCs w:val="20"/>
                <w:lang w:val="fr-FR"/>
              </w:rPr>
              <w:t xml:space="preserve">Compte-tenu du </w:t>
            </w:r>
            <w:r w:rsidR="00BD7655">
              <w:rPr>
                <w:rFonts w:cs="Times New Roman"/>
                <w:color w:val="000000"/>
                <w:sz w:val="20"/>
                <w:szCs w:val="20"/>
                <w:lang w:val="fr-FR"/>
              </w:rPr>
              <w:t xml:space="preserve">par. </w:t>
            </w:r>
            <w:r>
              <w:rPr>
                <w:rFonts w:cs="Times New Roman"/>
                <w:color w:val="000000"/>
                <w:sz w:val="20"/>
                <w:szCs w:val="20"/>
                <w:lang w:val="fr-FR"/>
              </w:rPr>
              <w:t xml:space="preserve">3 de l’annexe V de la </w:t>
            </w:r>
            <w:hyperlink r:id="rId7" w:history="1">
              <w:r w:rsidRPr="00E66D49">
                <w:rPr>
                  <w:rStyle w:val="Lienhypertexte"/>
                  <w:rFonts w:cs="Times New Roman"/>
                  <w:sz w:val="20"/>
                  <w:szCs w:val="20"/>
                  <w:lang w:val="fr-FR"/>
                </w:rPr>
                <w:t>recommandation ESRB/2019/3</w:t>
              </w:r>
            </w:hyperlink>
            <w:r>
              <w:rPr>
                <w:rFonts w:cs="Times New Roman"/>
                <w:color w:val="000000"/>
                <w:sz w:val="20"/>
                <w:szCs w:val="20"/>
                <w:lang w:val="fr-FR"/>
              </w:rPr>
              <w:t>, c</w:t>
            </w:r>
            <w:r w:rsidR="00106A4B" w:rsidRPr="00D051BC">
              <w:rPr>
                <w:rFonts w:cs="Times New Roman"/>
                <w:color w:val="000000"/>
                <w:sz w:val="20"/>
                <w:szCs w:val="20"/>
                <w:lang w:val="fr-FR"/>
              </w:rPr>
              <w:t xml:space="preserve">hoisir impérativement l'une des options </w:t>
            </w:r>
            <w:r w:rsidR="00106A4B">
              <w:rPr>
                <w:rFonts w:cs="Times New Roman"/>
                <w:color w:val="000000"/>
                <w:sz w:val="20"/>
                <w:szCs w:val="20"/>
                <w:lang w:val="fr-FR"/>
              </w:rPr>
              <w:t>suivantes :</w:t>
            </w:r>
          </w:p>
          <w:p w14:paraId="3ADF2E9F" w14:textId="5BE80CD4" w:rsidR="00106A4B" w:rsidRPr="00106A4B" w:rsidRDefault="00106A4B" w:rsidP="00106A4B">
            <w:pPr>
              <w:jc w:val="both"/>
              <w:rPr>
                <w:rFonts w:cs="Times New Roman"/>
                <w:color w:val="000000"/>
                <w:sz w:val="20"/>
                <w:szCs w:val="20"/>
                <w:lang w:val="fr-FR"/>
              </w:rPr>
            </w:pPr>
            <w:r w:rsidRPr="00106A4B">
              <w:rPr>
                <w:rFonts w:cs="Times New Roman"/>
                <w:color w:val="000000"/>
                <w:sz w:val="20"/>
                <w:szCs w:val="20"/>
                <w:lang w:val="fr-FR"/>
              </w:rPr>
              <w:t xml:space="preserve">1. Immobilier </w:t>
            </w:r>
            <w:r w:rsidR="00E66D49">
              <w:rPr>
                <w:rFonts w:cs="Times New Roman"/>
                <w:color w:val="000000"/>
                <w:sz w:val="20"/>
                <w:szCs w:val="20"/>
                <w:lang w:val="fr-FR"/>
              </w:rPr>
              <w:t>résidentiel</w:t>
            </w:r>
            <w:r w:rsidRPr="00106A4B">
              <w:rPr>
                <w:rFonts w:cs="Times New Roman"/>
                <w:color w:val="000000"/>
                <w:sz w:val="20"/>
                <w:szCs w:val="20"/>
                <w:lang w:val="fr-FR"/>
              </w:rPr>
              <w:t xml:space="preserve"> ;</w:t>
            </w:r>
          </w:p>
          <w:p w14:paraId="1F0C4D6D" w14:textId="63788FE5" w:rsidR="00106A4B" w:rsidRPr="00106A4B" w:rsidRDefault="00106A4B" w:rsidP="00106A4B">
            <w:pPr>
              <w:jc w:val="both"/>
              <w:rPr>
                <w:rFonts w:cs="Times New Roman"/>
                <w:color w:val="000000"/>
                <w:sz w:val="20"/>
                <w:szCs w:val="20"/>
                <w:lang w:val="fr-FR"/>
              </w:rPr>
            </w:pPr>
            <w:r w:rsidRPr="00106A4B">
              <w:rPr>
                <w:rFonts w:cs="Times New Roman"/>
                <w:color w:val="000000"/>
                <w:sz w:val="20"/>
                <w:szCs w:val="20"/>
                <w:lang w:val="fr-FR"/>
              </w:rPr>
              <w:t>2. Immobilier commercial (hôtels, restaurant, centre commercial, ...) ;</w:t>
            </w:r>
          </w:p>
          <w:p w14:paraId="360302E6" w14:textId="77777777" w:rsidR="00106A4B" w:rsidRPr="00106A4B" w:rsidRDefault="00106A4B" w:rsidP="00106A4B">
            <w:pPr>
              <w:jc w:val="both"/>
              <w:rPr>
                <w:rFonts w:cs="Times New Roman"/>
                <w:color w:val="000000"/>
                <w:sz w:val="20"/>
                <w:szCs w:val="20"/>
                <w:lang w:val="fr-FR"/>
              </w:rPr>
            </w:pPr>
            <w:r w:rsidRPr="00106A4B">
              <w:rPr>
                <w:rFonts w:cs="Times New Roman"/>
                <w:color w:val="000000"/>
                <w:sz w:val="20"/>
                <w:szCs w:val="20"/>
                <w:lang w:val="fr-FR"/>
              </w:rPr>
              <w:t>3. Immobilier de bureau ;</w:t>
            </w:r>
          </w:p>
          <w:p w14:paraId="2C930327" w14:textId="46E2604F" w:rsidR="00106A4B" w:rsidRPr="00106A4B" w:rsidRDefault="00106A4B" w:rsidP="00106A4B">
            <w:pPr>
              <w:jc w:val="both"/>
              <w:rPr>
                <w:rFonts w:cs="Times New Roman"/>
                <w:color w:val="000000"/>
                <w:sz w:val="20"/>
                <w:szCs w:val="20"/>
                <w:lang w:val="fr-FR"/>
              </w:rPr>
            </w:pPr>
            <w:r w:rsidRPr="00106A4B">
              <w:rPr>
                <w:rFonts w:cs="Times New Roman"/>
                <w:color w:val="000000"/>
                <w:sz w:val="20"/>
                <w:szCs w:val="20"/>
                <w:lang w:val="fr-FR"/>
              </w:rPr>
              <w:t>4. Immobilier industriel (usine,</w:t>
            </w:r>
            <w:r w:rsidR="003C512F">
              <w:rPr>
                <w:rFonts w:cs="Times New Roman"/>
                <w:color w:val="000000"/>
                <w:sz w:val="20"/>
                <w:szCs w:val="20"/>
                <w:lang w:val="fr-FR"/>
              </w:rPr>
              <w:t xml:space="preserve"> </w:t>
            </w:r>
            <w:r w:rsidRPr="00106A4B">
              <w:rPr>
                <w:rFonts w:cs="Times New Roman"/>
                <w:color w:val="000000"/>
                <w:sz w:val="20"/>
                <w:szCs w:val="20"/>
                <w:lang w:val="fr-FR"/>
              </w:rPr>
              <w:t>centre logistique, …) ;</w:t>
            </w:r>
          </w:p>
          <w:p w14:paraId="1EECC197" w14:textId="77777777" w:rsidR="00106A4B" w:rsidRPr="00106A4B" w:rsidRDefault="00106A4B" w:rsidP="00106A4B">
            <w:pPr>
              <w:jc w:val="both"/>
              <w:rPr>
                <w:rFonts w:cs="Times New Roman"/>
                <w:color w:val="000000"/>
                <w:sz w:val="20"/>
                <w:szCs w:val="20"/>
                <w:lang w:val="fr-FR"/>
              </w:rPr>
            </w:pPr>
            <w:r w:rsidRPr="00106A4B">
              <w:rPr>
                <w:rFonts w:cs="Times New Roman"/>
                <w:color w:val="000000"/>
                <w:sz w:val="20"/>
                <w:szCs w:val="20"/>
                <w:lang w:val="fr-FR"/>
              </w:rPr>
              <w:t>5. Terrain ;</w:t>
            </w:r>
          </w:p>
          <w:p w14:paraId="7BCB9033" w14:textId="03AEA933" w:rsidR="00106A4B" w:rsidRPr="00106A4B" w:rsidRDefault="00106A4B" w:rsidP="00106A4B">
            <w:pPr>
              <w:jc w:val="both"/>
              <w:rPr>
                <w:rFonts w:cs="Times New Roman"/>
                <w:color w:val="000000"/>
                <w:sz w:val="20"/>
                <w:szCs w:val="20"/>
                <w:lang w:val="fr-FR"/>
              </w:rPr>
            </w:pPr>
            <w:r w:rsidRPr="00106A4B">
              <w:rPr>
                <w:rFonts w:cs="Times New Roman"/>
                <w:color w:val="000000"/>
                <w:sz w:val="20"/>
                <w:szCs w:val="20"/>
                <w:lang w:val="fr-FR"/>
              </w:rPr>
              <w:t>6. Immobilier pour usage propre</w:t>
            </w:r>
            <w:r w:rsidR="00E66D49">
              <w:rPr>
                <w:rFonts w:cs="Times New Roman"/>
                <w:color w:val="000000"/>
                <w:sz w:val="20"/>
                <w:szCs w:val="20"/>
                <w:lang w:val="fr-FR"/>
              </w:rPr>
              <w:t> ;</w:t>
            </w:r>
          </w:p>
          <w:p w14:paraId="4539D6DB" w14:textId="7E35EDFF" w:rsidR="00106A4B" w:rsidRDefault="00106A4B" w:rsidP="00106A4B">
            <w:pPr>
              <w:jc w:val="both"/>
              <w:rPr>
                <w:rFonts w:cs="Times New Roman"/>
                <w:color w:val="000000"/>
                <w:sz w:val="20"/>
                <w:szCs w:val="20"/>
                <w:lang w:val="fr-FR"/>
              </w:rPr>
            </w:pPr>
            <w:r w:rsidRPr="00106A4B">
              <w:rPr>
                <w:rFonts w:cs="Times New Roman"/>
                <w:color w:val="000000"/>
                <w:sz w:val="20"/>
                <w:szCs w:val="20"/>
                <w:lang w:val="fr-FR"/>
              </w:rPr>
              <w:t>7. Autre</w:t>
            </w:r>
            <w:r w:rsidR="002B05A1">
              <w:rPr>
                <w:rFonts w:cs="Times New Roman"/>
                <w:color w:val="000000"/>
                <w:sz w:val="20"/>
                <w:szCs w:val="20"/>
                <w:lang w:val="fr-FR"/>
              </w:rPr>
              <w:t>.</w:t>
            </w:r>
          </w:p>
          <w:p w14:paraId="07E65A4D" w14:textId="77777777" w:rsidR="00106A4B" w:rsidRDefault="00106A4B" w:rsidP="00D051BC">
            <w:pPr>
              <w:jc w:val="both"/>
              <w:rPr>
                <w:rFonts w:cs="Times New Roman"/>
                <w:color w:val="000000"/>
                <w:sz w:val="20"/>
                <w:szCs w:val="20"/>
                <w:lang w:val="fr-FR"/>
              </w:rPr>
            </w:pPr>
          </w:p>
          <w:p w14:paraId="19014B92" w14:textId="5C60279D" w:rsidR="002B05A1" w:rsidRDefault="002B05A1" w:rsidP="00106A4B">
            <w:pPr>
              <w:jc w:val="both"/>
              <w:rPr>
                <w:rFonts w:cs="Times New Roman"/>
                <w:color w:val="000000"/>
                <w:sz w:val="20"/>
                <w:szCs w:val="20"/>
                <w:lang w:val="fr-FR"/>
              </w:rPr>
            </w:pPr>
            <w:r w:rsidRPr="002B05A1">
              <w:rPr>
                <w:rFonts w:cs="Times New Roman"/>
                <w:color w:val="000000"/>
                <w:sz w:val="20"/>
                <w:szCs w:val="20"/>
                <w:lang w:val="fr-FR"/>
              </w:rPr>
              <w:t xml:space="preserve">Il convient de considérer les biens à usage mixte comme des biens différents (compte tenu, par exemple, de la superficie consacrée à chaque usage), chaque fois qu’il est possible d’opérer une telle </w:t>
            </w:r>
            <w:proofErr w:type="gramStart"/>
            <w:r w:rsidRPr="002B05A1">
              <w:rPr>
                <w:rFonts w:cs="Times New Roman"/>
                <w:color w:val="000000"/>
                <w:sz w:val="20"/>
                <w:szCs w:val="20"/>
                <w:lang w:val="fr-FR"/>
              </w:rPr>
              <w:t>ventilation;</w:t>
            </w:r>
            <w:proofErr w:type="gramEnd"/>
            <w:r w:rsidRPr="002B05A1">
              <w:rPr>
                <w:rFonts w:cs="Times New Roman"/>
                <w:color w:val="000000"/>
                <w:sz w:val="20"/>
                <w:szCs w:val="20"/>
                <w:lang w:val="fr-FR"/>
              </w:rPr>
              <w:t xml:space="preserve"> sinon, le bien peut être classé en fonction de son usage principal.</w:t>
            </w:r>
          </w:p>
          <w:p w14:paraId="6FDCA5B9" w14:textId="77777777" w:rsidR="002B05A1" w:rsidRDefault="002B05A1" w:rsidP="00106A4B">
            <w:pPr>
              <w:jc w:val="both"/>
              <w:rPr>
                <w:rFonts w:cs="Times New Roman"/>
                <w:color w:val="000000"/>
                <w:sz w:val="20"/>
                <w:szCs w:val="20"/>
                <w:lang w:val="fr-FR"/>
              </w:rPr>
            </w:pPr>
          </w:p>
          <w:p w14:paraId="29D0A534" w14:textId="3F6ECED3" w:rsidR="00106A4B" w:rsidRPr="00106A4B" w:rsidRDefault="00106A4B" w:rsidP="00106A4B">
            <w:pPr>
              <w:jc w:val="both"/>
              <w:rPr>
                <w:rFonts w:cs="Times New Roman"/>
                <w:color w:val="000000"/>
                <w:sz w:val="20"/>
                <w:szCs w:val="20"/>
                <w:lang w:val="fr-FR"/>
              </w:rPr>
            </w:pPr>
            <w:r>
              <w:rPr>
                <w:rFonts w:cs="Times New Roman"/>
                <w:color w:val="000000"/>
                <w:sz w:val="20"/>
                <w:szCs w:val="20"/>
                <w:lang w:val="fr-FR"/>
              </w:rPr>
              <w:t xml:space="preserve">Ce champ ne doit pas être renseigné pour </w:t>
            </w:r>
            <w:r w:rsidRPr="00106A4B">
              <w:rPr>
                <w:rFonts w:cs="Times New Roman"/>
                <w:color w:val="000000"/>
                <w:sz w:val="20"/>
                <w:szCs w:val="20"/>
                <w:lang w:val="fr-FR"/>
              </w:rPr>
              <w:t>la ligne de total par des sociétés immobilières/foncières non cotées à une bourse OCDE</w:t>
            </w:r>
            <w:r>
              <w:rPr>
                <w:rFonts w:cs="Times New Roman"/>
                <w:color w:val="000000"/>
                <w:sz w:val="20"/>
                <w:szCs w:val="20"/>
                <w:lang w:val="fr-FR"/>
              </w:rPr>
              <w:t>.</w:t>
            </w:r>
          </w:p>
        </w:tc>
      </w:tr>
      <w:tr w:rsidR="00106A4B" w:rsidRPr="00B67CFE" w14:paraId="78C8626D" w14:textId="77777777" w:rsidTr="00441CAF">
        <w:trPr>
          <w:cantSplit/>
        </w:trPr>
        <w:tc>
          <w:tcPr>
            <w:tcW w:w="1563" w:type="dxa"/>
          </w:tcPr>
          <w:p w14:paraId="136BD1E5" w14:textId="7768DFED" w:rsidR="00106A4B" w:rsidRPr="00106A4B" w:rsidRDefault="00106A4B" w:rsidP="00F55B59">
            <w:pPr>
              <w:rPr>
                <w:rFonts w:cs="Times New Roman"/>
                <w:color w:val="000000"/>
                <w:sz w:val="20"/>
                <w:szCs w:val="20"/>
                <w:lang w:val="fr-FR"/>
              </w:rPr>
            </w:pPr>
            <w:r w:rsidRPr="00106A4B">
              <w:rPr>
                <w:rFonts w:cs="Times New Roman"/>
                <w:color w:val="000000"/>
                <w:sz w:val="20"/>
                <w:szCs w:val="20"/>
                <w:lang w:val="fr-FR"/>
              </w:rPr>
              <w:t>Date d'acquisition</w:t>
            </w:r>
          </w:p>
        </w:tc>
        <w:tc>
          <w:tcPr>
            <w:tcW w:w="1127" w:type="dxa"/>
            <w:noWrap/>
          </w:tcPr>
          <w:p w14:paraId="2A5FEB4D" w14:textId="0252479D" w:rsidR="00106A4B" w:rsidRPr="00106A4B" w:rsidRDefault="00106A4B" w:rsidP="00F55B59">
            <w:pPr>
              <w:rPr>
                <w:rFonts w:cs="Times New Roman"/>
                <w:color w:val="000000"/>
                <w:sz w:val="20"/>
                <w:szCs w:val="20"/>
                <w:lang w:val="fr-FR"/>
              </w:rPr>
            </w:pPr>
            <w:r>
              <w:rPr>
                <w:rFonts w:cs="Times New Roman"/>
                <w:color w:val="000000"/>
                <w:sz w:val="20"/>
                <w:szCs w:val="20"/>
                <w:lang w:val="fr-FR"/>
              </w:rPr>
              <w:t>C0060</w:t>
            </w:r>
          </w:p>
        </w:tc>
        <w:tc>
          <w:tcPr>
            <w:tcW w:w="6372" w:type="dxa"/>
          </w:tcPr>
          <w:p w14:paraId="452E62C8" w14:textId="77777777" w:rsidR="00106A4B" w:rsidRDefault="00106A4B" w:rsidP="00D051BC">
            <w:pPr>
              <w:jc w:val="both"/>
              <w:rPr>
                <w:rFonts w:cs="Times New Roman"/>
                <w:color w:val="000000"/>
                <w:sz w:val="20"/>
                <w:szCs w:val="20"/>
                <w:lang w:val="fr-FR"/>
              </w:rPr>
            </w:pPr>
            <w:r>
              <w:rPr>
                <w:rFonts w:cs="Times New Roman"/>
                <w:color w:val="000000"/>
                <w:sz w:val="20"/>
                <w:szCs w:val="20"/>
                <w:lang w:val="fr-FR"/>
              </w:rPr>
              <w:t>Date d’acquisition du bien.</w:t>
            </w:r>
          </w:p>
          <w:p w14:paraId="0342EE71" w14:textId="77777777" w:rsidR="00386C43" w:rsidRDefault="00386C43" w:rsidP="00D051BC">
            <w:pPr>
              <w:jc w:val="both"/>
              <w:rPr>
                <w:rFonts w:cs="Times New Roman"/>
                <w:color w:val="000000"/>
                <w:sz w:val="20"/>
                <w:szCs w:val="20"/>
                <w:lang w:val="fr-FR"/>
              </w:rPr>
            </w:pPr>
          </w:p>
          <w:p w14:paraId="7904EF99" w14:textId="0AC80BEC" w:rsidR="00386C43" w:rsidRDefault="00386C43" w:rsidP="00D051BC">
            <w:pPr>
              <w:jc w:val="both"/>
              <w:rPr>
                <w:rFonts w:cs="Times New Roman"/>
                <w:color w:val="000000"/>
                <w:sz w:val="20"/>
                <w:szCs w:val="20"/>
                <w:lang w:val="fr-FR"/>
              </w:rPr>
            </w:pPr>
            <w:r>
              <w:rPr>
                <w:rFonts w:cs="Times New Roman"/>
                <w:color w:val="000000"/>
                <w:sz w:val="20"/>
                <w:szCs w:val="20"/>
                <w:lang w:val="fr-FR"/>
              </w:rPr>
              <w:t xml:space="preserve">Pour la </w:t>
            </w:r>
            <w:r w:rsidRPr="00386C43">
              <w:rPr>
                <w:rFonts w:cs="Times New Roman"/>
                <w:color w:val="000000"/>
                <w:sz w:val="20"/>
                <w:szCs w:val="20"/>
                <w:lang w:val="fr-FR"/>
              </w:rPr>
              <w:t>ligne de total par des sociétés immobilières/foncières non cotées à</w:t>
            </w:r>
            <w:r>
              <w:rPr>
                <w:rFonts w:cs="Times New Roman"/>
                <w:color w:val="000000"/>
                <w:sz w:val="20"/>
                <w:szCs w:val="20"/>
                <w:lang w:val="fr-FR"/>
              </w:rPr>
              <w:t xml:space="preserve"> une bourse OCDE</w:t>
            </w:r>
            <w:r w:rsidR="003C512F">
              <w:rPr>
                <w:rFonts w:cs="Times New Roman"/>
                <w:color w:val="000000"/>
                <w:sz w:val="20"/>
                <w:szCs w:val="20"/>
                <w:lang w:val="fr-FR"/>
              </w:rPr>
              <w:t>,</w:t>
            </w:r>
            <w:r>
              <w:rPr>
                <w:rFonts w:cs="Times New Roman"/>
                <w:color w:val="000000"/>
                <w:sz w:val="20"/>
                <w:szCs w:val="20"/>
                <w:lang w:val="fr-FR"/>
              </w:rPr>
              <w:t xml:space="preserve"> mettre ici la date d’investissement dans la société immobilière/foncière.</w:t>
            </w:r>
          </w:p>
          <w:p w14:paraId="4687D30A" w14:textId="77777777" w:rsidR="00386C43" w:rsidRDefault="00386C43" w:rsidP="00D051BC">
            <w:pPr>
              <w:jc w:val="both"/>
              <w:rPr>
                <w:rFonts w:cs="Times New Roman"/>
                <w:color w:val="000000"/>
                <w:sz w:val="20"/>
                <w:szCs w:val="20"/>
                <w:lang w:val="fr-FR"/>
              </w:rPr>
            </w:pPr>
          </w:p>
          <w:p w14:paraId="5835FB06" w14:textId="77777777" w:rsidR="00386C43" w:rsidRDefault="00386C43" w:rsidP="00D051BC">
            <w:pPr>
              <w:jc w:val="both"/>
              <w:rPr>
                <w:rFonts w:cs="Times New Roman"/>
                <w:color w:val="000000"/>
                <w:sz w:val="20"/>
                <w:szCs w:val="20"/>
                <w:lang w:val="fr-FR"/>
              </w:rPr>
            </w:pPr>
            <w:r>
              <w:rPr>
                <w:rFonts w:cs="Times New Roman"/>
                <w:color w:val="000000"/>
                <w:sz w:val="20"/>
                <w:szCs w:val="20"/>
                <w:lang w:val="fr-FR"/>
              </w:rPr>
              <w:t>En cas de plusieurs acquisitions partielles successives, juste préciser la première.</w:t>
            </w:r>
          </w:p>
          <w:p w14:paraId="5CB5F38C" w14:textId="77777777" w:rsidR="00F15CB3" w:rsidRDefault="00F15CB3" w:rsidP="00D051BC">
            <w:pPr>
              <w:jc w:val="both"/>
              <w:rPr>
                <w:rFonts w:cs="Times New Roman"/>
                <w:color w:val="000000"/>
                <w:sz w:val="20"/>
                <w:szCs w:val="20"/>
                <w:lang w:val="fr-FR"/>
              </w:rPr>
            </w:pPr>
          </w:p>
          <w:p w14:paraId="42369CFE" w14:textId="37DCF917" w:rsidR="00F15CB3" w:rsidRPr="00F15CB3" w:rsidRDefault="00F15CB3" w:rsidP="00F15CB3">
            <w:pPr>
              <w:jc w:val="both"/>
              <w:rPr>
                <w:rFonts w:cs="Times New Roman"/>
                <w:color w:val="000000"/>
                <w:sz w:val="20"/>
                <w:szCs w:val="20"/>
                <w:lang w:val="fr-FR"/>
              </w:rPr>
            </w:pPr>
            <w:r>
              <w:rPr>
                <w:rFonts w:cs="Times New Roman"/>
                <w:color w:val="000000"/>
                <w:sz w:val="20"/>
                <w:szCs w:val="20"/>
                <w:lang w:val="fr-FR"/>
              </w:rPr>
              <w:t>Pour les biens immobiliers</w:t>
            </w:r>
            <w:r w:rsidRPr="00F15CB3">
              <w:rPr>
                <w:rFonts w:cs="Times New Roman"/>
                <w:color w:val="000000"/>
                <w:sz w:val="20"/>
                <w:szCs w:val="20"/>
                <w:lang w:val="fr-FR"/>
              </w:rPr>
              <w:t xml:space="preserve"> détenu</w:t>
            </w:r>
            <w:r>
              <w:rPr>
                <w:rFonts w:cs="Times New Roman"/>
                <w:color w:val="000000"/>
                <w:sz w:val="20"/>
                <w:szCs w:val="20"/>
                <w:lang w:val="fr-FR"/>
              </w:rPr>
              <w:t>s</w:t>
            </w:r>
            <w:r w:rsidRPr="00F15CB3">
              <w:rPr>
                <w:rFonts w:cs="Times New Roman"/>
                <w:color w:val="000000"/>
                <w:sz w:val="20"/>
                <w:szCs w:val="20"/>
                <w:lang w:val="fr-FR"/>
              </w:rPr>
              <w:t xml:space="preserve"> indirectement (par l’intermédiaire d’une société</w:t>
            </w:r>
            <w:r w:rsidRPr="00E12BEF">
              <w:rPr>
                <w:lang w:val="fr-FR"/>
              </w:rPr>
              <w:t xml:space="preserve"> </w:t>
            </w:r>
            <w:r w:rsidRPr="00F15CB3">
              <w:rPr>
                <w:rFonts w:cs="Times New Roman"/>
                <w:color w:val="000000"/>
                <w:sz w:val="20"/>
                <w:szCs w:val="20"/>
                <w:lang w:val="fr-FR"/>
              </w:rPr>
              <w:t>immobilières/foncières non cotées à une bourse OCDE) :</w:t>
            </w:r>
          </w:p>
          <w:p w14:paraId="44318494" w14:textId="24EA216F" w:rsidR="00F15CB3" w:rsidRPr="0035529D" w:rsidRDefault="00F15CB3" w:rsidP="0035529D">
            <w:pPr>
              <w:pStyle w:val="Paragraphedeliste"/>
              <w:numPr>
                <w:ilvl w:val="0"/>
                <w:numId w:val="13"/>
              </w:numPr>
              <w:jc w:val="both"/>
              <w:rPr>
                <w:rFonts w:cs="Times New Roman"/>
                <w:color w:val="000000"/>
                <w:sz w:val="20"/>
                <w:szCs w:val="20"/>
                <w:lang w:val="fr-FR"/>
              </w:rPr>
            </w:pPr>
            <w:r w:rsidRPr="00E12BEF">
              <w:rPr>
                <w:rFonts w:cs="Times New Roman"/>
                <w:color w:val="000000"/>
                <w:sz w:val="20"/>
                <w:szCs w:val="20"/>
                <w:lang w:val="fr-FR"/>
              </w:rPr>
              <w:t xml:space="preserve">Si </w:t>
            </w:r>
            <w:r>
              <w:rPr>
                <w:rFonts w:cs="Times New Roman"/>
                <w:color w:val="000000"/>
                <w:sz w:val="20"/>
                <w:szCs w:val="20"/>
                <w:lang w:val="fr-FR"/>
              </w:rPr>
              <w:t>le bien</w:t>
            </w:r>
            <w:r w:rsidRPr="00E12BEF">
              <w:rPr>
                <w:rFonts w:cs="Times New Roman"/>
                <w:color w:val="000000"/>
                <w:sz w:val="20"/>
                <w:szCs w:val="20"/>
                <w:lang w:val="fr-FR"/>
              </w:rPr>
              <w:t xml:space="preserve"> était déjà détenu par la société lors de l’acquisition de ses parts, il faut indiquer la date d’acquisition des parts de la société.</w:t>
            </w:r>
          </w:p>
          <w:p w14:paraId="3CD2A9C9" w14:textId="61D72825" w:rsidR="00F15CB3" w:rsidRPr="0035529D" w:rsidRDefault="00F15CB3" w:rsidP="0035529D">
            <w:pPr>
              <w:pStyle w:val="Paragraphedeliste"/>
              <w:numPr>
                <w:ilvl w:val="0"/>
                <w:numId w:val="13"/>
              </w:numPr>
              <w:jc w:val="both"/>
              <w:rPr>
                <w:rFonts w:cs="Times New Roman"/>
                <w:color w:val="000000"/>
                <w:sz w:val="20"/>
                <w:szCs w:val="20"/>
                <w:lang w:val="fr-FR"/>
              </w:rPr>
            </w:pPr>
            <w:r w:rsidRPr="00E12BEF">
              <w:rPr>
                <w:rFonts w:cs="Times New Roman"/>
                <w:color w:val="000000"/>
                <w:sz w:val="20"/>
                <w:szCs w:val="20"/>
                <w:lang w:val="fr-FR"/>
              </w:rPr>
              <w:t xml:space="preserve">Si </w:t>
            </w:r>
            <w:r>
              <w:rPr>
                <w:rFonts w:cs="Times New Roman"/>
                <w:color w:val="000000"/>
                <w:sz w:val="20"/>
                <w:szCs w:val="20"/>
                <w:lang w:val="fr-FR"/>
              </w:rPr>
              <w:t>le bien</w:t>
            </w:r>
            <w:r w:rsidRPr="00E12BEF">
              <w:rPr>
                <w:rFonts w:cs="Times New Roman"/>
                <w:color w:val="000000"/>
                <w:sz w:val="20"/>
                <w:szCs w:val="20"/>
                <w:lang w:val="fr-FR"/>
              </w:rPr>
              <w:t xml:space="preserve"> a été acquis par la société après l’acquisition de ses parts, il faut indiquer la date d’acquisition de l’immeuble</w:t>
            </w:r>
            <w:r>
              <w:rPr>
                <w:rFonts w:cs="Times New Roman"/>
                <w:color w:val="000000"/>
                <w:sz w:val="20"/>
                <w:szCs w:val="20"/>
                <w:lang w:val="fr-FR"/>
              </w:rPr>
              <w:t>.</w:t>
            </w:r>
          </w:p>
        </w:tc>
      </w:tr>
      <w:tr w:rsidR="00106A4B" w:rsidRPr="00B67CFE" w14:paraId="719E524D" w14:textId="77777777" w:rsidTr="00441CAF">
        <w:trPr>
          <w:cantSplit/>
        </w:trPr>
        <w:tc>
          <w:tcPr>
            <w:tcW w:w="1563" w:type="dxa"/>
          </w:tcPr>
          <w:p w14:paraId="646C5C95" w14:textId="644C65D0" w:rsidR="00106A4B" w:rsidRPr="00106A4B" w:rsidRDefault="00386C43" w:rsidP="0082330A">
            <w:pPr>
              <w:rPr>
                <w:rFonts w:cs="Times New Roman"/>
                <w:color w:val="000000"/>
                <w:sz w:val="20"/>
                <w:szCs w:val="20"/>
                <w:lang w:val="fr-FR"/>
              </w:rPr>
            </w:pPr>
            <w:r>
              <w:rPr>
                <w:rFonts w:cs="Times New Roman"/>
                <w:color w:val="000000"/>
                <w:sz w:val="20"/>
                <w:szCs w:val="20"/>
                <w:lang w:val="fr-FR"/>
              </w:rPr>
              <w:t xml:space="preserve">Valeur </w:t>
            </w:r>
            <w:r w:rsidR="0082330A">
              <w:rPr>
                <w:rFonts w:cs="Times New Roman"/>
                <w:color w:val="000000"/>
                <w:sz w:val="20"/>
                <w:szCs w:val="20"/>
                <w:lang w:val="fr-FR"/>
              </w:rPr>
              <w:t>d’achat</w:t>
            </w:r>
          </w:p>
        </w:tc>
        <w:tc>
          <w:tcPr>
            <w:tcW w:w="1127" w:type="dxa"/>
            <w:noWrap/>
          </w:tcPr>
          <w:p w14:paraId="2C28A6B6" w14:textId="21C7F914" w:rsidR="00106A4B" w:rsidRPr="00106A4B" w:rsidRDefault="00386C43" w:rsidP="00F55B59">
            <w:pPr>
              <w:rPr>
                <w:rFonts w:cs="Times New Roman"/>
                <w:color w:val="000000"/>
                <w:sz w:val="20"/>
                <w:szCs w:val="20"/>
                <w:lang w:val="fr-FR"/>
              </w:rPr>
            </w:pPr>
            <w:r>
              <w:rPr>
                <w:rFonts w:cs="Times New Roman"/>
                <w:color w:val="000000"/>
                <w:sz w:val="20"/>
                <w:szCs w:val="20"/>
                <w:lang w:val="fr-FR"/>
              </w:rPr>
              <w:t>C0070</w:t>
            </w:r>
          </w:p>
        </w:tc>
        <w:tc>
          <w:tcPr>
            <w:tcW w:w="6372" w:type="dxa"/>
          </w:tcPr>
          <w:p w14:paraId="2FFD48E4" w14:textId="666A86F9" w:rsidR="008E6B11" w:rsidRDefault="008E6B11" w:rsidP="00D051BC">
            <w:pPr>
              <w:jc w:val="both"/>
              <w:rPr>
                <w:rFonts w:cs="Times New Roman"/>
                <w:color w:val="000000"/>
                <w:sz w:val="20"/>
                <w:szCs w:val="20"/>
                <w:lang w:val="fr-FR"/>
              </w:rPr>
            </w:pPr>
            <w:r w:rsidRPr="008E6B11">
              <w:rPr>
                <w:rFonts w:cs="Times New Roman"/>
                <w:color w:val="000000"/>
                <w:sz w:val="20"/>
                <w:szCs w:val="20"/>
                <w:lang w:val="fr-FR"/>
              </w:rPr>
              <w:t xml:space="preserve">Valeur </w:t>
            </w:r>
            <w:r w:rsidR="00C54463">
              <w:rPr>
                <w:rFonts w:cs="Times New Roman"/>
                <w:color w:val="000000"/>
                <w:sz w:val="20"/>
                <w:szCs w:val="20"/>
                <w:lang w:val="fr-FR"/>
              </w:rPr>
              <w:t xml:space="preserve">nette comptable </w:t>
            </w:r>
            <w:proofErr w:type="gramStart"/>
            <w:r w:rsidRPr="008E6B11">
              <w:rPr>
                <w:rFonts w:cs="Times New Roman"/>
                <w:color w:val="000000"/>
                <w:sz w:val="20"/>
                <w:szCs w:val="20"/>
                <w:lang w:val="fr-FR"/>
              </w:rPr>
              <w:t xml:space="preserve">du bien </w:t>
            </w:r>
            <w:r w:rsidR="00C54463">
              <w:rPr>
                <w:rFonts w:cs="Times New Roman"/>
                <w:color w:val="000000"/>
                <w:sz w:val="20"/>
                <w:szCs w:val="20"/>
                <w:lang w:val="fr-FR"/>
              </w:rPr>
              <w:t>comptabilisée</w:t>
            </w:r>
            <w:proofErr w:type="gramEnd"/>
            <w:r w:rsidR="00C54463">
              <w:rPr>
                <w:rFonts w:cs="Times New Roman"/>
                <w:color w:val="000000"/>
                <w:sz w:val="20"/>
                <w:szCs w:val="20"/>
                <w:lang w:val="fr-FR"/>
              </w:rPr>
              <w:t xml:space="preserve"> à l’achat</w:t>
            </w:r>
            <w:r w:rsidRPr="008E6B11">
              <w:rPr>
                <w:rFonts w:cs="Times New Roman"/>
                <w:color w:val="000000"/>
                <w:sz w:val="20"/>
                <w:szCs w:val="20"/>
                <w:lang w:val="fr-FR"/>
              </w:rPr>
              <w:t xml:space="preserve"> (</w:t>
            </w:r>
            <w:r>
              <w:rPr>
                <w:rFonts w:cs="Times New Roman"/>
                <w:color w:val="000000"/>
                <w:sz w:val="20"/>
                <w:szCs w:val="20"/>
                <w:lang w:val="fr-FR"/>
              </w:rPr>
              <w:t xml:space="preserve">en </w:t>
            </w:r>
            <w:r w:rsidRPr="008E6B11">
              <w:rPr>
                <w:rFonts w:cs="Times New Roman"/>
                <w:color w:val="000000"/>
                <w:sz w:val="20"/>
                <w:szCs w:val="20"/>
                <w:lang w:val="fr-FR"/>
              </w:rPr>
              <w:t>euros)</w:t>
            </w:r>
            <w:r w:rsidR="009E359D">
              <w:rPr>
                <w:rFonts w:cs="Times New Roman"/>
                <w:color w:val="000000"/>
                <w:sz w:val="20"/>
                <w:szCs w:val="20"/>
                <w:lang w:val="fr-FR"/>
              </w:rPr>
              <w:t>.</w:t>
            </w:r>
          </w:p>
          <w:p w14:paraId="6A41C935" w14:textId="4DD50991" w:rsidR="009E359D" w:rsidRDefault="009E359D" w:rsidP="00D051BC">
            <w:pPr>
              <w:jc w:val="both"/>
              <w:rPr>
                <w:rFonts w:cs="Times New Roman"/>
                <w:color w:val="000000"/>
                <w:sz w:val="20"/>
                <w:szCs w:val="20"/>
                <w:lang w:val="fr-FR"/>
              </w:rPr>
            </w:pPr>
          </w:p>
          <w:p w14:paraId="00DCD493" w14:textId="6EAB4DF8" w:rsidR="00F15CB3" w:rsidRDefault="00F15CB3" w:rsidP="00D051BC">
            <w:pPr>
              <w:jc w:val="both"/>
              <w:rPr>
                <w:rFonts w:cs="Times New Roman"/>
                <w:color w:val="000000"/>
                <w:sz w:val="20"/>
                <w:szCs w:val="20"/>
                <w:lang w:val="fr-FR"/>
              </w:rPr>
            </w:pPr>
            <w:r>
              <w:rPr>
                <w:rFonts w:cs="Times New Roman"/>
                <w:color w:val="000000"/>
                <w:sz w:val="20"/>
                <w:szCs w:val="20"/>
                <w:lang w:val="fr-FR"/>
              </w:rPr>
              <w:t>Pour les terrain</w:t>
            </w:r>
            <w:r w:rsidR="00F11A23">
              <w:rPr>
                <w:rFonts w:cs="Times New Roman"/>
                <w:color w:val="000000"/>
                <w:sz w:val="20"/>
                <w:szCs w:val="20"/>
                <w:lang w:val="fr-FR"/>
              </w:rPr>
              <w:t>s</w:t>
            </w:r>
            <w:r>
              <w:rPr>
                <w:rFonts w:cs="Times New Roman"/>
                <w:color w:val="000000"/>
                <w:sz w:val="20"/>
                <w:szCs w:val="20"/>
                <w:lang w:val="fr-FR"/>
              </w:rPr>
              <w:t xml:space="preserve"> en constructions, </w:t>
            </w:r>
            <w:r w:rsidRPr="00F15CB3">
              <w:rPr>
                <w:rFonts w:cs="Times New Roman"/>
                <w:color w:val="000000"/>
                <w:sz w:val="20"/>
                <w:szCs w:val="20"/>
                <w:lang w:val="fr-FR"/>
              </w:rPr>
              <w:t xml:space="preserve">Il faut renseigner la valeur nette comptable du bien comptabilisé à l’achat du terrain. Les éléments venant augmenter la valeur du bien sont pris en compte dans les champs C0090 / C0100 / C0110.  </w:t>
            </w:r>
          </w:p>
          <w:p w14:paraId="028BF94D" w14:textId="77777777" w:rsidR="00F15CB3" w:rsidRDefault="00F15CB3" w:rsidP="00D051BC">
            <w:pPr>
              <w:jc w:val="both"/>
              <w:rPr>
                <w:rFonts w:cs="Times New Roman"/>
                <w:color w:val="000000"/>
                <w:sz w:val="20"/>
                <w:szCs w:val="20"/>
                <w:lang w:val="fr-FR"/>
              </w:rPr>
            </w:pPr>
          </w:p>
          <w:p w14:paraId="0052BD4C" w14:textId="250CC26B" w:rsidR="009E359D" w:rsidRDefault="009E359D" w:rsidP="00D051BC">
            <w:pPr>
              <w:jc w:val="both"/>
              <w:rPr>
                <w:rFonts w:cs="Times New Roman"/>
                <w:color w:val="000000"/>
                <w:sz w:val="20"/>
                <w:szCs w:val="20"/>
                <w:lang w:val="fr-FR"/>
              </w:rPr>
            </w:pPr>
            <w:r>
              <w:rPr>
                <w:rFonts w:cs="Times New Roman"/>
                <w:color w:val="000000"/>
                <w:sz w:val="20"/>
                <w:szCs w:val="20"/>
                <w:lang w:val="fr-FR"/>
              </w:rPr>
              <w:t>Pour les bien détenu</w:t>
            </w:r>
            <w:r w:rsidR="003C512F">
              <w:rPr>
                <w:rFonts w:cs="Times New Roman"/>
                <w:color w:val="000000"/>
                <w:sz w:val="20"/>
                <w:szCs w:val="20"/>
                <w:lang w:val="fr-FR"/>
              </w:rPr>
              <w:t>s</w:t>
            </w:r>
            <w:r>
              <w:rPr>
                <w:rFonts w:cs="Times New Roman"/>
                <w:color w:val="000000"/>
                <w:sz w:val="20"/>
                <w:szCs w:val="20"/>
                <w:lang w:val="fr-FR"/>
              </w:rPr>
              <w:t xml:space="preserve"> partiellement, préciser uniquement la valeur de la part détenue</w:t>
            </w:r>
            <w:r w:rsidR="00BF5DAC">
              <w:rPr>
                <w:rFonts w:cs="Times New Roman"/>
                <w:color w:val="000000"/>
                <w:sz w:val="20"/>
                <w:szCs w:val="20"/>
                <w:lang w:val="fr-FR"/>
              </w:rPr>
              <w:t xml:space="preserve"> (</w:t>
            </w:r>
            <w:r w:rsidR="00BF5DAC" w:rsidRPr="00BF5DAC">
              <w:rPr>
                <w:rFonts w:cs="Times New Roman"/>
                <w:color w:val="000000"/>
                <w:sz w:val="20"/>
                <w:szCs w:val="20"/>
                <w:lang w:val="fr-FR"/>
              </w:rPr>
              <w:t>en quote-part en ne tenant compte que de la valeur pour les parts détenus</w:t>
            </w:r>
            <w:r w:rsidR="00BF5DAC">
              <w:rPr>
                <w:rFonts w:cs="Times New Roman"/>
                <w:color w:val="000000"/>
                <w:sz w:val="20"/>
                <w:szCs w:val="20"/>
                <w:lang w:val="fr-FR"/>
              </w:rPr>
              <w:t>).</w:t>
            </w:r>
          </w:p>
          <w:p w14:paraId="4A56BDB4" w14:textId="7CB88F2F" w:rsidR="009E359D" w:rsidRDefault="009E359D" w:rsidP="00D051BC">
            <w:pPr>
              <w:jc w:val="both"/>
              <w:rPr>
                <w:rFonts w:cs="Times New Roman"/>
                <w:color w:val="000000"/>
                <w:sz w:val="20"/>
                <w:szCs w:val="20"/>
                <w:lang w:val="fr-FR"/>
              </w:rPr>
            </w:pPr>
          </w:p>
          <w:p w14:paraId="7EDF5782" w14:textId="4FA4BA58" w:rsidR="009E359D" w:rsidRDefault="00F15CB3" w:rsidP="00D051BC">
            <w:pPr>
              <w:jc w:val="both"/>
              <w:rPr>
                <w:rFonts w:cs="Times New Roman"/>
                <w:color w:val="000000"/>
                <w:sz w:val="20"/>
                <w:szCs w:val="20"/>
                <w:lang w:val="fr-FR"/>
              </w:rPr>
            </w:pPr>
            <w:r w:rsidRPr="00F15CB3">
              <w:rPr>
                <w:rFonts w:cs="Times New Roman"/>
                <w:color w:val="000000"/>
                <w:sz w:val="20"/>
                <w:szCs w:val="20"/>
                <w:lang w:val="fr-FR"/>
              </w:rPr>
              <w:t>En cas d’acquisition partielle à plusieurs échéances distinctes, il faut additionner ces montants et en appliquant si besoin le principe du « Premier Entré, Premier Sorti » en cas de vente intermédiaire.</w:t>
            </w:r>
          </w:p>
          <w:p w14:paraId="1F51F03B" w14:textId="77777777" w:rsidR="00F15CB3" w:rsidRDefault="0067340B" w:rsidP="00D17F3C">
            <w:pPr>
              <w:jc w:val="both"/>
              <w:rPr>
                <w:rFonts w:cs="Times New Roman"/>
                <w:color w:val="000000"/>
                <w:sz w:val="20"/>
                <w:szCs w:val="20"/>
                <w:lang w:val="fr-FR"/>
              </w:rPr>
            </w:pPr>
            <w:r>
              <w:rPr>
                <w:rFonts w:cs="Times New Roman"/>
                <w:color w:val="000000"/>
                <w:sz w:val="20"/>
                <w:szCs w:val="20"/>
                <w:lang w:val="fr-FR"/>
              </w:rPr>
              <w:t xml:space="preserve">Pour la </w:t>
            </w:r>
            <w:r w:rsidRPr="00386C43">
              <w:rPr>
                <w:rFonts w:cs="Times New Roman"/>
                <w:color w:val="000000"/>
                <w:sz w:val="20"/>
                <w:szCs w:val="20"/>
                <w:lang w:val="fr-FR"/>
              </w:rPr>
              <w:t>ligne de total par des sociétés immobilières/foncières non cotées à</w:t>
            </w:r>
            <w:r>
              <w:rPr>
                <w:rFonts w:cs="Times New Roman"/>
                <w:color w:val="000000"/>
                <w:sz w:val="20"/>
                <w:szCs w:val="20"/>
                <w:lang w:val="fr-FR"/>
              </w:rPr>
              <w:t xml:space="preserve"> une bourse OCDE</w:t>
            </w:r>
            <w:r w:rsidR="003C512F">
              <w:rPr>
                <w:rFonts w:cs="Times New Roman"/>
                <w:color w:val="000000"/>
                <w:sz w:val="20"/>
                <w:szCs w:val="20"/>
                <w:lang w:val="fr-FR"/>
              </w:rPr>
              <w:t>,</w:t>
            </w:r>
            <w:r>
              <w:rPr>
                <w:rFonts w:cs="Times New Roman"/>
                <w:color w:val="000000"/>
                <w:sz w:val="20"/>
                <w:szCs w:val="20"/>
                <w:lang w:val="fr-FR"/>
              </w:rPr>
              <w:t xml:space="preserve"> mettre ici </w:t>
            </w:r>
            <w:r w:rsidR="00D17F3C">
              <w:rPr>
                <w:rFonts w:cs="Times New Roman"/>
                <w:color w:val="000000"/>
                <w:sz w:val="20"/>
                <w:szCs w:val="20"/>
                <w:lang w:val="fr-FR"/>
              </w:rPr>
              <w:t>la</w:t>
            </w:r>
            <w:r>
              <w:rPr>
                <w:rFonts w:cs="Times New Roman"/>
                <w:color w:val="000000"/>
                <w:sz w:val="20"/>
                <w:szCs w:val="20"/>
                <w:lang w:val="fr-FR"/>
              </w:rPr>
              <w:t xml:space="preserve"> valeur d’acquisition </w:t>
            </w:r>
            <w:r w:rsidR="00D17F3C">
              <w:rPr>
                <w:rFonts w:cs="Times New Roman"/>
                <w:color w:val="000000"/>
                <w:sz w:val="20"/>
                <w:szCs w:val="20"/>
                <w:lang w:val="fr-FR"/>
              </w:rPr>
              <w:t>de cette société au moment de l’achat.</w:t>
            </w:r>
          </w:p>
          <w:p w14:paraId="4E683BC0" w14:textId="77777777" w:rsidR="00F15CB3" w:rsidRDefault="00F15CB3" w:rsidP="00D17F3C">
            <w:pPr>
              <w:jc w:val="both"/>
              <w:rPr>
                <w:rFonts w:cs="Times New Roman"/>
                <w:color w:val="000000"/>
                <w:sz w:val="20"/>
                <w:szCs w:val="20"/>
                <w:lang w:val="fr-FR"/>
              </w:rPr>
            </w:pPr>
          </w:p>
          <w:p w14:paraId="2E9051C9" w14:textId="2D433F00" w:rsidR="00F15CB3" w:rsidRPr="00106A4B" w:rsidRDefault="00BF5DAC" w:rsidP="00F15CB3">
            <w:pPr>
              <w:jc w:val="both"/>
              <w:rPr>
                <w:rFonts w:cs="Times New Roman"/>
                <w:color w:val="000000"/>
                <w:sz w:val="20"/>
                <w:szCs w:val="20"/>
                <w:lang w:val="fr-FR"/>
              </w:rPr>
            </w:pPr>
            <w:r>
              <w:rPr>
                <w:rFonts w:cs="Times New Roman"/>
                <w:color w:val="000000"/>
                <w:sz w:val="20"/>
                <w:szCs w:val="20"/>
                <w:lang w:val="fr-FR"/>
              </w:rPr>
              <w:t xml:space="preserve">Pour les </w:t>
            </w:r>
            <w:r w:rsidRPr="00BF5DAC">
              <w:rPr>
                <w:rFonts w:cs="Times New Roman"/>
                <w:color w:val="000000"/>
                <w:sz w:val="20"/>
                <w:szCs w:val="20"/>
                <w:lang w:val="fr-FR"/>
              </w:rPr>
              <w:t>bien</w:t>
            </w:r>
            <w:r w:rsidR="00805E41">
              <w:rPr>
                <w:rFonts w:cs="Times New Roman"/>
                <w:color w:val="000000"/>
                <w:sz w:val="20"/>
                <w:szCs w:val="20"/>
                <w:lang w:val="fr-FR"/>
              </w:rPr>
              <w:t>s</w:t>
            </w:r>
            <w:r w:rsidRPr="00BF5DAC">
              <w:rPr>
                <w:rFonts w:cs="Times New Roman"/>
                <w:color w:val="000000"/>
                <w:sz w:val="20"/>
                <w:szCs w:val="20"/>
                <w:lang w:val="fr-FR"/>
              </w:rPr>
              <w:t xml:space="preserve"> immobilier</w:t>
            </w:r>
            <w:r w:rsidR="00805E41">
              <w:rPr>
                <w:rFonts w:cs="Times New Roman"/>
                <w:color w:val="000000"/>
                <w:sz w:val="20"/>
                <w:szCs w:val="20"/>
                <w:lang w:val="fr-FR"/>
              </w:rPr>
              <w:t>s</w:t>
            </w:r>
            <w:r w:rsidRPr="00BF5DAC">
              <w:rPr>
                <w:rFonts w:cs="Times New Roman"/>
                <w:color w:val="000000"/>
                <w:sz w:val="20"/>
                <w:szCs w:val="20"/>
                <w:lang w:val="fr-FR"/>
              </w:rPr>
              <w:t xml:space="preserve"> sous-jacent</w:t>
            </w:r>
            <w:r w:rsidR="00805E41">
              <w:rPr>
                <w:rFonts w:cs="Times New Roman"/>
                <w:color w:val="000000"/>
                <w:sz w:val="20"/>
                <w:szCs w:val="20"/>
                <w:lang w:val="fr-FR"/>
              </w:rPr>
              <w:t>s</w:t>
            </w:r>
            <w:r w:rsidRPr="00BF5DAC">
              <w:rPr>
                <w:rFonts w:cs="Times New Roman"/>
                <w:color w:val="000000"/>
                <w:sz w:val="20"/>
                <w:szCs w:val="20"/>
                <w:lang w:val="fr-FR"/>
              </w:rPr>
              <w:t xml:space="preserve"> (où l’immeuble était déjà détenu par la société intermédiaire au moment de l’achat des parts de cette société par l’assureur), il convient de renseigner la valeur d’achat dans les comptes lors de l’entrée dans la société</w:t>
            </w:r>
          </w:p>
        </w:tc>
      </w:tr>
      <w:tr w:rsidR="00106A4B" w:rsidRPr="00B67CFE" w14:paraId="26D8F70E" w14:textId="77777777" w:rsidTr="00441CAF">
        <w:trPr>
          <w:cantSplit/>
        </w:trPr>
        <w:tc>
          <w:tcPr>
            <w:tcW w:w="1563" w:type="dxa"/>
          </w:tcPr>
          <w:p w14:paraId="66C183DB" w14:textId="073EE450" w:rsidR="00106A4B" w:rsidRPr="00106A4B" w:rsidRDefault="0082330A" w:rsidP="00F55B59">
            <w:pPr>
              <w:rPr>
                <w:rFonts w:cs="Times New Roman"/>
                <w:color w:val="000000"/>
                <w:sz w:val="20"/>
                <w:szCs w:val="20"/>
                <w:lang w:val="fr-FR"/>
              </w:rPr>
            </w:pPr>
            <w:r>
              <w:rPr>
                <w:rFonts w:cs="Times New Roman"/>
                <w:color w:val="000000"/>
                <w:sz w:val="20"/>
                <w:szCs w:val="20"/>
                <w:lang w:val="fr-FR"/>
              </w:rPr>
              <w:t>Part du bien détenu</w:t>
            </w:r>
          </w:p>
        </w:tc>
        <w:tc>
          <w:tcPr>
            <w:tcW w:w="1127" w:type="dxa"/>
            <w:noWrap/>
          </w:tcPr>
          <w:p w14:paraId="28EC5DC0" w14:textId="25109537" w:rsidR="00106A4B" w:rsidRPr="00106A4B" w:rsidRDefault="007577A5" w:rsidP="00F55B59">
            <w:pPr>
              <w:rPr>
                <w:rFonts w:cs="Times New Roman"/>
                <w:color w:val="000000"/>
                <w:sz w:val="20"/>
                <w:szCs w:val="20"/>
                <w:lang w:val="fr-FR"/>
              </w:rPr>
            </w:pPr>
            <w:r>
              <w:rPr>
                <w:rFonts w:cs="Times New Roman"/>
                <w:color w:val="000000"/>
                <w:sz w:val="20"/>
                <w:szCs w:val="20"/>
                <w:lang w:val="fr-FR"/>
              </w:rPr>
              <w:t>C0080</w:t>
            </w:r>
          </w:p>
        </w:tc>
        <w:tc>
          <w:tcPr>
            <w:tcW w:w="6372" w:type="dxa"/>
          </w:tcPr>
          <w:p w14:paraId="3AB04165" w14:textId="710B0138" w:rsidR="00106A4B" w:rsidRDefault="00D17F3C" w:rsidP="00D051BC">
            <w:pPr>
              <w:jc w:val="both"/>
              <w:rPr>
                <w:rFonts w:cs="Times New Roman"/>
                <w:color w:val="000000"/>
                <w:sz w:val="20"/>
                <w:szCs w:val="20"/>
                <w:lang w:val="fr-FR"/>
              </w:rPr>
            </w:pPr>
            <w:r>
              <w:rPr>
                <w:rFonts w:cs="Times New Roman"/>
                <w:color w:val="000000"/>
                <w:sz w:val="20"/>
                <w:szCs w:val="20"/>
                <w:lang w:val="fr-FR"/>
              </w:rPr>
              <w:t>Part</w:t>
            </w:r>
            <w:r w:rsidR="007577A5" w:rsidRPr="007577A5">
              <w:rPr>
                <w:rFonts w:cs="Times New Roman"/>
                <w:color w:val="000000"/>
                <w:sz w:val="20"/>
                <w:szCs w:val="20"/>
                <w:lang w:val="fr-FR"/>
              </w:rPr>
              <w:t xml:space="preserve"> du bien </w:t>
            </w:r>
            <w:r>
              <w:rPr>
                <w:rFonts w:cs="Times New Roman"/>
                <w:color w:val="000000"/>
                <w:sz w:val="20"/>
                <w:szCs w:val="20"/>
                <w:lang w:val="fr-FR"/>
              </w:rPr>
              <w:t xml:space="preserve">(en base 1) </w:t>
            </w:r>
            <w:r w:rsidR="007577A5" w:rsidRPr="007577A5">
              <w:rPr>
                <w:rFonts w:cs="Times New Roman"/>
                <w:color w:val="000000"/>
                <w:sz w:val="20"/>
                <w:szCs w:val="20"/>
                <w:lang w:val="fr-FR"/>
              </w:rPr>
              <w:t>détenu par le remettant</w:t>
            </w:r>
            <w:r w:rsidR="007577A5">
              <w:rPr>
                <w:rFonts w:cs="Times New Roman"/>
                <w:color w:val="000000"/>
                <w:sz w:val="20"/>
                <w:szCs w:val="20"/>
                <w:lang w:val="fr-FR"/>
              </w:rPr>
              <w:t>.</w:t>
            </w:r>
          </w:p>
          <w:p w14:paraId="4E6A2FB5" w14:textId="77777777" w:rsidR="007577A5" w:rsidRDefault="007577A5" w:rsidP="00D051BC">
            <w:pPr>
              <w:jc w:val="both"/>
              <w:rPr>
                <w:rFonts w:cs="Times New Roman"/>
                <w:color w:val="000000"/>
                <w:sz w:val="20"/>
                <w:szCs w:val="20"/>
                <w:lang w:val="fr-FR"/>
              </w:rPr>
            </w:pPr>
          </w:p>
          <w:p w14:paraId="0ED54587" w14:textId="487D17DB" w:rsidR="007577A5" w:rsidRPr="00106A4B" w:rsidRDefault="00BD2C54" w:rsidP="00D051BC">
            <w:pPr>
              <w:jc w:val="both"/>
              <w:rPr>
                <w:rFonts w:cs="Times New Roman"/>
                <w:color w:val="000000"/>
                <w:sz w:val="20"/>
                <w:szCs w:val="20"/>
                <w:lang w:val="fr-FR"/>
              </w:rPr>
            </w:pPr>
            <w:r>
              <w:rPr>
                <w:rFonts w:cs="Times New Roman"/>
                <w:color w:val="000000"/>
                <w:sz w:val="20"/>
                <w:szCs w:val="20"/>
                <w:lang w:val="fr-FR"/>
              </w:rPr>
              <w:t xml:space="preserve">Pour la </w:t>
            </w:r>
            <w:r w:rsidRPr="00386C43">
              <w:rPr>
                <w:rFonts w:cs="Times New Roman"/>
                <w:color w:val="000000"/>
                <w:sz w:val="20"/>
                <w:szCs w:val="20"/>
                <w:lang w:val="fr-FR"/>
              </w:rPr>
              <w:t>ligne de total par des sociétés immobilières/foncières non cotées à</w:t>
            </w:r>
            <w:r>
              <w:rPr>
                <w:rFonts w:cs="Times New Roman"/>
                <w:color w:val="000000"/>
                <w:sz w:val="20"/>
                <w:szCs w:val="20"/>
                <w:lang w:val="fr-FR"/>
              </w:rPr>
              <w:t xml:space="preserve"> une bourse OCDE</w:t>
            </w:r>
            <w:r w:rsidR="003C512F">
              <w:rPr>
                <w:rFonts w:cs="Times New Roman"/>
                <w:color w:val="000000"/>
                <w:sz w:val="20"/>
                <w:szCs w:val="20"/>
                <w:lang w:val="fr-FR"/>
              </w:rPr>
              <w:t>,</w:t>
            </w:r>
            <w:r>
              <w:rPr>
                <w:rFonts w:cs="Times New Roman"/>
                <w:color w:val="000000"/>
                <w:sz w:val="20"/>
                <w:szCs w:val="20"/>
                <w:lang w:val="fr-FR"/>
              </w:rPr>
              <w:t xml:space="preserve"> mettre ici le taux de détention de la société en question.</w:t>
            </w:r>
          </w:p>
        </w:tc>
      </w:tr>
      <w:tr w:rsidR="00D17F3C" w:rsidRPr="00B67CFE" w14:paraId="6C4764DF" w14:textId="77777777" w:rsidTr="00441CAF">
        <w:trPr>
          <w:cantSplit/>
        </w:trPr>
        <w:tc>
          <w:tcPr>
            <w:tcW w:w="1563" w:type="dxa"/>
          </w:tcPr>
          <w:p w14:paraId="226758F7" w14:textId="04E6E235" w:rsidR="00D17F3C" w:rsidRPr="00106A4B" w:rsidRDefault="00D17F3C" w:rsidP="00D17F3C">
            <w:pPr>
              <w:rPr>
                <w:rFonts w:cs="Times New Roman"/>
                <w:color w:val="000000"/>
                <w:sz w:val="20"/>
                <w:szCs w:val="20"/>
                <w:lang w:val="fr-FR"/>
              </w:rPr>
            </w:pPr>
            <w:r w:rsidRPr="00D17F3C">
              <w:rPr>
                <w:rFonts w:cs="Times New Roman"/>
                <w:color w:val="000000"/>
                <w:sz w:val="20"/>
                <w:szCs w:val="20"/>
                <w:lang w:val="fr-FR"/>
              </w:rPr>
              <w:lastRenderedPageBreak/>
              <w:t>Valorisation nette comptable</w:t>
            </w:r>
          </w:p>
        </w:tc>
        <w:tc>
          <w:tcPr>
            <w:tcW w:w="1127" w:type="dxa"/>
            <w:noWrap/>
            <w:vAlign w:val="center"/>
          </w:tcPr>
          <w:p w14:paraId="71CCCA67" w14:textId="49F17DBF" w:rsidR="00D17F3C" w:rsidRPr="00106A4B" w:rsidRDefault="00D17F3C" w:rsidP="00D17F3C">
            <w:pPr>
              <w:rPr>
                <w:rFonts w:cs="Times New Roman"/>
                <w:color w:val="000000"/>
                <w:sz w:val="20"/>
                <w:szCs w:val="20"/>
                <w:lang w:val="fr-FR"/>
              </w:rPr>
            </w:pPr>
            <w:r>
              <w:rPr>
                <w:rFonts w:ascii="Calibri" w:hAnsi="Calibri" w:cs="Calibri"/>
                <w:color w:val="000000"/>
                <w:sz w:val="18"/>
                <w:szCs w:val="18"/>
              </w:rPr>
              <w:t>C0090</w:t>
            </w:r>
          </w:p>
        </w:tc>
        <w:tc>
          <w:tcPr>
            <w:tcW w:w="6372" w:type="dxa"/>
          </w:tcPr>
          <w:p w14:paraId="507BC7FD" w14:textId="05D80AD7" w:rsidR="00D17F3C" w:rsidRDefault="00D17F3C" w:rsidP="00D17F3C">
            <w:pPr>
              <w:jc w:val="both"/>
              <w:rPr>
                <w:rFonts w:cs="Times New Roman"/>
                <w:color w:val="000000"/>
                <w:sz w:val="20"/>
                <w:szCs w:val="20"/>
                <w:lang w:val="fr-FR"/>
              </w:rPr>
            </w:pPr>
            <w:r w:rsidRPr="00D17F3C">
              <w:rPr>
                <w:rFonts w:cs="Times New Roman"/>
                <w:color w:val="000000"/>
                <w:sz w:val="20"/>
                <w:szCs w:val="20"/>
                <w:lang w:val="fr-FR"/>
              </w:rPr>
              <w:t>Valorisation du bien dans le bilan comptable (</w:t>
            </w:r>
            <w:r w:rsidR="001E3B95">
              <w:rPr>
                <w:rFonts w:cs="Times New Roman"/>
                <w:color w:val="000000"/>
                <w:sz w:val="20"/>
                <w:szCs w:val="20"/>
                <w:lang w:val="fr-FR"/>
              </w:rPr>
              <w:t xml:space="preserve">en </w:t>
            </w:r>
            <w:r w:rsidRPr="00D17F3C">
              <w:rPr>
                <w:rFonts w:cs="Times New Roman"/>
                <w:color w:val="000000"/>
                <w:sz w:val="20"/>
                <w:szCs w:val="20"/>
                <w:lang w:val="fr-FR"/>
              </w:rPr>
              <w:t>euros)</w:t>
            </w:r>
            <w:r w:rsidR="00A47367">
              <w:rPr>
                <w:rFonts w:cs="Times New Roman"/>
                <w:color w:val="000000"/>
                <w:sz w:val="20"/>
                <w:szCs w:val="20"/>
                <w:lang w:val="fr-FR"/>
              </w:rPr>
              <w:t xml:space="preserve"> (valeur brute – amortissements cumulés et dépréciations cumulées)</w:t>
            </w:r>
            <w:r>
              <w:rPr>
                <w:rFonts w:cs="Times New Roman"/>
                <w:color w:val="000000"/>
                <w:sz w:val="20"/>
                <w:szCs w:val="20"/>
                <w:lang w:val="fr-FR"/>
              </w:rPr>
              <w:t>.</w:t>
            </w:r>
          </w:p>
          <w:p w14:paraId="10DA969B" w14:textId="77777777" w:rsidR="00D17F3C" w:rsidRDefault="00D17F3C" w:rsidP="00D17F3C">
            <w:pPr>
              <w:jc w:val="both"/>
              <w:rPr>
                <w:rFonts w:cs="Times New Roman"/>
                <w:color w:val="000000"/>
                <w:sz w:val="20"/>
                <w:szCs w:val="20"/>
                <w:lang w:val="fr-FR"/>
              </w:rPr>
            </w:pPr>
          </w:p>
          <w:p w14:paraId="587DC6FB" w14:textId="02091B3B" w:rsidR="00D17F3C" w:rsidRPr="00106A4B" w:rsidRDefault="00D17F3C" w:rsidP="00D17F3C">
            <w:pPr>
              <w:jc w:val="both"/>
              <w:rPr>
                <w:rFonts w:cs="Times New Roman"/>
                <w:color w:val="000000"/>
                <w:sz w:val="20"/>
                <w:szCs w:val="20"/>
                <w:lang w:val="fr-FR"/>
              </w:rPr>
            </w:pPr>
            <w:r>
              <w:rPr>
                <w:rFonts w:cs="Times New Roman"/>
                <w:color w:val="000000"/>
                <w:sz w:val="20"/>
                <w:szCs w:val="20"/>
                <w:lang w:val="fr-FR"/>
              </w:rPr>
              <w:t xml:space="preserve">Pour la </w:t>
            </w:r>
            <w:r w:rsidRPr="00386C43">
              <w:rPr>
                <w:rFonts w:cs="Times New Roman"/>
                <w:color w:val="000000"/>
                <w:sz w:val="20"/>
                <w:szCs w:val="20"/>
                <w:lang w:val="fr-FR"/>
              </w:rPr>
              <w:t>ligne de total par des sociétés immobilières/foncières non cotées à</w:t>
            </w:r>
            <w:r>
              <w:rPr>
                <w:rFonts w:cs="Times New Roman"/>
                <w:color w:val="000000"/>
                <w:sz w:val="20"/>
                <w:szCs w:val="20"/>
                <w:lang w:val="fr-FR"/>
              </w:rPr>
              <w:t xml:space="preserve"> une bourse OCDE</w:t>
            </w:r>
            <w:r w:rsidR="003C512F">
              <w:rPr>
                <w:rFonts w:cs="Times New Roman"/>
                <w:color w:val="000000"/>
                <w:sz w:val="20"/>
                <w:szCs w:val="20"/>
                <w:lang w:val="fr-FR"/>
              </w:rPr>
              <w:t>,</w:t>
            </w:r>
            <w:r>
              <w:rPr>
                <w:rFonts w:cs="Times New Roman"/>
                <w:color w:val="000000"/>
                <w:sz w:val="20"/>
                <w:szCs w:val="20"/>
                <w:lang w:val="fr-FR"/>
              </w:rPr>
              <w:t xml:space="preserve"> mettre ici la valorisation comptable de cette société dans le bilan comptable.</w:t>
            </w:r>
          </w:p>
        </w:tc>
      </w:tr>
      <w:tr w:rsidR="00D17F3C" w:rsidRPr="00B67CFE" w14:paraId="00A7AA9D" w14:textId="77777777" w:rsidTr="00441CAF">
        <w:trPr>
          <w:cantSplit/>
        </w:trPr>
        <w:tc>
          <w:tcPr>
            <w:tcW w:w="1563" w:type="dxa"/>
            <w:vAlign w:val="center"/>
          </w:tcPr>
          <w:p w14:paraId="6B39E19A" w14:textId="3D09384E" w:rsidR="00D17F3C" w:rsidRPr="00106A4B" w:rsidRDefault="00D17F3C" w:rsidP="00D17F3C">
            <w:pPr>
              <w:rPr>
                <w:rFonts w:cs="Times New Roman"/>
                <w:color w:val="000000"/>
                <w:sz w:val="20"/>
                <w:szCs w:val="20"/>
                <w:lang w:val="fr-FR"/>
              </w:rPr>
            </w:pPr>
            <w:r w:rsidRPr="00D17F3C">
              <w:rPr>
                <w:rFonts w:cs="Times New Roman"/>
                <w:color w:val="000000"/>
                <w:sz w:val="20"/>
                <w:szCs w:val="20"/>
                <w:lang w:val="fr-FR"/>
              </w:rPr>
              <w:t>Valeur de réalisation</w:t>
            </w:r>
          </w:p>
        </w:tc>
        <w:tc>
          <w:tcPr>
            <w:tcW w:w="1127" w:type="dxa"/>
            <w:noWrap/>
            <w:vAlign w:val="center"/>
          </w:tcPr>
          <w:p w14:paraId="2690CDB4" w14:textId="09CCFCC7" w:rsidR="00D17F3C" w:rsidRPr="00106A4B" w:rsidRDefault="00D17F3C" w:rsidP="00A47367">
            <w:pPr>
              <w:rPr>
                <w:rFonts w:cs="Times New Roman"/>
                <w:color w:val="000000"/>
                <w:sz w:val="20"/>
                <w:szCs w:val="20"/>
                <w:lang w:val="fr-FR"/>
              </w:rPr>
            </w:pPr>
            <w:r>
              <w:rPr>
                <w:rFonts w:ascii="Calibri" w:hAnsi="Calibri" w:cs="Calibri"/>
                <w:color w:val="000000"/>
                <w:sz w:val="18"/>
                <w:szCs w:val="18"/>
              </w:rPr>
              <w:t>C01</w:t>
            </w:r>
            <w:r w:rsidR="00A47367">
              <w:rPr>
                <w:rFonts w:ascii="Calibri" w:hAnsi="Calibri" w:cs="Calibri"/>
                <w:color w:val="000000"/>
                <w:sz w:val="18"/>
                <w:szCs w:val="18"/>
              </w:rPr>
              <w:t>0</w:t>
            </w:r>
            <w:r>
              <w:rPr>
                <w:rFonts w:ascii="Calibri" w:hAnsi="Calibri" w:cs="Calibri"/>
                <w:color w:val="000000"/>
                <w:sz w:val="18"/>
                <w:szCs w:val="18"/>
              </w:rPr>
              <w:t>0</w:t>
            </w:r>
          </w:p>
        </w:tc>
        <w:tc>
          <w:tcPr>
            <w:tcW w:w="6372" w:type="dxa"/>
          </w:tcPr>
          <w:p w14:paraId="0A168F02" w14:textId="10F093D8" w:rsidR="00A53FCD" w:rsidRDefault="00A53FCD" w:rsidP="00A53FCD">
            <w:pPr>
              <w:jc w:val="both"/>
              <w:rPr>
                <w:rFonts w:cs="Times New Roman"/>
                <w:color w:val="000000"/>
                <w:sz w:val="20"/>
                <w:szCs w:val="20"/>
                <w:lang w:val="fr-FR"/>
              </w:rPr>
            </w:pPr>
            <w:r w:rsidRPr="00D17F3C">
              <w:rPr>
                <w:rFonts w:cs="Times New Roman"/>
                <w:color w:val="000000"/>
                <w:sz w:val="20"/>
                <w:szCs w:val="20"/>
                <w:lang w:val="fr-FR"/>
              </w:rPr>
              <w:t xml:space="preserve">Valeur </w:t>
            </w:r>
            <w:r w:rsidRPr="00A53FCD">
              <w:rPr>
                <w:rFonts w:cs="Times New Roman"/>
                <w:color w:val="000000"/>
                <w:sz w:val="20"/>
                <w:szCs w:val="20"/>
                <w:lang w:val="fr-FR"/>
              </w:rPr>
              <w:t>de réalisation</w:t>
            </w:r>
            <w:r>
              <w:rPr>
                <w:rFonts w:cs="Times New Roman"/>
                <w:color w:val="000000"/>
                <w:sz w:val="20"/>
                <w:szCs w:val="20"/>
                <w:lang w:val="fr-FR"/>
              </w:rPr>
              <w:t xml:space="preserve"> </w:t>
            </w:r>
            <w:r w:rsidRPr="00D17F3C">
              <w:rPr>
                <w:rFonts w:cs="Times New Roman"/>
                <w:color w:val="000000"/>
                <w:sz w:val="20"/>
                <w:szCs w:val="20"/>
                <w:lang w:val="fr-FR"/>
              </w:rPr>
              <w:t>du bien</w:t>
            </w:r>
            <w:r w:rsidR="003C512F">
              <w:rPr>
                <w:rFonts w:cs="Times New Roman"/>
                <w:color w:val="000000"/>
                <w:sz w:val="20"/>
                <w:szCs w:val="20"/>
                <w:lang w:val="fr-FR"/>
              </w:rPr>
              <w:t>,</w:t>
            </w:r>
            <w:r w:rsidRPr="00D17F3C">
              <w:rPr>
                <w:rFonts w:cs="Times New Roman"/>
                <w:color w:val="000000"/>
                <w:sz w:val="20"/>
                <w:szCs w:val="20"/>
                <w:lang w:val="fr-FR"/>
              </w:rPr>
              <w:t xml:space="preserve"> </w:t>
            </w:r>
            <w:r w:rsidR="003C512F">
              <w:rPr>
                <w:rFonts w:cs="Times New Roman"/>
                <w:color w:val="000000"/>
                <w:sz w:val="20"/>
                <w:szCs w:val="20"/>
                <w:lang w:val="fr-FR"/>
              </w:rPr>
              <w:t xml:space="preserve">calculée conformément à l’article R. 343-11 du code des assurances </w:t>
            </w:r>
            <w:r w:rsidRPr="00A53FCD">
              <w:rPr>
                <w:rFonts w:cs="Times New Roman"/>
                <w:color w:val="000000"/>
                <w:sz w:val="20"/>
                <w:szCs w:val="20"/>
                <w:lang w:val="fr-FR"/>
              </w:rPr>
              <w:t>(</w:t>
            </w:r>
            <w:r w:rsidR="001E3B95">
              <w:rPr>
                <w:rFonts w:cs="Times New Roman"/>
                <w:color w:val="000000"/>
                <w:sz w:val="20"/>
                <w:szCs w:val="20"/>
                <w:lang w:val="fr-FR"/>
              </w:rPr>
              <w:t xml:space="preserve">en </w:t>
            </w:r>
            <w:r w:rsidRPr="00A53FCD">
              <w:rPr>
                <w:rFonts w:cs="Times New Roman"/>
                <w:color w:val="000000"/>
                <w:sz w:val="20"/>
                <w:szCs w:val="20"/>
                <w:lang w:val="fr-FR"/>
              </w:rPr>
              <w:t>euros)</w:t>
            </w:r>
            <w:r>
              <w:rPr>
                <w:rFonts w:cs="Times New Roman"/>
                <w:color w:val="000000"/>
                <w:sz w:val="20"/>
                <w:szCs w:val="20"/>
                <w:lang w:val="fr-FR"/>
              </w:rPr>
              <w:t>.</w:t>
            </w:r>
          </w:p>
          <w:p w14:paraId="1E78F321" w14:textId="77777777" w:rsidR="00A53FCD" w:rsidRDefault="00A53FCD" w:rsidP="00A53FCD">
            <w:pPr>
              <w:jc w:val="both"/>
              <w:rPr>
                <w:rFonts w:cs="Times New Roman"/>
                <w:color w:val="000000"/>
                <w:sz w:val="20"/>
                <w:szCs w:val="20"/>
                <w:lang w:val="fr-FR"/>
              </w:rPr>
            </w:pPr>
          </w:p>
          <w:p w14:paraId="1C303681" w14:textId="50068600" w:rsidR="00B81340" w:rsidRPr="00106A4B" w:rsidRDefault="00A53FCD" w:rsidP="00A53FCD">
            <w:pPr>
              <w:jc w:val="both"/>
              <w:rPr>
                <w:rFonts w:cs="Times New Roman"/>
                <w:color w:val="000000"/>
                <w:sz w:val="20"/>
                <w:szCs w:val="20"/>
                <w:lang w:val="fr-FR"/>
              </w:rPr>
            </w:pPr>
            <w:r>
              <w:rPr>
                <w:rFonts w:cs="Times New Roman"/>
                <w:color w:val="000000"/>
                <w:sz w:val="20"/>
                <w:szCs w:val="20"/>
                <w:lang w:val="fr-FR"/>
              </w:rPr>
              <w:t xml:space="preserve">Pour la </w:t>
            </w:r>
            <w:r w:rsidRPr="00386C43">
              <w:rPr>
                <w:rFonts w:cs="Times New Roman"/>
                <w:color w:val="000000"/>
                <w:sz w:val="20"/>
                <w:szCs w:val="20"/>
                <w:lang w:val="fr-FR"/>
              </w:rPr>
              <w:t>ligne de total par des sociétés immobilières/foncières non cotées à</w:t>
            </w:r>
            <w:r>
              <w:rPr>
                <w:rFonts w:cs="Times New Roman"/>
                <w:color w:val="000000"/>
                <w:sz w:val="20"/>
                <w:szCs w:val="20"/>
                <w:lang w:val="fr-FR"/>
              </w:rPr>
              <w:t xml:space="preserve"> une bourse OCDE</w:t>
            </w:r>
            <w:r w:rsidR="003C512F">
              <w:rPr>
                <w:rFonts w:cs="Times New Roman"/>
                <w:color w:val="000000"/>
                <w:sz w:val="20"/>
                <w:szCs w:val="20"/>
                <w:lang w:val="fr-FR"/>
              </w:rPr>
              <w:t>,</w:t>
            </w:r>
            <w:r>
              <w:rPr>
                <w:rFonts w:cs="Times New Roman"/>
                <w:color w:val="000000"/>
                <w:sz w:val="20"/>
                <w:szCs w:val="20"/>
                <w:lang w:val="fr-FR"/>
              </w:rPr>
              <w:t xml:space="preserve"> mettre ici la v</w:t>
            </w:r>
            <w:r w:rsidRPr="00D17F3C">
              <w:rPr>
                <w:rFonts w:cs="Times New Roman"/>
                <w:color w:val="000000"/>
                <w:sz w:val="20"/>
                <w:szCs w:val="20"/>
                <w:lang w:val="fr-FR"/>
              </w:rPr>
              <w:t xml:space="preserve">aleur </w:t>
            </w:r>
            <w:r w:rsidRPr="00A53FCD">
              <w:rPr>
                <w:rFonts w:cs="Times New Roman"/>
                <w:color w:val="000000"/>
                <w:sz w:val="20"/>
                <w:szCs w:val="20"/>
                <w:lang w:val="fr-FR"/>
              </w:rPr>
              <w:t>de réalisation</w:t>
            </w:r>
            <w:r>
              <w:rPr>
                <w:rFonts w:cs="Times New Roman"/>
                <w:color w:val="000000"/>
                <w:sz w:val="20"/>
                <w:szCs w:val="20"/>
                <w:lang w:val="fr-FR"/>
              </w:rPr>
              <w:t xml:space="preserve"> de cette société</w:t>
            </w:r>
            <w:r w:rsidR="003C512F">
              <w:rPr>
                <w:rFonts w:cs="Times New Roman"/>
                <w:color w:val="000000"/>
                <w:sz w:val="20"/>
                <w:szCs w:val="20"/>
                <w:lang w:val="fr-FR"/>
              </w:rPr>
              <w:t>,</w:t>
            </w:r>
            <w:r w:rsidR="003C512F" w:rsidRPr="00D17F3C">
              <w:rPr>
                <w:rFonts w:cs="Times New Roman"/>
                <w:color w:val="000000"/>
                <w:sz w:val="20"/>
                <w:szCs w:val="20"/>
                <w:lang w:val="fr-FR"/>
              </w:rPr>
              <w:t xml:space="preserve"> </w:t>
            </w:r>
            <w:r w:rsidR="003C512F">
              <w:rPr>
                <w:rFonts w:cs="Times New Roman"/>
                <w:color w:val="000000"/>
                <w:sz w:val="20"/>
                <w:szCs w:val="20"/>
                <w:lang w:val="fr-FR"/>
              </w:rPr>
              <w:t>calculée conformément à l’article R. 343-11 du code des assurances</w:t>
            </w:r>
            <w:r w:rsidRPr="00A53FCD">
              <w:rPr>
                <w:rFonts w:cs="Times New Roman"/>
                <w:color w:val="000000"/>
                <w:sz w:val="20"/>
                <w:szCs w:val="20"/>
                <w:lang w:val="fr-FR"/>
              </w:rPr>
              <w:t xml:space="preserve"> (</w:t>
            </w:r>
            <w:r w:rsidR="001E3B95">
              <w:rPr>
                <w:rFonts w:cs="Times New Roman"/>
                <w:color w:val="000000"/>
                <w:sz w:val="20"/>
                <w:szCs w:val="20"/>
                <w:lang w:val="fr-FR"/>
              </w:rPr>
              <w:t xml:space="preserve">en </w:t>
            </w:r>
            <w:r w:rsidRPr="00A53FCD">
              <w:rPr>
                <w:rFonts w:cs="Times New Roman"/>
                <w:color w:val="000000"/>
                <w:sz w:val="20"/>
                <w:szCs w:val="20"/>
                <w:lang w:val="fr-FR"/>
              </w:rPr>
              <w:t>euros)</w:t>
            </w:r>
            <w:r>
              <w:rPr>
                <w:rFonts w:cs="Times New Roman"/>
                <w:color w:val="000000"/>
                <w:sz w:val="20"/>
                <w:szCs w:val="20"/>
                <w:lang w:val="fr-FR"/>
              </w:rPr>
              <w:t>.</w:t>
            </w:r>
          </w:p>
        </w:tc>
      </w:tr>
      <w:tr w:rsidR="00D17F3C" w:rsidRPr="00B67CFE" w14:paraId="03EAECF4" w14:textId="77777777" w:rsidTr="00441CAF">
        <w:trPr>
          <w:cantSplit/>
        </w:trPr>
        <w:tc>
          <w:tcPr>
            <w:tcW w:w="1563" w:type="dxa"/>
            <w:vAlign w:val="center"/>
          </w:tcPr>
          <w:p w14:paraId="0DD154D1" w14:textId="25C1D8F6" w:rsidR="00D17F3C" w:rsidRPr="00106A4B" w:rsidRDefault="00D17F3C" w:rsidP="00D17F3C">
            <w:pPr>
              <w:rPr>
                <w:rFonts w:cs="Times New Roman"/>
                <w:color w:val="000000"/>
                <w:sz w:val="20"/>
                <w:szCs w:val="20"/>
                <w:lang w:val="fr-FR"/>
              </w:rPr>
            </w:pPr>
            <w:r w:rsidRPr="00D17F3C">
              <w:rPr>
                <w:rFonts w:cs="Times New Roman"/>
                <w:color w:val="000000"/>
                <w:sz w:val="20"/>
                <w:szCs w:val="20"/>
                <w:lang w:val="fr-FR"/>
              </w:rPr>
              <w:t>Valorisation SII</w:t>
            </w:r>
          </w:p>
        </w:tc>
        <w:tc>
          <w:tcPr>
            <w:tcW w:w="1127" w:type="dxa"/>
            <w:noWrap/>
            <w:vAlign w:val="center"/>
          </w:tcPr>
          <w:p w14:paraId="32AF8894" w14:textId="50842412" w:rsidR="00D17F3C" w:rsidRPr="00106A4B" w:rsidRDefault="00D17F3C" w:rsidP="00D17F3C">
            <w:pPr>
              <w:rPr>
                <w:rFonts w:cs="Times New Roman"/>
                <w:color w:val="000000"/>
                <w:sz w:val="20"/>
                <w:szCs w:val="20"/>
                <w:lang w:val="fr-FR"/>
              </w:rPr>
            </w:pPr>
            <w:r>
              <w:rPr>
                <w:rFonts w:ascii="Calibri" w:hAnsi="Calibri" w:cs="Calibri"/>
                <w:color w:val="000000"/>
                <w:sz w:val="18"/>
                <w:szCs w:val="18"/>
              </w:rPr>
              <w:t>C01</w:t>
            </w:r>
            <w:r w:rsidR="00A47367">
              <w:rPr>
                <w:rFonts w:ascii="Calibri" w:hAnsi="Calibri" w:cs="Calibri"/>
                <w:color w:val="000000"/>
                <w:sz w:val="18"/>
                <w:szCs w:val="18"/>
              </w:rPr>
              <w:t>1</w:t>
            </w:r>
            <w:r>
              <w:rPr>
                <w:rFonts w:ascii="Calibri" w:hAnsi="Calibri" w:cs="Calibri"/>
                <w:color w:val="000000"/>
                <w:sz w:val="18"/>
                <w:szCs w:val="18"/>
              </w:rPr>
              <w:t>0</w:t>
            </w:r>
          </w:p>
        </w:tc>
        <w:tc>
          <w:tcPr>
            <w:tcW w:w="6372" w:type="dxa"/>
          </w:tcPr>
          <w:p w14:paraId="6E656395" w14:textId="32F9F16D" w:rsidR="009A603A" w:rsidRDefault="009A603A" w:rsidP="009A603A">
            <w:pPr>
              <w:jc w:val="both"/>
              <w:rPr>
                <w:rFonts w:cs="Times New Roman"/>
                <w:color w:val="000000"/>
                <w:sz w:val="20"/>
                <w:szCs w:val="20"/>
                <w:lang w:val="fr-FR"/>
              </w:rPr>
            </w:pPr>
            <w:r w:rsidRPr="00D17F3C">
              <w:rPr>
                <w:rFonts w:cs="Times New Roman"/>
                <w:color w:val="000000"/>
                <w:sz w:val="20"/>
                <w:szCs w:val="20"/>
                <w:lang w:val="fr-FR"/>
              </w:rPr>
              <w:t xml:space="preserve">Valorisation du bien dans le bilan </w:t>
            </w:r>
            <w:r>
              <w:rPr>
                <w:rFonts w:cs="Times New Roman"/>
                <w:color w:val="000000"/>
                <w:sz w:val="20"/>
                <w:szCs w:val="20"/>
                <w:lang w:val="fr-FR"/>
              </w:rPr>
              <w:t>SII</w:t>
            </w:r>
            <w:r w:rsidRPr="00D17F3C">
              <w:rPr>
                <w:rFonts w:cs="Times New Roman"/>
                <w:color w:val="000000"/>
                <w:sz w:val="20"/>
                <w:szCs w:val="20"/>
                <w:lang w:val="fr-FR"/>
              </w:rPr>
              <w:t xml:space="preserve"> (</w:t>
            </w:r>
            <w:r w:rsidR="001E3B95">
              <w:rPr>
                <w:rFonts w:cs="Times New Roman"/>
                <w:color w:val="000000"/>
                <w:sz w:val="20"/>
                <w:szCs w:val="20"/>
                <w:lang w:val="fr-FR"/>
              </w:rPr>
              <w:t xml:space="preserve">en </w:t>
            </w:r>
            <w:r w:rsidRPr="00D17F3C">
              <w:rPr>
                <w:rFonts w:cs="Times New Roman"/>
                <w:color w:val="000000"/>
                <w:sz w:val="20"/>
                <w:szCs w:val="20"/>
                <w:lang w:val="fr-FR"/>
              </w:rPr>
              <w:t>euros)</w:t>
            </w:r>
            <w:r w:rsidR="00A47367">
              <w:rPr>
                <w:rFonts w:cs="Times New Roman"/>
                <w:color w:val="000000"/>
                <w:sz w:val="20"/>
                <w:szCs w:val="20"/>
                <w:lang w:val="fr-FR"/>
              </w:rPr>
              <w:t>, complétée en application d</w:t>
            </w:r>
            <w:r w:rsidR="000B5620">
              <w:rPr>
                <w:rFonts w:cs="Times New Roman"/>
                <w:color w:val="000000"/>
                <w:sz w:val="20"/>
                <w:szCs w:val="20"/>
                <w:lang w:val="fr-FR"/>
              </w:rPr>
              <w:t>es principes de valorisation én</w:t>
            </w:r>
            <w:r w:rsidR="00A47367">
              <w:rPr>
                <w:rFonts w:cs="Times New Roman"/>
                <w:color w:val="000000"/>
                <w:sz w:val="20"/>
                <w:szCs w:val="20"/>
                <w:lang w:val="fr-FR"/>
              </w:rPr>
              <w:t>oncés d</w:t>
            </w:r>
            <w:r w:rsidR="000B5620">
              <w:rPr>
                <w:rFonts w:cs="Times New Roman"/>
                <w:color w:val="000000"/>
                <w:sz w:val="20"/>
                <w:szCs w:val="20"/>
                <w:lang w:val="fr-FR"/>
              </w:rPr>
              <w:t>a</w:t>
            </w:r>
            <w:r w:rsidR="00A47367">
              <w:rPr>
                <w:rFonts w:cs="Times New Roman"/>
                <w:color w:val="000000"/>
                <w:sz w:val="20"/>
                <w:szCs w:val="20"/>
                <w:lang w:val="fr-FR"/>
              </w:rPr>
              <w:t xml:space="preserve">ns la directive 2009/138/CE, le règlement délégué (UE) 2015/35 et les normes techniques et orientations </w:t>
            </w:r>
            <w:r w:rsidR="00805E41">
              <w:rPr>
                <w:rFonts w:cs="Times New Roman"/>
                <w:color w:val="000000"/>
                <w:sz w:val="20"/>
                <w:szCs w:val="20"/>
                <w:lang w:val="fr-FR"/>
              </w:rPr>
              <w:t>S</w:t>
            </w:r>
            <w:r w:rsidR="00A47367">
              <w:rPr>
                <w:rFonts w:cs="Times New Roman"/>
                <w:color w:val="000000"/>
                <w:sz w:val="20"/>
                <w:szCs w:val="20"/>
                <w:lang w:val="fr-FR"/>
              </w:rPr>
              <w:t>olvabilité II.</w:t>
            </w:r>
          </w:p>
          <w:p w14:paraId="0BAD447F" w14:textId="77777777" w:rsidR="009844AC" w:rsidRDefault="009A603A" w:rsidP="00AD11FA">
            <w:pPr>
              <w:jc w:val="both"/>
              <w:rPr>
                <w:rFonts w:cs="Times New Roman"/>
                <w:color w:val="000000"/>
                <w:sz w:val="20"/>
                <w:szCs w:val="20"/>
                <w:lang w:val="fr-FR"/>
              </w:rPr>
            </w:pPr>
            <w:r>
              <w:rPr>
                <w:rFonts w:cs="Times New Roman"/>
                <w:color w:val="000000"/>
                <w:sz w:val="20"/>
                <w:szCs w:val="20"/>
                <w:lang w:val="fr-FR"/>
              </w:rPr>
              <w:t xml:space="preserve">Pour la </w:t>
            </w:r>
            <w:r w:rsidRPr="00386C43">
              <w:rPr>
                <w:rFonts w:cs="Times New Roman"/>
                <w:color w:val="000000"/>
                <w:sz w:val="20"/>
                <w:szCs w:val="20"/>
                <w:lang w:val="fr-FR"/>
              </w:rPr>
              <w:t>ligne de total par des sociétés immobilières/foncières non cotées à</w:t>
            </w:r>
            <w:r>
              <w:rPr>
                <w:rFonts w:cs="Times New Roman"/>
                <w:color w:val="000000"/>
                <w:sz w:val="20"/>
                <w:szCs w:val="20"/>
                <w:lang w:val="fr-FR"/>
              </w:rPr>
              <w:t xml:space="preserve"> une bourse OCDE</w:t>
            </w:r>
            <w:r w:rsidR="003C512F">
              <w:rPr>
                <w:rFonts w:cs="Times New Roman"/>
                <w:color w:val="000000"/>
                <w:sz w:val="20"/>
                <w:szCs w:val="20"/>
                <w:lang w:val="fr-FR"/>
              </w:rPr>
              <w:t>,</w:t>
            </w:r>
            <w:r>
              <w:rPr>
                <w:rFonts w:cs="Times New Roman"/>
                <w:color w:val="000000"/>
                <w:sz w:val="20"/>
                <w:szCs w:val="20"/>
                <w:lang w:val="fr-FR"/>
              </w:rPr>
              <w:t xml:space="preserve"> mettre ici la valorisation de cette société dans le bilan SII.</w:t>
            </w:r>
            <w:r w:rsidR="009844AC">
              <w:rPr>
                <w:rFonts w:cs="Times New Roman"/>
                <w:color w:val="000000"/>
                <w:sz w:val="20"/>
                <w:szCs w:val="20"/>
                <w:lang w:val="fr-FR"/>
              </w:rPr>
              <w:t xml:space="preserve"> </w:t>
            </w:r>
          </w:p>
          <w:p w14:paraId="7E0A8770" w14:textId="77777777" w:rsidR="009844AC" w:rsidRDefault="009844AC" w:rsidP="00AD11FA">
            <w:pPr>
              <w:jc w:val="both"/>
              <w:rPr>
                <w:rFonts w:cs="Times New Roman"/>
                <w:color w:val="000000"/>
                <w:sz w:val="20"/>
                <w:szCs w:val="20"/>
                <w:lang w:val="fr-FR"/>
              </w:rPr>
            </w:pPr>
          </w:p>
          <w:p w14:paraId="13176784" w14:textId="11297217" w:rsidR="00D17F3C" w:rsidRPr="00106A4B" w:rsidRDefault="009844AC" w:rsidP="00AD11FA">
            <w:pPr>
              <w:jc w:val="both"/>
              <w:rPr>
                <w:rFonts w:cs="Times New Roman"/>
                <w:color w:val="000000"/>
                <w:sz w:val="20"/>
                <w:szCs w:val="20"/>
                <w:lang w:val="fr-FR"/>
              </w:rPr>
            </w:pPr>
            <w:r>
              <w:rPr>
                <w:rFonts w:cs="Times New Roman"/>
                <w:color w:val="000000"/>
                <w:sz w:val="20"/>
                <w:szCs w:val="20"/>
                <w:lang w:val="fr-FR"/>
              </w:rPr>
              <w:t>Les remettants non soumis à S2 peuvent laisser ce champ vide.</w:t>
            </w:r>
          </w:p>
        </w:tc>
      </w:tr>
      <w:tr w:rsidR="00D17F3C" w:rsidRPr="00B67CFE" w14:paraId="728C7924" w14:textId="77777777" w:rsidTr="00441CAF">
        <w:trPr>
          <w:cantSplit/>
        </w:trPr>
        <w:tc>
          <w:tcPr>
            <w:tcW w:w="1563" w:type="dxa"/>
            <w:vAlign w:val="center"/>
          </w:tcPr>
          <w:p w14:paraId="099AEB0C" w14:textId="18AD19EE" w:rsidR="00D17F3C" w:rsidRPr="00106A4B" w:rsidRDefault="00D17F3C" w:rsidP="00D17F3C">
            <w:pPr>
              <w:rPr>
                <w:rFonts w:cs="Times New Roman"/>
                <w:color w:val="000000"/>
                <w:sz w:val="20"/>
                <w:szCs w:val="20"/>
                <w:lang w:val="fr-FR"/>
              </w:rPr>
            </w:pPr>
            <w:r w:rsidRPr="00D17F3C">
              <w:rPr>
                <w:rFonts w:cs="Times New Roman"/>
                <w:color w:val="000000"/>
                <w:sz w:val="20"/>
                <w:szCs w:val="20"/>
                <w:lang w:val="fr-FR"/>
              </w:rPr>
              <w:t>Surface utile</w:t>
            </w:r>
          </w:p>
        </w:tc>
        <w:tc>
          <w:tcPr>
            <w:tcW w:w="1127" w:type="dxa"/>
            <w:noWrap/>
            <w:vAlign w:val="center"/>
          </w:tcPr>
          <w:p w14:paraId="1737E044" w14:textId="15DC60A1" w:rsidR="00D17F3C" w:rsidRPr="00106A4B" w:rsidRDefault="00D17F3C" w:rsidP="00D17F3C">
            <w:pPr>
              <w:rPr>
                <w:rFonts w:cs="Times New Roman"/>
                <w:color w:val="000000"/>
                <w:sz w:val="20"/>
                <w:szCs w:val="20"/>
                <w:lang w:val="fr-FR"/>
              </w:rPr>
            </w:pPr>
            <w:r>
              <w:rPr>
                <w:rFonts w:ascii="Calibri" w:hAnsi="Calibri" w:cs="Calibri"/>
                <w:color w:val="000000"/>
                <w:sz w:val="18"/>
                <w:szCs w:val="18"/>
              </w:rPr>
              <w:t>C01</w:t>
            </w:r>
            <w:r w:rsidR="00A47367">
              <w:rPr>
                <w:rFonts w:ascii="Calibri" w:hAnsi="Calibri" w:cs="Calibri"/>
                <w:color w:val="000000"/>
                <w:sz w:val="18"/>
                <w:szCs w:val="18"/>
              </w:rPr>
              <w:t>2</w:t>
            </w:r>
            <w:r>
              <w:rPr>
                <w:rFonts w:ascii="Calibri" w:hAnsi="Calibri" w:cs="Calibri"/>
                <w:color w:val="000000"/>
                <w:sz w:val="18"/>
                <w:szCs w:val="18"/>
              </w:rPr>
              <w:t>0</w:t>
            </w:r>
          </w:p>
        </w:tc>
        <w:tc>
          <w:tcPr>
            <w:tcW w:w="6372" w:type="dxa"/>
          </w:tcPr>
          <w:p w14:paraId="41CC844C" w14:textId="26662443" w:rsidR="00D17F3C" w:rsidRDefault="009A603A" w:rsidP="00D17F3C">
            <w:pPr>
              <w:jc w:val="both"/>
              <w:rPr>
                <w:rFonts w:cs="Times New Roman"/>
                <w:color w:val="000000"/>
                <w:sz w:val="20"/>
                <w:szCs w:val="20"/>
                <w:lang w:val="fr-FR"/>
              </w:rPr>
            </w:pPr>
            <w:r w:rsidRPr="009A603A">
              <w:rPr>
                <w:rFonts w:cs="Times New Roman"/>
                <w:color w:val="000000"/>
                <w:sz w:val="20"/>
                <w:szCs w:val="20"/>
                <w:lang w:val="fr-FR"/>
              </w:rPr>
              <w:t>Surface utile du bien (Loi Carrez pour l'immobilier résidentiel)</w:t>
            </w:r>
            <w:r>
              <w:rPr>
                <w:rFonts w:cs="Times New Roman"/>
                <w:color w:val="000000"/>
                <w:sz w:val="20"/>
                <w:szCs w:val="20"/>
                <w:lang w:val="fr-FR"/>
              </w:rPr>
              <w:t>.</w:t>
            </w:r>
          </w:p>
          <w:p w14:paraId="3789E8D2" w14:textId="40B588E5" w:rsidR="009A603A" w:rsidRDefault="009A603A" w:rsidP="00D17F3C">
            <w:pPr>
              <w:jc w:val="both"/>
              <w:rPr>
                <w:rFonts w:cs="Times New Roman"/>
                <w:color w:val="000000"/>
                <w:sz w:val="20"/>
                <w:szCs w:val="20"/>
                <w:lang w:val="fr-FR"/>
              </w:rPr>
            </w:pPr>
          </w:p>
          <w:p w14:paraId="55A33DF3" w14:textId="0213867C" w:rsidR="009A603A" w:rsidRPr="00106A4B" w:rsidRDefault="009A603A" w:rsidP="00D17F3C">
            <w:pPr>
              <w:jc w:val="both"/>
              <w:rPr>
                <w:rFonts w:cs="Times New Roman"/>
                <w:color w:val="000000"/>
                <w:sz w:val="20"/>
                <w:szCs w:val="20"/>
                <w:lang w:val="fr-FR"/>
              </w:rPr>
            </w:pPr>
            <w:r>
              <w:rPr>
                <w:rFonts w:cs="Times New Roman"/>
                <w:color w:val="000000"/>
                <w:sz w:val="20"/>
                <w:szCs w:val="20"/>
                <w:lang w:val="fr-FR"/>
              </w:rPr>
              <w:t xml:space="preserve">Pour la </w:t>
            </w:r>
            <w:r w:rsidRPr="00386C43">
              <w:rPr>
                <w:rFonts w:cs="Times New Roman"/>
                <w:color w:val="000000"/>
                <w:sz w:val="20"/>
                <w:szCs w:val="20"/>
                <w:lang w:val="fr-FR"/>
              </w:rPr>
              <w:t>ligne de total par des sociétés immobilières/foncières non cotées à</w:t>
            </w:r>
            <w:r>
              <w:rPr>
                <w:rFonts w:cs="Times New Roman"/>
                <w:color w:val="000000"/>
                <w:sz w:val="20"/>
                <w:szCs w:val="20"/>
                <w:lang w:val="fr-FR"/>
              </w:rPr>
              <w:t xml:space="preserve"> une bourse OCDE, ce champ n’est pas attendu.</w:t>
            </w:r>
          </w:p>
        </w:tc>
      </w:tr>
      <w:tr w:rsidR="00D17F3C" w:rsidRPr="00B67CFE" w14:paraId="216B1732" w14:textId="77777777" w:rsidTr="00441CAF">
        <w:trPr>
          <w:cantSplit/>
        </w:trPr>
        <w:tc>
          <w:tcPr>
            <w:tcW w:w="1563" w:type="dxa"/>
            <w:vAlign w:val="center"/>
          </w:tcPr>
          <w:p w14:paraId="53C606CB" w14:textId="3C045FF7" w:rsidR="00D17F3C" w:rsidRPr="00106A4B" w:rsidRDefault="00D17F3C" w:rsidP="008B373B">
            <w:pPr>
              <w:rPr>
                <w:rFonts w:cs="Times New Roman"/>
                <w:color w:val="000000"/>
                <w:sz w:val="20"/>
                <w:szCs w:val="20"/>
                <w:lang w:val="fr-FR"/>
              </w:rPr>
            </w:pPr>
            <w:r w:rsidRPr="00D17F3C">
              <w:rPr>
                <w:rFonts w:cs="Times New Roman"/>
                <w:color w:val="000000"/>
                <w:sz w:val="20"/>
                <w:szCs w:val="20"/>
                <w:lang w:val="fr-FR"/>
              </w:rPr>
              <w:t>Code INSEE</w:t>
            </w:r>
          </w:p>
        </w:tc>
        <w:tc>
          <w:tcPr>
            <w:tcW w:w="1127" w:type="dxa"/>
            <w:noWrap/>
            <w:vAlign w:val="center"/>
          </w:tcPr>
          <w:p w14:paraId="6EFF8F4E" w14:textId="4273BE61" w:rsidR="00D17F3C" w:rsidRPr="00106A4B" w:rsidRDefault="00D17F3C" w:rsidP="00D17F3C">
            <w:pPr>
              <w:rPr>
                <w:rFonts w:cs="Times New Roman"/>
                <w:color w:val="000000"/>
                <w:sz w:val="20"/>
                <w:szCs w:val="20"/>
                <w:lang w:val="fr-FR"/>
              </w:rPr>
            </w:pPr>
            <w:r>
              <w:rPr>
                <w:rFonts w:ascii="Calibri" w:hAnsi="Calibri" w:cs="Calibri"/>
                <w:color w:val="000000"/>
                <w:sz w:val="18"/>
                <w:szCs w:val="18"/>
              </w:rPr>
              <w:t>C01</w:t>
            </w:r>
            <w:r w:rsidR="00A47367">
              <w:rPr>
                <w:rFonts w:ascii="Calibri" w:hAnsi="Calibri" w:cs="Calibri"/>
                <w:color w:val="000000"/>
                <w:sz w:val="18"/>
                <w:szCs w:val="18"/>
              </w:rPr>
              <w:t>3</w:t>
            </w:r>
            <w:r>
              <w:rPr>
                <w:rFonts w:ascii="Calibri" w:hAnsi="Calibri" w:cs="Calibri"/>
                <w:color w:val="000000"/>
                <w:sz w:val="18"/>
                <w:szCs w:val="18"/>
              </w:rPr>
              <w:t>0</w:t>
            </w:r>
          </w:p>
        </w:tc>
        <w:tc>
          <w:tcPr>
            <w:tcW w:w="6372" w:type="dxa"/>
          </w:tcPr>
          <w:p w14:paraId="6E5C07FF" w14:textId="39AFA968" w:rsidR="009A603A" w:rsidRPr="009A603A" w:rsidRDefault="009A603A" w:rsidP="009A603A">
            <w:pPr>
              <w:jc w:val="both"/>
              <w:rPr>
                <w:rFonts w:cs="Times New Roman"/>
                <w:color w:val="000000"/>
                <w:sz w:val="20"/>
                <w:szCs w:val="20"/>
                <w:lang w:val="fr-FR"/>
              </w:rPr>
            </w:pPr>
            <w:hyperlink r:id="rId8" w:anchor=":~:text=Le%20COG%20rassemble%20les%20codes,et%20pays%20et%20territoires%20%C3%A9trangers." w:history="1">
              <w:r w:rsidRPr="00602630">
                <w:rPr>
                  <w:rStyle w:val="Lienhypertexte"/>
                  <w:rFonts w:cs="Times New Roman"/>
                  <w:sz w:val="20"/>
                  <w:szCs w:val="20"/>
                  <w:lang w:val="fr-FR"/>
                </w:rPr>
                <w:t>Code INSEE</w:t>
              </w:r>
            </w:hyperlink>
            <w:r w:rsidRPr="009A603A">
              <w:rPr>
                <w:rFonts w:cs="Times New Roman"/>
                <w:color w:val="000000"/>
                <w:sz w:val="20"/>
                <w:szCs w:val="20"/>
                <w:lang w:val="fr-FR"/>
              </w:rPr>
              <w:t xml:space="preserve"> </w:t>
            </w:r>
            <w:r w:rsidR="000B7A1F">
              <w:rPr>
                <w:rFonts w:cs="Times New Roman"/>
                <w:color w:val="000000"/>
                <w:sz w:val="20"/>
                <w:szCs w:val="20"/>
                <w:lang w:val="fr-FR"/>
              </w:rPr>
              <w:t>sur 5 caractère</w:t>
            </w:r>
            <w:r w:rsidR="00805E41">
              <w:rPr>
                <w:rFonts w:cs="Times New Roman"/>
                <w:color w:val="000000"/>
                <w:sz w:val="20"/>
                <w:szCs w:val="20"/>
                <w:lang w:val="fr-FR"/>
              </w:rPr>
              <w:t>s</w:t>
            </w:r>
            <w:r w:rsidR="000B7A1F">
              <w:rPr>
                <w:rFonts w:cs="Times New Roman"/>
                <w:color w:val="000000"/>
                <w:sz w:val="20"/>
                <w:szCs w:val="20"/>
                <w:lang w:val="fr-FR"/>
              </w:rPr>
              <w:t xml:space="preserve"> </w:t>
            </w:r>
            <w:r w:rsidRPr="009A603A">
              <w:rPr>
                <w:rFonts w:cs="Times New Roman"/>
                <w:color w:val="000000"/>
                <w:sz w:val="20"/>
                <w:szCs w:val="20"/>
                <w:lang w:val="fr-FR"/>
              </w:rPr>
              <w:t>de la ville</w:t>
            </w:r>
            <w:r w:rsidR="008B373B">
              <w:rPr>
                <w:rFonts w:cs="Times New Roman"/>
                <w:color w:val="000000"/>
                <w:sz w:val="20"/>
                <w:szCs w:val="20"/>
                <w:lang w:val="fr-FR"/>
              </w:rPr>
              <w:t xml:space="preserve"> dans lequel est situé le bien, uniquement si le bien est localisé en France.</w:t>
            </w:r>
            <w:r w:rsidR="000B7A1F">
              <w:rPr>
                <w:rFonts w:cs="Times New Roman"/>
                <w:color w:val="000000"/>
                <w:sz w:val="20"/>
                <w:szCs w:val="20"/>
                <w:lang w:val="fr-FR"/>
              </w:rPr>
              <w:t xml:space="preserve"> Lorsque plusieurs codes sont exploitable</w:t>
            </w:r>
            <w:r w:rsidR="00805E41">
              <w:rPr>
                <w:rFonts w:cs="Times New Roman"/>
                <w:color w:val="000000"/>
                <w:sz w:val="20"/>
                <w:szCs w:val="20"/>
                <w:lang w:val="fr-FR"/>
              </w:rPr>
              <w:t>s</w:t>
            </w:r>
            <w:r w:rsidR="000B7A1F">
              <w:rPr>
                <w:rFonts w:cs="Times New Roman"/>
                <w:color w:val="000000"/>
                <w:sz w:val="20"/>
                <w:szCs w:val="20"/>
                <w:lang w:val="fr-FR"/>
              </w:rPr>
              <w:t xml:space="preserve"> pour identifier la localisation d’un bien, il faut prendre le plus précis (exemple : pour un bien situé dans le 15</w:t>
            </w:r>
            <w:r w:rsidR="000B7A1F" w:rsidRPr="00E12BEF">
              <w:rPr>
                <w:rFonts w:cs="Times New Roman"/>
                <w:color w:val="000000"/>
                <w:sz w:val="20"/>
                <w:szCs w:val="20"/>
                <w:vertAlign w:val="superscript"/>
                <w:lang w:val="fr-FR"/>
              </w:rPr>
              <w:t>ème</w:t>
            </w:r>
            <w:r w:rsidR="000B7A1F">
              <w:rPr>
                <w:rFonts w:cs="Times New Roman"/>
                <w:color w:val="000000"/>
                <w:sz w:val="20"/>
                <w:szCs w:val="20"/>
                <w:lang w:val="fr-FR"/>
              </w:rPr>
              <w:t xml:space="preserve"> arrondissement à Paris, il faut utiliser le </w:t>
            </w:r>
            <w:proofErr w:type="gramStart"/>
            <w:r w:rsidR="000B7A1F">
              <w:rPr>
                <w:rFonts w:cs="Times New Roman"/>
                <w:color w:val="000000"/>
                <w:sz w:val="20"/>
                <w:szCs w:val="20"/>
                <w:lang w:val="fr-FR"/>
              </w:rPr>
              <w:t>code  75115</w:t>
            </w:r>
            <w:proofErr w:type="gramEnd"/>
            <w:r w:rsidR="000B7A1F">
              <w:rPr>
                <w:rFonts w:cs="Times New Roman"/>
                <w:color w:val="000000"/>
                <w:sz w:val="20"/>
                <w:szCs w:val="20"/>
                <w:lang w:val="fr-FR"/>
              </w:rPr>
              <w:t xml:space="preserve">- </w:t>
            </w:r>
            <w:r w:rsidR="000B7A1F" w:rsidRPr="000B7A1F">
              <w:rPr>
                <w:rFonts w:cs="Times New Roman"/>
                <w:color w:val="000000"/>
                <w:sz w:val="20"/>
                <w:szCs w:val="20"/>
                <w:lang w:val="fr-FR"/>
              </w:rPr>
              <w:t>PARIS 15E ARRONDISSEMENT</w:t>
            </w:r>
            <w:r w:rsidR="000B7A1F">
              <w:rPr>
                <w:rFonts w:cs="Times New Roman"/>
                <w:color w:val="000000"/>
                <w:sz w:val="20"/>
                <w:szCs w:val="20"/>
                <w:lang w:val="fr-FR"/>
              </w:rPr>
              <w:t xml:space="preserve"> et non le code 75056 – PARIS).</w:t>
            </w:r>
          </w:p>
          <w:p w14:paraId="7446B503" w14:textId="77777777" w:rsidR="009A603A" w:rsidRDefault="009A603A" w:rsidP="009A603A">
            <w:pPr>
              <w:jc w:val="both"/>
              <w:rPr>
                <w:rFonts w:cs="Times New Roman"/>
                <w:color w:val="000000"/>
                <w:sz w:val="20"/>
                <w:szCs w:val="20"/>
                <w:lang w:val="fr-FR"/>
              </w:rPr>
            </w:pPr>
          </w:p>
          <w:p w14:paraId="5D29A350" w14:textId="1F64EB52" w:rsidR="009A603A" w:rsidRPr="00106A4B" w:rsidRDefault="009A603A" w:rsidP="009A603A">
            <w:pPr>
              <w:jc w:val="both"/>
              <w:rPr>
                <w:rFonts w:cs="Times New Roman"/>
                <w:color w:val="000000"/>
                <w:sz w:val="20"/>
                <w:szCs w:val="20"/>
                <w:lang w:val="fr-FR"/>
              </w:rPr>
            </w:pPr>
            <w:r>
              <w:rPr>
                <w:rFonts w:cs="Times New Roman"/>
                <w:color w:val="000000"/>
                <w:sz w:val="20"/>
                <w:szCs w:val="20"/>
                <w:lang w:val="fr-FR"/>
              </w:rPr>
              <w:t xml:space="preserve">Pour la </w:t>
            </w:r>
            <w:r w:rsidRPr="00386C43">
              <w:rPr>
                <w:rFonts w:cs="Times New Roman"/>
                <w:color w:val="000000"/>
                <w:sz w:val="20"/>
                <w:szCs w:val="20"/>
                <w:lang w:val="fr-FR"/>
              </w:rPr>
              <w:t>ligne de total par des sociétés immobilières/foncières non cotées à</w:t>
            </w:r>
            <w:r>
              <w:rPr>
                <w:rFonts w:cs="Times New Roman"/>
                <w:color w:val="000000"/>
                <w:sz w:val="20"/>
                <w:szCs w:val="20"/>
                <w:lang w:val="fr-FR"/>
              </w:rPr>
              <w:t xml:space="preserve"> une bourse OCDE, ce champ n’est pas attendu.</w:t>
            </w:r>
          </w:p>
        </w:tc>
      </w:tr>
      <w:tr w:rsidR="009A603A" w:rsidRPr="00B67CFE" w14:paraId="27CA8A44" w14:textId="77777777" w:rsidTr="00441CAF">
        <w:trPr>
          <w:cantSplit/>
        </w:trPr>
        <w:tc>
          <w:tcPr>
            <w:tcW w:w="1563" w:type="dxa"/>
            <w:vAlign w:val="center"/>
          </w:tcPr>
          <w:p w14:paraId="44BC2D51" w14:textId="188EDEC1" w:rsidR="009A603A" w:rsidRPr="0035529D" w:rsidRDefault="009A603A" w:rsidP="008B373B">
            <w:pPr>
              <w:rPr>
                <w:rFonts w:cs="Times New Roman"/>
                <w:color w:val="000000"/>
                <w:sz w:val="20"/>
                <w:szCs w:val="20"/>
                <w:lang w:val="fr-FR"/>
              </w:rPr>
            </w:pPr>
            <w:r w:rsidRPr="00D17F3C">
              <w:rPr>
                <w:rFonts w:cs="Times New Roman"/>
                <w:color w:val="000000"/>
                <w:sz w:val="20"/>
                <w:szCs w:val="20"/>
                <w:lang w:val="fr-FR"/>
              </w:rPr>
              <w:t>Code ISO</w:t>
            </w:r>
          </w:p>
        </w:tc>
        <w:tc>
          <w:tcPr>
            <w:tcW w:w="1127" w:type="dxa"/>
            <w:noWrap/>
            <w:vAlign w:val="center"/>
          </w:tcPr>
          <w:p w14:paraId="02234CAE" w14:textId="6D5B6A6C" w:rsidR="009A603A" w:rsidRPr="0035529D" w:rsidRDefault="009A603A" w:rsidP="00D17F3C">
            <w:pPr>
              <w:rPr>
                <w:rFonts w:ascii="Calibri" w:hAnsi="Calibri" w:cs="Calibri"/>
                <w:color w:val="000000"/>
                <w:sz w:val="18"/>
                <w:szCs w:val="18"/>
                <w:lang w:val="fr-FR"/>
              </w:rPr>
            </w:pPr>
            <w:r w:rsidRPr="000B7A1F">
              <w:rPr>
                <w:rFonts w:ascii="Calibri" w:hAnsi="Calibri" w:cs="Calibri"/>
                <w:color w:val="000000"/>
                <w:sz w:val="18"/>
                <w:szCs w:val="18"/>
              </w:rPr>
              <w:t>C01</w:t>
            </w:r>
            <w:r w:rsidR="00A47367" w:rsidRPr="000B7A1F">
              <w:rPr>
                <w:rFonts w:ascii="Calibri" w:hAnsi="Calibri" w:cs="Calibri"/>
                <w:color w:val="000000"/>
                <w:sz w:val="18"/>
                <w:szCs w:val="18"/>
              </w:rPr>
              <w:t>4</w:t>
            </w:r>
            <w:r w:rsidRPr="000B7A1F">
              <w:rPr>
                <w:rFonts w:ascii="Calibri" w:hAnsi="Calibri" w:cs="Calibri"/>
                <w:color w:val="000000"/>
                <w:sz w:val="18"/>
                <w:szCs w:val="18"/>
              </w:rPr>
              <w:t>0</w:t>
            </w:r>
          </w:p>
        </w:tc>
        <w:tc>
          <w:tcPr>
            <w:tcW w:w="6372" w:type="dxa"/>
          </w:tcPr>
          <w:p w14:paraId="2DF1810F" w14:textId="500919F0" w:rsidR="009A603A" w:rsidRDefault="008B373B" w:rsidP="008B373B">
            <w:pPr>
              <w:jc w:val="both"/>
              <w:rPr>
                <w:rFonts w:cs="Times New Roman"/>
                <w:color w:val="000000"/>
                <w:sz w:val="20"/>
                <w:szCs w:val="20"/>
                <w:lang w:val="fr-FR"/>
              </w:rPr>
            </w:pPr>
            <w:r w:rsidRPr="00D17F3C">
              <w:rPr>
                <w:rFonts w:cs="Times New Roman"/>
                <w:color w:val="000000"/>
                <w:sz w:val="20"/>
                <w:szCs w:val="20"/>
                <w:lang w:val="fr-FR"/>
              </w:rPr>
              <w:t>Code ISO</w:t>
            </w:r>
            <w:r>
              <w:rPr>
                <w:rFonts w:cs="Times New Roman"/>
                <w:color w:val="000000"/>
                <w:sz w:val="20"/>
                <w:szCs w:val="20"/>
                <w:lang w:val="fr-FR"/>
              </w:rPr>
              <w:t xml:space="preserve"> </w:t>
            </w:r>
            <w:r w:rsidR="00602630">
              <w:rPr>
                <w:rFonts w:cs="Times New Roman"/>
                <w:color w:val="000000"/>
                <w:sz w:val="20"/>
                <w:szCs w:val="20"/>
                <w:lang w:val="fr-FR"/>
              </w:rPr>
              <w:t xml:space="preserve">alphanumérique sur 2 </w:t>
            </w:r>
            <w:proofErr w:type="gramStart"/>
            <w:r w:rsidR="00602630">
              <w:rPr>
                <w:rFonts w:cs="Times New Roman"/>
                <w:color w:val="000000"/>
                <w:sz w:val="20"/>
                <w:szCs w:val="20"/>
                <w:lang w:val="fr-FR"/>
              </w:rPr>
              <w:t>position</w:t>
            </w:r>
            <w:proofErr w:type="gramEnd"/>
            <w:r w:rsidR="00602630">
              <w:rPr>
                <w:rFonts w:cs="Times New Roman"/>
                <w:color w:val="000000"/>
                <w:sz w:val="20"/>
                <w:szCs w:val="20"/>
                <w:lang w:val="fr-FR"/>
              </w:rPr>
              <w:t xml:space="preserve"> </w:t>
            </w:r>
            <w:r>
              <w:rPr>
                <w:rFonts w:cs="Times New Roman"/>
                <w:color w:val="000000"/>
                <w:sz w:val="20"/>
                <w:szCs w:val="20"/>
                <w:lang w:val="fr-FR"/>
              </w:rPr>
              <w:t>du pays ou est localisé le bien.</w:t>
            </w:r>
            <w:r w:rsidR="00602630">
              <w:rPr>
                <w:rFonts w:cs="Times New Roman"/>
                <w:color w:val="000000"/>
                <w:sz w:val="20"/>
                <w:szCs w:val="20"/>
                <w:lang w:val="fr-FR"/>
              </w:rPr>
              <w:t xml:space="preserve"> Exemple : « IT » pour l’Italie.</w:t>
            </w:r>
          </w:p>
          <w:p w14:paraId="609B3440" w14:textId="77777777" w:rsidR="008B373B" w:rsidRDefault="008B373B" w:rsidP="008B373B">
            <w:pPr>
              <w:jc w:val="both"/>
              <w:rPr>
                <w:rFonts w:cs="Times New Roman"/>
                <w:color w:val="000000"/>
                <w:sz w:val="20"/>
                <w:szCs w:val="20"/>
                <w:lang w:val="fr-FR"/>
              </w:rPr>
            </w:pPr>
          </w:p>
          <w:p w14:paraId="1F4150EE" w14:textId="3D305B02" w:rsidR="008B373B" w:rsidRPr="008B373B" w:rsidRDefault="008B373B" w:rsidP="008B373B">
            <w:pPr>
              <w:jc w:val="both"/>
              <w:rPr>
                <w:rFonts w:cs="Times New Roman"/>
                <w:color w:val="000000"/>
                <w:sz w:val="20"/>
                <w:szCs w:val="20"/>
                <w:lang w:val="fr-FR"/>
              </w:rPr>
            </w:pPr>
            <w:r>
              <w:rPr>
                <w:rFonts w:cs="Times New Roman"/>
                <w:color w:val="000000"/>
                <w:sz w:val="20"/>
                <w:szCs w:val="20"/>
                <w:lang w:val="fr-FR"/>
              </w:rPr>
              <w:t xml:space="preserve">Pour la </w:t>
            </w:r>
            <w:r w:rsidRPr="00386C43">
              <w:rPr>
                <w:rFonts w:cs="Times New Roman"/>
                <w:color w:val="000000"/>
                <w:sz w:val="20"/>
                <w:szCs w:val="20"/>
                <w:lang w:val="fr-FR"/>
              </w:rPr>
              <w:t>ligne de total par des sociétés immobilières/foncières non cotées à</w:t>
            </w:r>
            <w:r>
              <w:rPr>
                <w:rFonts w:cs="Times New Roman"/>
                <w:color w:val="000000"/>
                <w:sz w:val="20"/>
                <w:szCs w:val="20"/>
                <w:lang w:val="fr-FR"/>
              </w:rPr>
              <w:t xml:space="preserve"> une bourse OCDE, ce champ n’est pas attendu.</w:t>
            </w:r>
          </w:p>
        </w:tc>
      </w:tr>
      <w:tr w:rsidR="009A603A" w:rsidRPr="00B67CFE" w14:paraId="1E1DD22F" w14:textId="77777777" w:rsidTr="00441CAF">
        <w:trPr>
          <w:cantSplit/>
        </w:trPr>
        <w:tc>
          <w:tcPr>
            <w:tcW w:w="1563" w:type="dxa"/>
            <w:vAlign w:val="center"/>
          </w:tcPr>
          <w:p w14:paraId="6997BC97" w14:textId="7D164589" w:rsidR="009A603A" w:rsidRPr="00106A4B" w:rsidRDefault="009A603A" w:rsidP="00D17F3C">
            <w:pPr>
              <w:rPr>
                <w:rFonts w:cs="Times New Roman"/>
                <w:color w:val="000000"/>
                <w:sz w:val="20"/>
                <w:szCs w:val="20"/>
                <w:lang w:val="fr-FR"/>
              </w:rPr>
            </w:pPr>
            <w:r w:rsidRPr="00D17F3C">
              <w:rPr>
                <w:rFonts w:cs="Times New Roman"/>
                <w:color w:val="000000"/>
                <w:sz w:val="20"/>
                <w:szCs w:val="20"/>
                <w:lang w:val="fr-FR"/>
              </w:rPr>
              <w:t>Date de construction du bien</w:t>
            </w:r>
          </w:p>
        </w:tc>
        <w:tc>
          <w:tcPr>
            <w:tcW w:w="1127" w:type="dxa"/>
            <w:noWrap/>
            <w:vAlign w:val="center"/>
          </w:tcPr>
          <w:p w14:paraId="7D2AED6E" w14:textId="71E22CE4" w:rsidR="009A603A" w:rsidRPr="00106A4B" w:rsidRDefault="009A603A" w:rsidP="00D17F3C">
            <w:pPr>
              <w:rPr>
                <w:rFonts w:cs="Times New Roman"/>
                <w:color w:val="000000"/>
                <w:sz w:val="20"/>
                <w:szCs w:val="20"/>
                <w:lang w:val="fr-FR"/>
              </w:rPr>
            </w:pPr>
            <w:r w:rsidRPr="00602630">
              <w:rPr>
                <w:rFonts w:ascii="Calibri" w:hAnsi="Calibri" w:cs="Calibri"/>
                <w:color w:val="000000"/>
                <w:sz w:val="18"/>
                <w:szCs w:val="18"/>
              </w:rPr>
              <w:t>C01</w:t>
            </w:r>
            <w:r w:rsidR="00A47367" w:rsidRPr="00602630">
              <w:rPr>
                <w:rFonts w:ascii="Calibri" w:hAnsi="Calibri" w:cs="Calibri"/>
                <w:color w:val="000000"/>
                <w:sz w:val="18"/>
                <w:szCs w:val="18"/>
              </w:rPr>
              <w:t>5</w:t>
            </w:r>
            <w:r w:rsidRPr="00602630">
              <w:rPr>
                <w:rFonts w:ascii="Calibri" w:hAnsi="Calibri" w:cs="Calibri"/>
                <w:color w:val="000000"/>
                <w:sz w:val="18"/>
                <w:szCs w:val="18"/>
              </w:rPr>
              <w:t>0</w:t>
            </w:r>
          </w:p>
        </w:tc>
        <w:tc>
          <w:tcPr>
            <w:tcW w:w="6372" w:type="dxa"/>
          </w:tcPr>
          <w:p w14:paraId="0EF9A0CD" w14:textId="5A27AFAB" w:rsidR="008B373B" w:rsidRPr="00106A4B" w:rsidRDefault="008B373B" w:rsidP="008B373B">
            <w:pPr>
              <w:jc w:val="both"/>
              <w:rPr>
                <w:rFonts w:cs="Times New Roman"/>
                <w:color w:val="000000"/>
                <w:sz w:val="20"/>
                <w:szCs w:val="20"/>
                <w:lang w:val="fr-FR"/>
              </w:rPr>
            </w:pPr>
            <w:r w:rsidRPr="008B373B">
              <w:rPr>
                <w:rFonts w:cs="Times New Roman"/>
                <w:color w:val="000000"/>
                <w:sz w:val="20"/>
                <w:szCs w:val="20"/>
                <w:lang w:val="fr-FR"/>
              </w:rPr>
              <w:t xml:space="preserve">Date de </w:t>
            </w:r>
            <w:r w:rsidR="00C54463">
              <w:rPr>
                <w:rFonts w:cs="Times New Roman"/>
                <w:color w:val="000000"/>
                <w:sz w:val="20"/>
                <w:szCs w:val="20"/>
                <w:lang w:val="fr-FR"/>
              </w:rPr>
              <w:t>déclaration d’achèvement des travaux</w:t>
            </w:r>
            <w:r>
              <w:rPr>
                <w:rFonts w:cs="Times New Roman"/>
                <w:color w:val="000000"/>
                <w:sz w:val="20"/>
                <w:szCs w:val="20"/>
                <w:lang w:val="fr-FR"/>
              </w:rPr>
              <w:t>, uniquement pour les bien</w:t>
            </w:r>
            <w:r w:rsidR="00805E41">
              <w:rPr>
                <w:rFonts w:cs="Times New Roman"/>
                <w:color w:val="000000"/>
                <w:sz w:val="20"/>
                <w:szCs w:val="20"/>
                <w:lang w:val="fr-FR"/>
              </w:rPr>
              <w:t>s</w:t>
            </w:r>
            <w:r>
              <w:rPr>
                <w:rFonts w:cs="Times New Roman"/>
                <w:color w:val="000000"/>
                <w:sz w:val="20"/>
                <w:szCs w:val="20"/>
                <w:lang w:val="fr-FR"/>
              </w:rPr>
              <w:t xml:space="preserve"> de type autre que « 5. Terrain ».</w:t>
            </w:r>
            <w:r w:rsidR="00F11A23">
              <w:rPr>
                <w:rFonts w:cs="Times New Roman"/>
                <w:color w:val="000000"/>
                <w:sz w:val="20"/>
                <w:szCs w:val="20"/>
                <w:lang w:val="fr-FR"/>
              </w:rPr>
              <w:t xml:space="preserve"> Pour les biens ayant fait l’objet de travaux ultérieurs (ajout d’un étage, rénovation, …) il faut indiquer la date la plus ancienne.</w:t>
            </w:r>
          </w:p>
          <w:p w14:paraId="1FB082E7" w14:textId="69FAAD69" w:rsidR="009A603A" w:rsidRDefault="009A603A" w:rsidP="00D17F3C">
            <w:pPr>
              <w:jc w:val="both"/>
              <w:rPr>
                <w:rFonts w:cs="Times New Roman"/>
                <w:color w:val="000000"/>
                <w:sz w:val="20"/>
                <w:szCs w:val="20"/>
                <w:lang w:val="fr-FR"/>
              </w:rPr>
            </w:pPr>
          </w:p>
          <w:p w14:paraId="72E38979" w14:textId="2F8B1C04" w:rsidR="008B373B" w:rsidRPr="00106A4B" w:rsidRDefault="008B373B" w:rsidP="00D17F3C">
            <w:pPr>
              <w:jc w:val="both"/>
              <w:rPr>
                <w:rFonts w:cs="Times New Roman"/>
                <w:color w:val="000000"/>
                <w:sz w:val="20"/>
                <w:szCs w:val="20"/>
                <w:lang w:val="fr-FR"/>
              </w:rPr>
            </w:pPr>
            <w:r>
              <w:rPr>
                <w:rFonts w:cs="Times New Roman"/>
                <w:color w:val="000000"/>
                <w:sz w:val="20"/>
                <w:szCs w:val="20"/>
                <w:lang w:val="fr-FR"/>
              </w:rPr>
              <w:t xml:space="preserve">Pour la </w:t>
            </w:r>
            <w:r w:rsidRPr="00386C43">
              <w:rPr>
                <w:rFonts w:cs="Times New Roman"/>
                <w:color w:val="000000"/>
                <w:sz w:val="20"/>
                <w:szCs w:val="20"/>
                <w:lang w:val="fr-FR"/>
              </w:rPr>
              <w:t>ligne de total par des sociétés immobilières/foncières non cotées à</w:t>
            </w:r>
            <w:r>
              <w:rPr>
                <w:rFonts w:cs="Times New Roman"/>
                <w:color w:val="000000"/>
                <w:sz w:val="20"/>
                <w:szCs w:val="20"/>
                <w:lang w:val="fr-FR"/>
              </w:rPr>
              <w:t xml:space="preserve"> une bourse OCDE, ce champ n’est pas attendu.</w:t>
            </w:r>
          </w:p>
        </w:tc>
      </w:tr>
      <w:tr w:rsidR="009A603A" w:rsidRPr="00B67CFE" w14:paraId="4FBC73BD" w14:textId="77777777" w:rsidTr="00441CAF">
        <w:trPr>
          <w:cantSplit/>
        </w:trPr>
        <w:tc>
          <w:tcPr>
            <w:tcW w:w="1563" w:type="dxa"/>
            <w:vAlign w:val="center"/>
          </w:tcPr>
          <w:p w14:paraId="6CF0C571" w14:textId="12673F2D" w:rsidR="009A603A" w:rsidRPr="00D17F3C" w:rsidRDefault="009A603A" w:rsidP="00D17F3C">
            <w:pPr>
              <w:rPr>
                <w:rFonts w:cs="Times New Roman"/>
                <w:color w:val="000000"/>
                <w:sz w:val="20"/>
                <w:szCs w:val="20"/>
                <w:lang w:val="fr-FR"/>
              </w:rPr>
            </w:pPr>
            <w:r w:rsidRPr="00D17F3C">
              <w:rPr>
                <w:rFonts w:cs="Times New Roman"/>
                <w:color w:val="000000"/>
                <w:sz w:val="20"/>
                <w:szCs w:val="20"/>
                <w:lang w:val="fr-FR"/>
              </w:rPr>
              <w:t>Date de la dernière évaluation quinquennale</w:t>
            </w:r>
          </w:p>
        </w:tc>
        <w:tc>
          <w:tcPr>
            <w:tcW w:w="1127" w:type="dxa"/>
            <w:noWrap/>
            <w:vAlign w:val="center"/>
          </w:tcPr>
          <w:p w14:paraId="6BD36C8B" w14:textId="0CE12BFB" w:rsidR="009A603A" w:rsidRPr="00D17F3C" w:rsidRDefault="009A603A" w:rsidP="00D17F3C">
            <w:pPr>
              <w:rPr>
                <w:rFonts w:cs="Times New Roman"/>
                <w:color w:val="000000"/>
                <w:sz w:val="20"/>
                <w:szCs w:val="20"/>
                <w:lang w:val="fr-FR"/>
              </w:rPr>
            </w:pPr>
            <w:r>
              <w:rPr>
                <w:rFonts w:ascii="Calibri" w:hAnsi="Calibri" w:cs="Calibri"/>
                <w:color w:val="000000"/>
                <w:sz w:val="18"/>
                <w:szCs w:val="18"/>
              </w:rPr>
              <w:t>C01</w:t>
            </w:r>
            <w:r w:rsidR="00A41C43">
              <w:rPr>
                <w:rFonts w:ascii="Calibri" w:hAnsi="Calibri" w:cs="Calibri"/>
                <w:color w:val="000000"/>
                <w:sz w:val="18"/>
                <w:szCs w:val="18"/>
              </w:rPr>
              <w:t>6</w:t>
            </w:r>
            <w:r>
              <w:rPr>
                <w:rFonts w:ascii="Calibri" w:hAnsi="Calibri" w:cs="Calibri"/>
                <w:color w:val="000000"/>
                <w:sz w:val="18"/>
                <w:szCs w:val="18"/>
              </w:rPr>
              <w:t>0</w:t>
            </w:r>
          </w:p>
        </w:tc>
        <w:tc>
          <w:tcPr>
            <w:tcW w:w="6372" w:type="dxa"/>
          </w:tcPr>
          <w:p w14:paraId="28F8114D" w14:textId="38ABD0C8" w:rsidR="008B373B" w:rsidRPr="00D17F3C" w:rsidRDefault="00F11A23" w:rsidP="00D17F3C">
            <w:pPr>
              <w:jc w:val="both"/>
              <w:rPr>
                <w:rFonts w:cs="Times New Roman"/>
                <w:color w:val="000000"/>
                <w:sz w:val="20"/>
                <w:szCs w:val="20"/>
                <w:lang w:val="fr-FR"/>
              </w:rPr>
            </w:pPr>
            <w:r w:rsidRPr="00F11A23">
              <w:rPr>
                <w:rFonts w:cs="Times New Roman"/>
                <w:color w:val="000000"/>
                <w:sz w:val="20"/>
                <w:szCs w:val="20"/>
                <w:lang w:val="fr-FR"/>
              </w:rPr>
              <w:t xml:space="preserve">Il faut indiquer la date de réalisation de l’évaluation </w:t>
            </w:r>
            <w:r w:rsidRPr="00D17F3C">
              <w:rPr>
                <w:rFonts w:cs="Times New Roman"/>
                <w:color w:val="000000"/>
                <w:sz w:val="20"/>
                <w:szCs w:val="20"/>
                <w:lang w:val="fr-FR"/>
              </w:rPr>
              <w:t>quinquennale</w:t>
            </w:r>
            <w:r w:rsidRPr="00F11A23">
              <w:rPr>
                <w:rFonts w:cs="Times New Roman"/>
                <w:color w:val="000000"/>
                <w:sz w:val="20"/>
                <w:szCs w:val="20"/>
                <w:lang w:val="fr-FR"/>
              </w:rPr>
              <w:t xml:space="preserve"> ayant servi à l’alimentation de la valeur de réalisation portée dans l’arrêté annuel considéré</w:t>
            </w:r>
          </w:p>
        </w:tc>
      </w:tr>
      <w:tr w:rsidR="009A603A" w:rsidRPr="00B67CFE" w14:paraId="3F9AA830" w14:textId="77777777" w:rsidTr="00441CAF">
        <w:trPr>
          <w:cantSplit/>
        </w:trPr>
        <w:tc>
          <w:tcPr>
            <w:tcW w:w="1563" w:type="dxa"/>
            <w:vAlign w:val="center"/>
          </w:tcPr>
          <w:p w14:paraId="5334244D" w14:textId="1DEF5BA5" w:rsidR="009A603A" w:rsidRPr="00D17F3C" w:rsidRDefault="009A603A" w:rsidP="00D17F3C">
            <w:pPr>
              <w:rPr>
                <w:rFonts w:cs="Times New Roman"/>
                <w:color w:val="000000"/>
                <w:sz w:val="20"/>
                <w:szCs w:val="20"/>
                <w:lang w:val="fr-FR"/>
              </w:rPr>
            </w:pPr>
            <w:r w:rsidRPr="00D17F3C">
              <w:rPr>
                <w:rFonts w:cs="Times New Roman"/>
                <w:color w:val="000000"/>
                <w:sz w:val="20"/>
                <w:szCs w:val="20"/>
                <w:lang w:val="fr-FR"/>
              </w:rPr>
              <w:lastRenderedPageBreak/>
              <w:t>Secteur NACE du locataire</w:t>
            </w:r>
          </w:p>
        </w:tc>
        <w:tc>
          <w:tcPr>
            <w:tcW w:w="1127" w:type="dxa"/>
            <w:noWrap/>
            <w:vAlign w:val="center"/>
          </w:tcPr>
          <w:p w14:paraId="12617C9C" w14:textId="435C81D9" w:rsidR="009A603A" w:rsidRPr="00106A4B" w:rsidRDefault="009A603A" w:rsidP="00D17F3C">
            <w:pPr>
              <w:rPr>
                <w:rFonts w:cs="Times New Roman"/>
                <w:color w:val="000000"/>
                <w:sz w:val="20"/>
                <w:szCs w:val="20"/>
              </w:rPr>
            </w:pPr>
            <w:r>
              <w:rPr>
                <w:rFonts w:cs="Times New Roman"/>
                <w:color w:val="000000"/>
                <w:sz w:val="20"/>
                <w:szCs w:val="20"/>
              </w:rPr>
              <w:t>C01</w:t>
            </w:r>
            <w:r w:rsidR="00A41C43">
              <w:rPr>
                <w:rFonts w:cs="Times New Roman"/>
                <w:color w:val="000000"/>
                <w:sz w:val="20"/>
                <w:szCs w:val="20"/>
              </w:rPr>
              <w:t>7</w:t>
            </w:r>
            <w:r>
              <w:rPr>
                <w:rFonts w:cs="Times New Roman"/>
                <w:color w:val="000000"/>
                <w:sz w:val="20"/>
                <w:szCs w:val="20"/>
              </w:rPr>
              <w:t>0</w:t>
            </w:r>
          </w:p>
        </w:tc>
        <w:tc>
          <w:tcPr>
            <w:tcW w:w="6372" w:type="dxa"/>
          </w:tcPr>
          <w:p w14:paraId="6EC7D967" w14:textId="2F210713" w:rsidR="00A41C43" w:rsidRDefault="008B373B" w:rsidP="00D17F3C">
            <w:pPr>
              <w:jc w:val="both"/>
              <w:rPr>
                <w:rFonts w:cs="Times New Roman"/>
                <w:color w:val="000000"/>
                <w:sz w:val="20"/>
                <w:szCs w:val="20"/>
                <w:lang w:val="fr-FR"/>
              </w:rPr>
            </w:pPr>
            <w:r w:rsidRPr="008B373B">
              <w:rPr>
                <w:rFonts w:cs="Times New Roman"/>
                <w:color w:val="000000"/>
                <w:sz w:val="20"/>
                <w:szCs w:val="20"/>
                <w:lang w:val="fr-FR"/>
              </w:rPr>
              <w:t>Code NACE</w:t>
            </w:r>
            <w:r w:rsidR="000B5620">
              <w:rPr>
                <w:rFonts w:cs="Times New Roman"/>
                <w:color w:val="000000"/>
                <w:sz w:val="20"/>
                <w:szCs w:val="20"/>
                <w:lang w:val="fr-FR"/>
              </w:rPr>
              <w:t xml:space="preserve"> du locataire,</w:t>
            </w:r>
            <w:r w:rsidRPr="008B373B">
              <w:rPr>
                <w:rFonts w:cs="Times New Roman"/>
                <w:color w:val="000000"/>
                <w:sz w:val="20"/>
                <w:szCs w:val="20"/>
                <w:lang w:val="fr-FR"/>
              </w:rPr>
              <w:t xml:space="preserve"> lorsque </w:t>
            </w:r>
            <w:r w:rsidR="00A41C43">
              <w:rPr>
                <w:rFonts w:cs="Times New Roman"/>
                <w:color w:val="000000"/>
                <w:sz w:val="20"/>
                <w:szCs w:val="20"/>
                <w:lang w:val="fr-FR"/>
              </w:rPr>
              <w:t xml:space="preserve">la nature du bien immobilier correspond à l’une des trois modalités suivantes : </w:t>
            </w:r>
          </w:p>
          <w:p w14:paraId="377C6268" w14:textId="6653C476" w:rsidR="00A41C43" w:rsidRPr="00106A4B" w:rsidRDefault="00A41C43" w:rsidP="00A41C43">
            <w:pPr>
              <w:jc w:val="both"/>
              <w:rPr>
                <w:rFonts w:cs="Times New Roman"/>
                <w:color w:val="000000"/>
                <w:sz w:val="20"/>
                <w:szCs w:val="20"/>
                <w:lang w:val="fr-FR"/>
              </w:rPr>
            </w:pPr>
            <w:r w:rsidRPr="00106A4B">
              <w:rPr>
                <w:rFonts w:cs="Times New Roman"/>
                <w:color w:val="000000"/>
                <w:sz w:val="20"/>
                <w:szCs w:val="20"/>
                <w:lang w:val="fr-FR"/>
              </w:rPr>
              <w:t>2. Immobilier commercial (hôtels, restaurant, centre commercial, ...) ;</w:t>
            </w:r>
          </w:p>
          <w:p w14:paraId="39D7FB76" w14:textId="162BAA7D" w:rsidR="00A41C43" w:rsidRPr="00106A4B" w:rsidRDefault="00A41C43" w:rsidP="00A41C43">
            <w:pPr>
              <w:jc w:val="both"/>
              <w:rPr>
                <w:rFonts w:cs="Times New Roman"/>
                <w:color w:val="000000"/>
                <w:sz w:val="20"/>
                <w:szCs w:val="20"/>
                <w:lang w:val="fr-FR"/>
              </w:rPr>
            </w:pPr>
            <w:r w:rsidRPr="00106A4B">
              <w:rPr>
                <w:rFonts w:cs="Times New Roman"/>
                <w:color w:val="000000"/>
                <w:sz w:val="20"/>
                <w:szCs w:val="20"/>
                <w:lang w:val="fr-FR"/>
              </w:rPr>
              <w:t>3. Immobilier de bureau ;</w:t>
            </w:r>
          </w:p>
          <w:p w14:paraId="2DD6A2E1" w14:textId="347BCE55" w:rsidR="00A41C43" w:rsidRPr="00106A4B" w:rsidRDefault="00A41C43" w:rsidP="00A41C43">
            <w:pPr>
              <w:jc w:val="both"/>
              <w:rPr>
                <w:rFonts w:cs="Times New Roman"/>
                <w:color w:val="000000"/>
                <w:sz w:val="20"/>
                <w:szCs w:val="20"/>
                <w:lang w:val="fr-FR"/>
              </w:rPr>
            </w:pPr>
            <w:r w:rsidRPr="00106A4B">
              <w:rPr>
                <w:rFonts w:cs="Times New Roman"/>
                <w:color w:val="000000"/>
                <w:sz w:val="20"/>
                <w:szCs w:val="20"/>
                <w:lang w:val="fr-FR"/>
              </w:rPr>
              <w:t>4. Immobilier industriel (usine,</w:t>
            </w:r>
            <w:r>
              <w:rPr>
                <w:rFonts w:cs="Times New Roman"/>
                <w:color w:val="000000"/>
                <w:sz w:val="20"/>
                <w:szCs w:val="20"/>
                <w:lang w:val="fr-FR"/>
              </w:rPr>
              <w:t xml:space="preserve"> </w:t>
            </w:r>
            <w:r w:rsidRPr="00106A4B">
              <w:rPr>
                <w:rFonts w:cs="Times New Roman"/>
                <w:color w:val="000000"/>
                <w:sz w:val="20"/>
                <w:szCs w:val="20"/>
                <w:lang w:val="fr-FR"/>
              </w:rPr>
              <w:t>centre logistique, …) ;</w:t>
            </w:r>
          </w:p>
          <w:p w14:paraId="40B7A541" w14:textId="2406CC13" w:rsidR="00A41C43" w:rsidRDefault="00A41C43" w:rsidP="00D17F3C">
            <w:pPr>
              <w:jc w:val="both"/>
              <w:rPr>
                <w:rFonts w:cs="Times New Roman"/>
                <w:color w:val="000000"/>
                <w:sz w:val="20"/>
                <w:szCs w:val="20"/>
                <w:lang w:val="fr-FR"/>
              </w:rPr>
            </w:pPr>
          </w:p>
          <w:p w14:paraId="5C5760C2" w14:textId="075BF045" w:rsidR="009A603A" w:rsidRDefault="00DB4CA4" w:rsidP="00D17F3C">
            <w:pPr>
              <w:jc w:val="both"/>
              <w:rPr>
                <w:rFonts w:cs="Times New Roman"/>
                <w:color w:val="000000"/>
                <w:sz w:val="20"/>
                <w:szCs w:val="20"/>
                <w:lang w:val="fr-FR"/>
              </w:rPr>
            </w:pPr>
            <w:r>
              <w:rPr>
                <w:rFonts w:cs="Times New Roman"/>
                <w:color w:val="000000"/>
                <w:sz w:val="20"/>
                <w:szCs w:val="20"/>
                <w:lang w:val="fr-FR"/>
              </w:rPr>
              <w:t xml:space="preserve">Si le bien est loué </w:t>
            </w:r>
            <w:r w:rsidR="00BD7655">
              <w:rPr>
                <w:rFonts w:cs="Times New Roman"/>
                <w:color w:val="000000"/>
                <w:sz w:val="20"/>
                <w:szCs w:val="20"/>
                <w:lang w:val="fr-FR"/>
              </w:rPr>
              <w:t>à titre commercial</w:t>
            </w:r>
            <w:r w:rsidR="00A41C43">
              <w:rPr>
                <w:rFonts w:cs="Times New Roman"/>
                <w:color w:val="000000"/>
                <w:sz w:val="20"/>
                <w:szCs w:val="20"/>
                <w:lang w:val="fr-FR"/>
              </w:rPr>
              <w:t xml:space="preserve"> à plusieurs locataires, fournir le code NACE pour l’activité principale (celle générant le plus de revenus locatifs), du </w:t>
            </w:r>
            <w:r w:rsidR="008662A1">
              <w:rPr>
                <w:rFonts w:cs="Times New Roman"/>
                <w:color w:val="000000"/>
                <w:sz w:val="20"/>
                <w:szCs w:val="20"/>
                <w:lang w:val="fr-FR"/>
              </w:rPr>
              <w:t>moment</w:t>
            </w:r>
            <w:r w:rsidR="00A41C43">
              <w:rPr>
                <w:rFonts w:cs="Times New Roman"/>
                <w:color w:val="000000"/>
                <w:sz w:val="20"/>
                <w:szCs w:val="20"/>
                <w:lang w:val="fr-FR"/>
              </w:rPr>
              <w:t xml:space="preserve"> qu’elle représente </w:t>
            </w:r>
            <w:r w:rsidR="00BD7655">
              <w:rPr>
                <w:rFonts w:cs="Times New Roman"/>
                <w:color w:val="000000"/>
                <w:sz w:val="20"/>
                <w:szCs w:val="20"/>
                <w:lang w:val="fr-FR"/>
              </w:rPr>
              <w:t xml:space="preserve">au </w:t>
            </w:r>
            <w:r>
              <w:rPr>
                <w:rFonts w:cs="Times New Roman"/>
                <w:color w:val="000000"/>
                <w:sz w:val="20"/>
                <w:szCs w:val="20"/>
                <w:lang w:val="fr-FR"/>
              </w:rPr>
              <w:t xml:space="preserve">moins 40% </w:t>
            </w:r>
            <w:r w:rsidR="00A41C43">
              <w:rPr>
                <w:rFonts w:cs="Times New Roman"/>
                <w:color w:val="000000"/>
                <w:sz w:val="20"/>
                <w:szCs w:val="20"/>
                <w:lang w:val="fr-FR"/>
              </w:rPr>
              <w:t>du total.</w:t>
            </w:r>
            <w:r w:rsidR="00FB709D">
              <w:rPr>
                <w:rFonts w:cs="Times New Roman"/>
                <w:color w:val="000000"/>
                <w:sz w:val="20"/>
                <w:szCs w:val="20"/>
                <w:lang w:val="fr-FR"/>
              </w:rPr>
              <w:t xml:space="preserve"> Dans le cas où ce seuil ne serait pas atteint, la fourniture du code NACE pour l’activité principale n’est pas exigée.</w:t>
            </w:r>
          </w:p>
          <w:p w14:paraId="58E3C269" w14:textId="77777777" w:rsidR="008B373B" w:rsidRDefault="008B373B" w:rsidP="00D17F3C">
            <w:pPr>
              <w:jc w:val="both"/>
              <w:rPr>
                <w:rFonts w:cs="Times New Roman"/>
                <w:color w:val="000000"/>
                <w:sz w:val="20"/>
                <w:szCs w:val="20"/>
                <w:lang w:val="fr-FR"/>
              </w:rPr>
            </w:pPr>
          </w:p>
          <w:p w14:paraId="40F62FF5" w14:textId="34A61800" w:rsidR="008B373B" w:rsidRPr="008B373B" w:rsidRDefault="008B373B" w:rsidP="00D17F3C">
            <w:pPr>
              <w:jc w:val="both"/>
              <w:rPr>
                <w:rFonts w:cs="Times New Roman"/>
                <w:color w:val="000000"/>
                <w:sz w:val="20"/>
                <w:szCs w:val="20"/>
                <w:lang w:val="fr-FR"/>
              </w:rPr>
            </w:pPr>
            <w:r>
              <w:rPr>
                <w:rFonts w:cs="Times New Roman"/>
                <w:color w:val="000000"/>
                <w:sz w:val="20"/>
                <w:szCs w:val="20"/>
                <w:lang w:val="fr-FR"/>
              </w:rPr>
              <w:t xml:space="preserve">Pour la </w:t>
            </w:r>
            <w:r w:rsidRPr="00386C43">
              <w:rPr>
                <w:rFonts w:cs="Times New Roman"/>
                <w:color w:val="000000"/>
                <w:sz w:val="20"/>
                <w:szCs w:val="20"/>
                <w:lang w:val="fr-FR"/>
              </w:rPr>
              <w:t>ligne de total par des sociétés immobilières/foncières non cotées à</w:t>
            </w:r>
            <w:r>
              <w:rPr>
                <w:rFonts w:cs="Times New Roman"/>
                <w:color w:val="000000"/>
                <w:sz w:val="20"/>
                <w:szCs w:val="20"/>
                <w:lang w:val="fr-FR"/>
              </w:rPr>
              <w:t xml:space="preserve"> une bourse OCDE, ce champ n’est pas attendu.</w:t>
            </w:r>
          </w:p>
        </w:tc>
      </w:tr>
      <w:tr w:rsidR="004D31A1" w:rsidRPr="00B67CFE" w14:paraId="2B6494FC" w14:textId="77777777" w:rsidTr="00441CAF">
        <w:trPr>
          <w:cantSplit/>
        </w:trPr>
        <w:tc>
          <w:tcPr>
            <w:tcW w:w="1563" w:type="dxa"/>
            <w:vAlign w:val="center"/>
          </w:tcPr>
          <w:p w14:paraId="5C805737" w14:textId="2F43FCF2" w:rsidR="004D31A1" w:rsidRPr="00D17F3C" w:rsidRDefault="004D31A1" w:rsidP="00D17F3C">
            <w:pPr>
              <w:rPr>
                <w:rFonts w:cs="Times New Roman"/>
                <w:color w:val="000000"/>
                <w:sz w:val="20"/>
                <w:szCs w:val="20"/>
              </w:rPr>
            </w:pPr>
            <w:r w:rsidRPr="004D31A1">
              <w:rPr>
                <w:rFonts w:cs="Times New Roman"/>
                <w:color w:val="000000"/>
                <w:sz w:val="20"/>
                <w:szCs w:val="20"/>
              </w:rPr>
              <w:t xml:space="preserve">Type de </w:t>
            </w:r>
            <w:proofErr w:type="spellStart"/>
            <w:r w:rsidRPr="004D31A1">
              <w:rPr>
                <w:rFonts w:cs="Times New Roman"/>
                <w:color w:val="000000"/>
                <w:sz w:val="20"/>
                <w:szCs w:val="20"/>
              </w:rPr>
              <w:t>détention</w:t>
            </w:r>
            <w:proofErr w:type="spellEnd"/>
          </w:p>
        </w:tc>
        <w:tc>
          <w:tcPr>
            <w:tcW w:w="1127" w:type="dxa"/>
            <w:noWrap/>
            <w:vAlign w:val="center"/>
          </w:tcPr>
          <w:p w14:paraId="429EC10E" w14:textId="1A77F5CD" w:rsidR="004D31A1" w:rsidRDefault="004D31A1" w:rsidP="00D17F3C">
            <w:pPr>
              <w:rPr>
                <w:rFonts w:cs="Times New Roman"/>
                <w:color w:val="000000"/>
                <w:sz w:val="20"/>
                <w:szCs w:val="20"/>
              </w:rPr>
            </w:pPr>
            <w:r>
              <w:rPr>
                <w:rFonts w:cs="Times New Roman"/>
                <w:color w:val="000000"/>
                <w:sz w:val="20"/>
                <w:szCs w:val="20"/>
              </w:rPr>
              <w:t>C0180</w:t>
            </w:r>
          </w:p>
        </w:tc>
        <w:tc>
          <w:tcPr>
            <w:tcW w:w="6372" w:type="dxa"/>
          </w:tcPr>
          <w:p w14:paraId="35F98BFA" w14:textId="77777777" w:rsidR="004D31A1" w:rsidRPr="004D31A1" w:rsidRDefault="004D31A1" w:rsidP="004D31A1">
            <w:pPr>
              <w:jc w:val="both"/>
              <w:rPr>
                <w:rFonts w:cs="Times New Roman"/>
                <w:color w:val="000000"/>
                <w:sz w:val="20"/>
                <w:szCs w:val="20"/>
                <w:lang w:val="fr-FR"/>
              </w:rPr>
            </w:pPr>
            <w:r w:rsidRPr="004D31A1">
              <w:rPr>
                <w:rFonts w:cs="Times New Roman"/>
                <w:color w:val="000000"/>
                <w:sz w:val="20"/>
                <w:szCs w:val="20"/>
                <w:lang w:val="fr-FR"/>
              </w:rPr>
              <w:t xml:space="preserve">Ce champ doit être systématiquement renseigné. </w:t>
            </w:r>
          </w:p>
          <w:p w14:paraId="417BD115" w14:textId="77777777" w:rsidR="004D31A1" w:rsidRPr="004D31A1" w:rsidRDefault="004D31A1" w:rsidP="004D31A1">
            <w:pPr>
              <w:jc w:val="both"/>
              <w:rPr>
                <w:rFonts w:cs="Times New Roman"/>
                <w:color w:val="000000"/>
                <w:sz w:val="20"/>
                <w:szCs w:val="20"/>
                <w:lang w:val="fr-FR"/>
              </w:rPr>
            </w:pPr>
          </w:p>
          <w:p w14:paraId="4610F59C" w14:textId="77777777" w:rsidR="004D31A1" w:rsidRPr="004D31A1" w:rsidRDefault="004D31A1" w:rsidP="004D31A1">
            <w:pPr>
              <w:jc w:val="both"/>
              <w:rPr>
                <w:rFonts w:cs="Times New Roman"/>
                <w:color w:val="000000"/>
                <w:sz w:val="20"/>
                <w:szCs w:val="20"/>
                <w:lang w:val="fr-FR"/>
              </w:rPr>
            </w:pPr>
            <w:r w:rsidRPr="004D31A1">
              <w:rPr>
                <w:rFonts w:cs="Times New Roman"/>
                <w:color w:val="000000"/>
                <w:sz w:val="20"/>
                <w:szCs w:val="20"/>
                <w:lang w:val="fr-FR"/>
              </w:rPr>
              <w:t>Il faut préciser ici le type de détention (directe ou indirecte) du bien. Choisir impérativement l'une des options suivantes :</w:t>
            </w:r>
          </w:p>
          <w:p w14:paraId="13AB397E" w14:textId="77777777" w:rsidR="004D31A1" w:rsidRPr="004D31A1" w:rsidRDefault="004D31A1" w:rsidP="004D31A1">
            <w:pPr>
              <w:jc w:val="both"/>
              <w:rPr>
                <w:rFonts w:cs="Times New Roman"/>
                <w:color w:val="000000"/>
                <w:sz w:val="20"/>
                <w:szCs w:val="20"/>
                <w:lang w:val="fr-FR"/>
              </w:rPr>
            </w:pPr>
            <w:r w:rsidRPr="004D31A1">
              <w:rPr>
                <w:rFonts w:cs="Times New Roman"/>
                <w:color w:val="000000"/>
                <w:sz w:val="20"/>
                <w:szCs w:val="20"/>
                <w:lang w:val="fr-FR"/>
              </w:rPr>
              <w:t>1. Bien détenu directement</w:t>
            </w:r>
          </w:p>
          <w:p w14:paraId="5F611B63" w14:textId="2AC945C1" w:rsidR="004D31A1" w:rsidRPr="00441CAF" w:rsidRDefault="004D31A1" w:rsidP="004D31A1">
            <w:pPr>
              <w:jc w:val="both"/>
              <w:rPr>
                <w:rFonts w:cs="Times New Roman"/>
                <w:color w:val="000000"/>
                <w:sz w:val="20"/>
                <w:szCs w:val="20"/>
                <w:lang w:val="fr-FR"/>
              </w:rPr>
            </w:pPr>
            <w:r w:rsidRPr="004D31A1">
              <w:rPr>
                <w:rFonts w:cs="Times New Roman"/>
                <w:color w:val="000000"/>
                <w:sz w:val="20"/>
                <w:szCs w:val="20"/>
                <w:lang w:val="fr-FR"/>
              </w:rPr>
              <w:t>2. Bien détenus indirectement</w:t>
            </w:r>
          </w:p>
        </w:tc>
      </w:tr>
    </w:tbl>
    <w:p w14:paraId="79C1C4F1" w14:textId="77777777" w:rsidR="007C4E42" w:rsidRDefault="007C4E42"/>
    <w:p w14:paraId="29348A24" w14:textId="340BFE7E" w:rsidR="007C4E42" w:rsidRDefault="007C4E42" w:rsidP="0035529D">
      <w:pPr>
        <w:pStyle w:val="Titre1"/>
      </w:pPr>
      <w:r>
        <w:t>Précisions</w:t>
      </w:r>
    </w:p>
    <w:p w14:paraId="4B2F03DC" w14:textId="222B9C8D" w:rsidR="00073AE4" w:rsidRPr="00441CAF" w:rsidRDefault="00073AE4" w:rsidP="0035529D">
      <w:pPr>
        <w:pStyle w:val="Titre2"/>
        <w:rPr>
          <w:rFonts w:ascii="Times New Roman" w:hAnsi="Times New Roman" w:cs="Times New Roman"/>
        </w:rPr>
      </w:pPr>
      <w:r w:rsidRPr="00441CAF">
        <w:rPr>
          <w:rFonts w:ascii="Times New Roman" w:hAnsi="Times New Roman" w:cs="Times New Roman"/>
        </w:rPr>
        <w:t>Champs C0030 et C0040 pour la collecte au format XBRL</w:t>
      </w:r>
    </w:p>
    <w:p w14:paraId="3CFF2D62" w14:textId="2302C736" w:rsidR="007C4E42" w:rsidRDefault="007C4E42">
      <w:r>
        <w:t xml:space="preserve">Pour les remises au format XBRL, </w:t>
      </w:r>
      <w:r w:rsidR="00073AE4">
        <w:t>les champs C0030 et C0040 sont agrégé</w:t>
      </w:r>
      <w:r w:rsidR="00805E41">
        <w:t>s</w:t>
      </w:r>
      <w:r w:rsidR="00073AE4">
        <w:t xml:space="preserve"> dans le fichier XBRL selon les règles défini</w:t>
      </w:r>
      <w:r w:rsidR="00805E41">
        <w:t>es</w:t>
      </w:r>
      <w:r w:rsidR="00073AE4">
        <w:t xml:space="preserve"> dans la </w:t>
      </w:r>
      <w:proofErr w:type="spellStart"/>
      <w:r w:rsidR="00073AE4">
        <w:t>filing</w:t>
      </w:r>
      <w:proofErr w:type="spellEnd"/>
      <w:r w:rsidR="00073AE4">
        <w:t xml:space="preserve"> </w:t>
      </w:r>
      <w:proofErr w:type="spellStart"/>
      <w:r w:rsidR="009748C4">
        <w:t>rule</w:t>
      </w:r>
      <w:proofErr w:type="spellEnd"/>
      <w:r w:rsidR="00073AE4">
        <w:t xml:space="preserve"> « </w:t>
      </w:r>
      <w:r w:rsidR="00073AE4" w:rsidRPr="00073AE4">
        <w:t xml:space="preserve">IV.3.2 ISIN and </w:t>
      </w:r>
      <w:proofErr w:type="spellStart"/>
      <w:r w:rsidR="00073AE4" w:rsidRPr="00073AE4">
        <w:t>other</w:t>
      </w:r>
      <w:proofErr w:type="spellEnd"/>
      <w:r w:rsidR="00073AE4" w:rsidRPr="00073AE4">
        <w:t xml:space="preserve"> instrument codes</w:t>
      </w:r>
      <w:r w:rsidR="00073AE4">
        <w:t> »</w:t>
      </w:r>
      <w:r w:rsidR="009748C4">
        <w:t xml:space="preserve"> de </w:t>
      </w:r>
      <w:hyperlink r:id="rId9" w:history="1">
        <w:r w:rsidR="009748C4" w:rsidRPr="009748C4">
          <w:rPr>
            <w:rStyle w:val="Lienhypertexte"/>
          </w:rPr>
          <w:t>l’EIOPA</w:t>
        </w:r>
      </w:hyperlink>
      <w:r w:rsidR="00073AE4">
        <w:t>.</w:t>
      </w:r>
    </w:p>
    <w:p w14:paraId="6707AF36" w14:textId="67E8E217" w:rsidR="007C4E42" w:rsidRDefault="007C4E42"/>
    <w:p w14:paraId="53291DD7" w14:textId="327562F2" w:rsidR="007C4E42" w:rsidRDefault="007C4E42"/>
    <w:p w14:paraId="75B29178" w14:textId="77777777" w:rsidR="007C4E42" w:rsidRDefault="007C4E42">
      <w:pPr>
        <w:sectPr w:rsidR="007C4E42">
          <w:pgSz w:w="11906" w:h="16838"/>
          <w:pgMar w:top="1417" w:right="1417" w:bottom="1417" w:left="1417" w:header="708" w:footer="708" w:gutter="0"/>
          <w:cols w:space="708"/>
          <w:docGrid w:linePitch="360"/>
        </w:sectPr>
      </w:pPr>
    </w:p>
    <w:p w14:paraId="7DD4A6BD" w14:textId="077E0F04" w:rsidR="007D717D" w:rsidRDefault="007D717D">
      <w:pPr>
        <w:rPr>
          <w:rFonts w:ascii="Arial" w:eastAsiaTheme="majorEastAsia" w:hAnsi="Arial" w:cs="Arial"/>
          <w:bCs/>
          <w:sz w:val="32"/>
          <w:szCs w:val="32"/>
        </w:rPr>
      </w:pPr>
    </w:p>
    <w:p w14:paraId="4471B404" w14:textId="107F4708" w:rsidR="00EF05E0" w:rsidRDefault="007D717D" w:rsidP="0042508A">
      <w:pPr>
        <w:pStyle w:val="Titre1"/>
      </w:pPr>
      <w:r>
        <w:t>Tableaux</w:t>
      </w:r>
    </w:p>
    <w:p w14:paraId="13F35703" w14:textId="01997933" w:rsidR="007D717D" w:rsidRPr="007D717D" w:rsidRDefault="007D717D"/>
    <w:p w14:paraId="5D6E3EC7" w14:textId="69EDB26D" w:rsidR="007D717D" w:rsidRDefault="004D31A1" w:rsidP="00610A41">
      <w:r w:rsidRPr="004D31A1">
        <w:rPr>
          <w:noProof/>
        </w:rPr>
        <w:drawing>
          <wp:inline distT="0" distB="0" distL="0" distR="0" wp14:anchorId="18BBEED7" wp14:editId="3267B3F5">
            <wp:extent cx="11345708" cy="828000"/>
            <wp:effectExtent l="0" t="0" r="0" b="0"/>
            <wp:docPr id="74026335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345708" cy="828000"/>
                    </a:xfrm>
                    <a:prstGeom prst="rect">
                      <a:avLst/>
                    </a:prstGeom>
                    <a:noFill/>
                    <a:ln>
                      <a:noFill/>
                    </a:ln>
                  </pic:spPr>
                </pic:pic>
              </a:graphicData>
            </a:graphic>
          </wp:inline>
        </w:drawing>
      </w:r>
      <w:r w:rsidRPr="004D31A1" w:rsidDel="004D31A1">
        <w:t xml:space="preserve"> </w:t>
      </w:r>
    </w:p>
    <w:p w14:paraId="4A14DCE3" w14:textId="2440AB80" w:rsidR="007D717D" w:rsidRPr="00B67CFE" w:rsidRDefault="007D717D" w:rsidP="00610A41"/>
    <w:sectPr w:rsidR="007D717D" w:rsidRPr="00B67CFE" w:rsidSect="0042508A">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B057B"/>
    <w:multiLevelType w:val="hybridMultilevel"/>
    <w:tmpl w:val="4DAC1EB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192E6804">
      <w:numFmt w:val="bullet"/>
      <w:lvlText w:val=""/>
      <w:lvlJc w:val="left"/>
      <w:pPr>
        <w:ind w:left="2160" w:hanging="360"/>
      </w:pPr>
      <w:rPr>
        <w:rFonts w:ascii="Symbol" w:eastAsiaTheme="minorHAnsi" w:hAnsi="Symbol" w:cstheme="minorBidi"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4D0939"/>
    <w:multiLevelType w:val="multilevel"/>
    <w:tmpl w:val="88EA0B4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CDF5C51"/>
    <w:multiLevelType w:val="hybridMultilevel"/>
    <w:tmpl w:val="8A88F8DC"/>
    <w:lvl w:ilvl="0" w:tplc="86C0E37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13F3024"/>
    <w:multiLevelType w:val="hybridMultilevel"/>
    <w:tmpl w:val="660A09B2"/>
    <w:lvl w:ilvl="0" w:tplc="BE400E34">
      <w:start w:val="2"/>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4C60834"/>
    <w:multiLevelType w:val="hybridMultilevel"/>
    <w:tmpl w:val="84DC73B2"/>
    <w:lvl w:ilvl="0" w:tplc="4514875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1F0D6A"/>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6" w15:restartNumberingAfterBreak="0">
    <w:nsid w:val="3CB52FF2"/>
    <w:multiLevelType w:val="hybridMultilevel"/>
    <w:tmpl w:val="12C44F5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1F05B83"/>
    <w:multiLevelType w:val="hybridMultilevel"/>
    <w:tmpl w:val="AFC6E6D0"/>
    <w:lvl w:ilvl="0" w:tplc="E4C60900">
      <w:numFmt w:val="bullet"/>
      <w:lvlText w:val="-"/>
      <w:lvlJc w:val="left"/>
      <w:pPr>
        <w:ind w:left="720" w:hanging="360"/>
      </w:pPr>
      <w:rPr>
        <w:rFonts w:ascii="Arial" w:eastAsiaTheme="minorHAnsi"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BCE5998"/>
    <w:multiLevelType w:val="hybridMultilevel"/>
    <w:tmpl w:val="70841138"/>
    <w:lvl w:ilvl="0" w:tplc="49A6BEE8">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7DD6421"/>
    <w:multiLevelType w:val="hybridMultilevel"/>
    <w:tmpl w:val="75FE18F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D9D76FA"/>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746C11E6"/>
    <w:multiLevelType w:val="hybridMultilevel"/>
    <w:tmpl w:val="B79ED6F4"/>
    <w:lvl w:ilvl="0" w:tplc="3DAC4D26">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79524455">
    <w:abstractNumId w:val="12"/>
  </w:num>
  <w:num w:numId="2" w16cid:durableId="916867785">
    <w:abstractNumId w:val="11"/>
  </w:num>
  <w:num w:numId="3" w16cid:durableId="1067800430">
    <w:abstractNumId w:val="1"/>
  </w:num>
  <w:num w:numId="4" w16cid:durableId="1972705214">
    <w:abstractNumId w:val="0"/>
  </w:num>
  <w:num w:numId="5" w16cid:durableId="978339754">
    <w:abstractNumId w:val="8"/>
  </w:num>
  <w:num w:numId="6" w16cid:durableId="636569446">
    <w:abstractNumId w:val="4"/>
  </w:num>
  <w:num w:numId="7" w16cid:durableId="1776174116">
    <w:abstractNumId w:val="7"/>
  </w:num>
  <w:num w:numId="8" w16cid:durableId="1619792977">
    <w:abstractNumId w:val="9"/>
  </w:num>
  <w:num w:numId="9" w16cid:durableId="747461848">
    <w:abstractNumId w:val="2"/>
  </w:num>
  <w:num w:numId="10" w16cid:durableId="1775903772">
    <w:abstractNumId w:val="3"/>
  </w:num>
  <w:num w:numId="11" w16cid:durableId="874585519">
    <w:abstractNumId w:val="10"/>
  </w:num>
  <w:num w:numId="12" w16cid:durableId="377163591">
    <w:abstractNumId w:val="5"/>
  </w:num>
  <w:num w:numId="13" w16cid:durableId="1041545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110"/>
    <w:rsid w:val="000154D5"/>
    <w:rsid w:val="00034290"/>
    <w:rsid w:val="00073AE4"/>
    <w:rsid w:val="00075268"/>
    <w:rsid w:val="00080219"/>
    <w:rsid w:val="00081046"/>
    <w:rsid w:val="000A288B"/>
    <w:rsid w:val="000A2917"/>
    <w:rsid w:val="000B5620"/>
    <w:rsid w:val="000B7A1F"/>
    <w:rsid w:val="000E13E2"/>
    <w:rsid w:val="000F4A34"/>
    <w:rsid w:val="00102B82"/>
    <w:rsid w:val="00106A4B"/>
    <w:rsid w:val="00107559"/>
    <w:rsid w:val="00112914"/>
    <w:rsid w:val="00121B9B"/>
    <w:rsid w:val="00154536"/>
    <w:rsid w:val="00176FEC"/>
    <w:rsid w:val="001A6110"/>
    <w:rsid w:val="001B6486"/>
    <w:rsid w:val="001C1B08"/>
    <w:rsid w:val="001E3B95"/>
    <w:rsid w:val="002433A6"/>
    <w:rsid w:val="002952BD"/>
    <w:rsid w:val="002A099E"/>
    <w:rsid w:val="002A1AB9"/>
    <w:rsid w:val="002B05A1"/>
    <w:rsid w:val="002C3566"/>
    <w:rsid w:val="002F4439"/>
    <w:rsid w:val="002F6E26"/>
    <w:rsid w:val="00304511"/>
    <w:rsid w:val="00334BE2"/>
    <w:rsid w:val="003520CA"/>
    <w:rsid w:val="0035529D"/>
    <w:rsid w:val="003605CA"/>
    <w:rsid w:val="00362C4E"/>
    <w:rsid w:val="00363170"/>
    <w:rsid w:val="00386C43"/>
    <w:rsid w:val="003A6629"/>
    <w:rsid w:val="003C512F"/>
    <w:rsid w:val="0042508A"/>
    <w:rsid w:val="00441CAF"/>
    <w:rsid w:val="00467654"/>
    <w:rsid w:val="004900F2"/>
    <w:rsid w:val="004B24C1"/>
    <w:rsid w:val="004D31A1"/>
    <w:rsid w:val="004E4B22"/>
    <w:rsid w:val="005B4871"/>
    <w:rsid w:val="00602630"/>
    <w:rsid w:val="00610A41"/>
    <w:rsid w:val="00612C05"/>
    <w:rsid w:val="00655BE7"/>
    <w:rsid w:val="00664BF9"/>
    <w:rsid w:val="0067340B"/>
    <w:rsid w:val="00681414"/>
    <w:rsid w:val="00682E31"/>
    <w:rsid w:val="00690881"/>
    <w:rsid w:val="00693B08"/>
    <w:rsid w:val="006A3550"/>
    <w:rsid w:val="006A6FFE"/>
    <w:rsid w:val="007412B8"/>
    <w:rsid w:val="007577A5"/>
    <w:rsid w:val="00765A02"/>
    <w:rsid w:val="00773585"/>
    <w:rsid w:val="007C4E42"/>
    <w:rsid w:val="007D717D"/>
    <w:rsid w:val="00805E41"/>
    <w:rsid w:val="0082330A"/>
    <w:rsid w:val="008662A1"/>
    <w:rsid w:val="008B373B"/>
    <w:rsid w:val="008E6B11"/>
    <w:rsid w:val="00940C55"/>
    <w:rsid w:val="009748C4"/>
    <w:rsid w:val="00977C49"/>
    <w:rsid w:val="009844AC"/>
    <w:rsid w:val="009A603A"/>
    <w:rsid w:val="009C7421"/>
    <w:rsid w:val="009E359D"/>
    <w:rsid w:val="00A05B2F"/>
    <w:rsid w:val="00A10E54"/>
    <w:rsid w:val="00A41C43"/>
    <w:rsid w:val="00A47367"/>
    <w:rsid w:val="00A53FCD"/>
    <w:rsid w:val="00AD11FA"/>
    <w:rsid w:val="00AD6F1A"/>
    <w:rsid w:val="00B05DFD"/>
    <w:rsid w:val="00B11F43"/>
    <w:rsid w:val="00B1550C"/>
    <w:rsid w:val="00B277F8"/>
    <w:rsid w:val="00B40250"/>
    <w:rsid w:val="00B458E4"/>
    <w:rsid w:val="00B62A33"/>
    <w:rsid w:val="00B67CFE"/>
    <w:rsid w:val="00B70A78"/>
    <w:rsid w:val="00B72694"/>
    <w:rsid w:val="00B81340"/>
    <w:rsid w:val="00BD2C54"/>
    <w:rsid w:val="00BD7655"/>
    <w:rsid w:val="00BF5A76"/>
    <w:rsid w:val="00BF5DAC"/>
    <w:rsid w:val="00C11C1F"/>
    <w:rsid w:val="00C54463"/>
    <w:rsid w:val="00C76A14"/>
    <w:rsid w:val="00C91637"/>
    <w:rsid w:val="00CB4B4E"/>
    <w:rsid w:val="00CB5A12"/>
    <w:rsid w:val="00CE1898"/>
    <w:rsid w:val="00D051BC"/>
    <w:rsid w:val="00D12CCC"/>
    <w:rsid w:val="00D17F3C"/>
    <w:rsid w:val="00DB4CA4"/>
    <w:rsid w:val="00DB6CD6"/>
    <w:rsid w:val="00DD4893"/>
    <w:rsid w:val="00DF2FB8"/>
    <w:rsid w:val="00DF3F43"/>
    <w:rsid w:val="00E12BEF"/>
    <w:rsid w:val="00E27AA2"/>
    <w:rsid w:val="00E33584"/>
    <w:rsid w:val="00E66D49"/>
    <w:rsid w:val="00E67A77"/>
    <w:rsid w:val="00E8578C"/>
    <w:rsid w:val="00ED32C8"/>
    <w:rsid w:val="00EE4394"/>
    <w:rsid w:val="00EE46FD"/>
    <w:rsid w:val="00EF05E0"/>
    <w:rsid w:val="00EF1F9A"/>
    <w:rsid w:val="00F11A23"/>
    <w:rsid w:val="00F15CB3"/>
    <w:rsid w:val="00F33B3B"/>
    <w:rsid w:val="00F55B59"/>
    <w:rsid w:val="00F738A2"/>
    <w:rsid w:val="00F82670"/>
    <w:rsid w:val="00FB70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F7B3D"/>
  <w15:chartTrackingRefBased/>
  <w15:docId w15:val="{4F9F9145-9227-4591-954D-4097152A2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31A1"/>
    <w:rPr>
      <w:rFonts w:ascii="Times New Roman" w:hAnsi="Times New Roman"/>
    </w:rPr>
  </w:style>
  <w:style w:type="paragraph" w:styleId="Titre1">
    <w:name w:val="heading 1"/>
    <w:basedOn w:val="Normal"/>
    <w:next w:val="Normal"/>
    <w:link w:val="Titre1Car"/>
    <w:qFormat/>
    <w:rsid w:val="0042508A"/>
    <w:pPr>
      <w:numPr>
        <w:numId w:val="12"/>
      </w:numPr>
      <w:spacing w:after="0" w:line="360" w:lineRule="auto"/>
      <w:jc w:val="both"/>
      <w:outlineLvl w:val="0"/>
    </w:pPr>
    <w:rPr>
      <w:rFonts w:eastAsia="Times New Roman" w:cs="Times New Roman"/>
      <w:b/>
      <w:bCs/>
      <w:color w:val="345A8A"/>
      <w:sz w:val="28"/>
      <w:szCs w:val="32"/>
      <w:lang w:eastAsia="fr-FR"/>
    </w:rPr>
  </w:style>
  <w:style w:type="paragraph" w:styleId="Titre2">
    <w:name w:val="heading 2"/>
    <w:basedOn w:val="Normal"/>
    <w:next w:val="Normal"/>
    <w:link w:val="Titre2Car"/>
    <w:uiPriority w:val="9"/>
    <w:unhideWhenUsed/>
    <w:qFormat/>
    <w:rsid w:val="00073AE4"/>
    <w:pPr>
      <w:keepNext/>
      <w:keepLines/>
      <w:numPr>
        <w:ilvl w:val="1"/>
        <w:numId w:val="12"/>
      </w:numPr>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073AE4"/>
    <w:pPr>
      <w:keepNext/>
      <w:keepLines/>
      <w:numPr>
        <w:ilvl w:val="2"/>
        <w:numId w:val="12"/>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073AE4"/>
    <w:pPr>
      <w:keepNext/>
      <w:keepLines/>
      <w:numPr>
        <w:ilvl w:val="3"/>
        <w:numId w:val="12"/>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073AE4"/>
    <w:pPr>
      <w:keepNext/>
      <w:keepLines/>
      <w:numPr>
        <w:ilvl w:val="4"/>
        <w:numId w:val="12"/>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073AE4"/>
    <w:pPr>
      <w:keepNext/>
      <w:keepLines/>
      <w:numPr>
        <w:ilvl w:val="5"/>
        <w:numId w:val="12"/>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073AE4"/>
    <w:pPr>
      <w:keepNext/>
      <w:keepLines/>
      <w:numPr>
        <w:ilvl w:val="6"/>
        <w:numId w:val="12"/>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073AE4"/>
    <w:pPr>
      <w:keepNext/>
      <w:keepLines/>
      <w:numPr>
        <w:ilvl w:val="7"/>
        <w:numId w:val="12"/>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073AE4"/>
    <w:pPr>
      <w:keepNext/>
      <w:keepLines/>
      <w:numPr>
        <w:ilvl w:val="8"/>
        <w:numId w:val="1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610A4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08104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81046"/>
    <w:rPr>
      <w:rFonts w:ascii="Segoe UI" w:hAnsi="Segoe UI" w:cs="Segoe UI"/>
      <w:sz w:val="18"/>
      <w:szCs w:val="18"/>
    </w:rPr>
  </w:style>
  <w:style w:type="character" w:styleId="Marquedecommentaire">
    <w:name w:val="annotation reference"/>
    <w:basedOn w:val="Policepardfaut"/>
    <w:uiPriority w:val="99"/>
    <w:semiHidden/>
    <w:unhideWhenUsed/>
    <w:rsid w:val="00081046"/>
    <w:rPr>
      <w:sz w:val="16"/>
      <w:szCs w:val="16"/>
    </w:rPr>
  </w:style>
  <w:style w:type="paragraph" w:styleId="Commentaire">
    <w:name w:val="annotation text"/>
    <w:basedOn w:val="Normal"/>
    <w:link w:val="CommentaireCar"/>
    <w:uiPriority w:val="99"/>
    <w:semiHidden/>
    <w:unhideWhenUsed/>
    <w:rsid w:val="00081046"/>
    <w:pPr>
      <w:spacing w:line="240" w:lineRule="auto"/>
    </w:pPr>
    <w:rPr>
      <w:sz w:val="20"/>
      <w:szCs w:val="20"/>
    </w:rPr>
  </w:style>
  <w:style w:type="character" w:customStyle="1" w:styleId="CommentaireCar">
    <w:name w:val="Commentaire Car"/>
    <w:basedOn w:val="Policepardfaut"/>
    <w:link w:val="Commentaire"/>
    <w:uiPriority w:val="99"/>
    <w:semiHidden/>
    <w:rsid w:val="00081046"/>
    <w:rPr>
      <w:sz w:val="20"/>
      <w:szCs w:val="20"/>
    </w:rPr>
  </w:style>
  <w:style w:type="paragraph" w:styleId="Objetducommentaire">
    <w:name w:val="annotation subject"/>
    <w:basedOn w:val="Commentaire"/>
    <w:next w:val="Commentaire"/>
    <w:link w:val="ObjetducommentaireCar"/>
    <w:uiPriority w:val="99"/>
    <w:semiHidden/>
    <w:unhideWhenUsed/>
    <w:rsid w:val="00081046"/>
    <w:rPr>
      <w:b/>
      <w:bCs/>
    </w:rPr>
  </w:style>
  <w:style w:type="character" w:customStyle="1" w:styleId="ObjetducommentaireCar">
    <w:name w:val="Objet du commentaire Car"/>
    <w:basedOn w:val="CommentaireCar"/>
    <w:link w:val="Objetducommentaire"/>
    <w:uiPriority w:val="99"/>
    <w:semiHidden/>
    <w:rsid w:val="00081046"/>
    <w:rPr>
      <w:b/>
      <w:bCs/>
      <w:sz w:val="20"/>
      <w:szCs w:val="20"/>
    </w:rPr>
  </w:style>
  <w:style w:type="paragraph" w:customStyle="1" w:styleId="tbl-norm">
    <w:name w:val="tbl-norm"/>
    <w:basedOn w:val="Normal"/>
    <w:rsid w:val="00081046"/>
    <w:pPr>
      <w:spacing w:before="100" w:beforeAutospacing="1" w:after="100" w:afterAutospacing="1" w:line="240" w:lineRule="auto"/>
    </w:pPr>
    <w:rPr>
      <w:rFonts w:eastAsia="Times New Roman" w:cs="Times New Roman"/>
      <w:sz w:val="24"/>
      <w:szCs w:val="24"/>
      <w:lang w:eastAsia="fr-FR"/>
    </w:rPr>
  </w:style>
  <w:style w:type="paragraph" w:customStyle="1" w:styleId="DocTitle">
    <w:name w:val="Doc Title"/>
    <w:basedOn w:val="Normal"/>
    <w:next w:val="Titre1"/>
    <w:rsid w:val="00176FEC"/>
    <w:pPr>
      <w:spacing w:before="480" w:after="240" w:line="480" w:lineRule="atLeast"/>
      <w:jc w:val="center"/>
    </w:pPr>
    <w:rPr>
      <w:rFonts w:eastAsia="Times New Roman" w:cs="Times New Roman"/>
      <w:b/>
      <w:bCs/>
      <w:caps/>
      <w:sz w:val="32"/>
      <w:szCs w:val="32"/>
      <w:lang w:eastAsia="fr-FR"/>
    </w:rPr>
  </w:style>
  <w:style w:type="paragraph" w:customStyle="1" w:styleId="CharChar1Char">
    <w:name w:val="Char Char1 Char"/>
    <w:basedOn w:val="Normal"/>
    <w:rsid w:val="00176FEC"/>
    <w:pPr>
      <w:spacing w:line="240" w:lineRule="exact"/>
    </w:pPr>
    <w:rPr>
      <w:rFonts w:ascii="Tahoma" w:eastAsia="Times New Roman" w:hAnsi="Tahoma" w:cs="Times New Roman"/>
      <w:sz w:val="20"/>
      <w:szCs w:val="20"/>
      <w:lang w:val="en-US"/>
    </w:rPr>
  </w:style>
  <w:style w:type="character" w:customStyle="1" w:styleId="Titre1Car">
    <w:name w:val="Titre 1 Car"/>
    <w:basedOn w:val="Policepardfaut"/>
    <w:link w:val="Titre1"/>
    <w:rsid w:val="0042508A"/>
    <w:rPr>
      <w:rFonts w:ascii="Times New Roman" w:eastAsia="Times New Roman" w:hAnsi="Times New Roman" w:cs="Times New Roman"/>
      <w:b/>
      <w:bCs/>
      <w:color w:val="345A8A"/>
      <w:sz w:val="28"/>
      <w:szCs w:val="32"/>
      <w:lang w:eastAsia="fr-FR"/>
    </w:rPr>
  </w:style>
  <w:style w:type="character" w:styleId="Lienhypertexte">
    <w:name w:val="Hyperlink"/>
    <w:basedOn w:val="Policepardfaut"/>
    <w:uiPriority w:val="99"/>
    <w:unhideWhenUsed/>
    <w:rsid w:val="001B6486"/>
    <w:rPr>
      <w:color w:val="0000FF"/>
      <w:u w:val="single"/>
    </w:rPr>
  </w:style>
  <w:style w:type="paragraph" w:styleId="Paragraphedeliste">
    <w:name w:val="List Paragraph"/>
    <w:aliases w:val="Dot pt,Colorful List - Accent 11,No Spacing1,List Paragraph Char Char Char,Indicator Text,Numbered Para 1,Bullet 1,F5 List Paragraph,Bullet Points,List Paragraph1,List Paragraph2,List Paragraph12,MAIN CONTENT,Normal numbered,EC"/>
    <w:basedOn w:val="Normal"/>
    <w:link w:val="ParagraphedelisteCar"/>
    <w:uiPriority w:val="1"/>
    <w:qFormat/>
    <w:rsid w:val="00773585"/>
    <w:pPr>
      <w:ind w:left="720"/>
      <w:contextualSpacing/>
    </w:pPr>
  </w:style>
  <w:style w:type="character" w:customStyle="1" w:styleId="ParagraphedelisteCar">
    <w:name w:val="Paragraphe de liste Car"/>
    <w:aliases w:val="Dot pt Car,Colorful List - Accent 11 Car,No Spacing1 Car,List Paragraph Char Char Char Car,Indicator Text Car,Numbered Para 1 Car,Bullet 1 Car,F5 List Paragraph Car,Bullet Points Car,List Paragraph1 Car,List Paragraph2 Car,EC Car"/>
    <w:basedOn w:val="Policepardfaut"/>
    <w:link w:val="Paragraphedeliste"/>
    <w:uiPriority w:val="34"/>
    <w:locked/>
    <w:rsid w:val="00B67CFE"/>
  </w:style>
  <w:style w:type="paragraph" w:customStyle="1" w:styleId="Default">
    <w:name w:val="Default"/>
    <w:rsid w:val="009C7421"/>
    <w:pPr>
      <w:autoSpaceDE w:val="0"/>
      <w:autoSpaceDN w:val="0"/>
      <w:adjustRightInd w:val="0"/>
      <w:spacing w:after="0" w:line="240" w:lineRule="auto"/>
    </w:pPr>
    <w:rPr>
      <w:rFonts w:ascii="Times New Roman" w:hAnsi="Times New Roman" w:cs="Times New Roman"/>
      <w:color w:val="000000"/>
      <w:sz w:val="24"/>
      <w:szCs w:val="24"/>
    </w:rPr>
  </w:style>
  <w:style w:type="paragraph" w:styleId="Rvision">
    <w:name w:val="Revision"/>
    <w:hidden/>
    <w:uiPriority w:val="99"/>
    <w:semiHidden/>
    <w:rsid w:val="00E67A77"/>
    <w:pPr>
      <w:spacing w:after="0" w:line="240" w:lineRule="auto"/>
    </w:pPr>
  </w:style>
  <w:style w:type="paragraph" w:styleId="Titre">
    <w:name w:val="Title"/>
    <w:basedOn w:val="Normal"/>
    <w:next w:val="Normal"/>
    <w:link w:val="TitreCar"/>
    <w:qFormat/>
    <w:rsid w:val="004900F2"/>
    <w:pPr>
      <w:spacing w:after="0" w:line="240" w:lineRule="auto"/>
      <w:jc w:val="center"/>
    </w:pPr>
    <w:rPr>
      <w:rFonts w:ascii="Arial" w:hAnsi="Arial" w:cs="Arial"/>
      <w:b/>
      <w:color w:val="003B8E"/>
      <w:sz w:val="32"/>
      <w:szCs w:val="32"/>
    </w:rPr>
  </w:style>
  <w:style w:type="character" w:customStyle="1" w:styleId="TitreCar">
    <w:name w:val="Titre Car"/>
    <w:basedOn w:val="Policepardfaut"/>
    <w:link w:val="Titre"/>
    <w:rsid w:val="004900F2"/>
    <w:rPr>
      <w:rFonts w:ascii="Arial" w:hAnsi="Arial" w:cs="Arial"/>
      <w:b/>
      <w:color w:val="003B8E"/>
      <w:sz w:val="32"/>
      <w:szCs w:val="32"/>
    </w:rPr>
  </w:style>
  <w:style w:type="character" w:styleId="Lienhypertextesuivivisit">
    <w:name w:val="FollowedHyperlink"/>
    <w:basedOn w:val="Policepardfaut"/>
    <w:uiPriority w:val="99"/>
    <w:semiHidden/>
    <w:unhideWhenUsed/>
    <w:rsid w:val="00E66D49"/>
    <w:rPr>
      <w:color w:val="954F72" w:themeColor="followedHyperlink"/>
      <w:u w:val="single"/>
    </w:rPr>
  </w:style>
  <w:style w:type="paragraph" w:styleId="Sansinterligne">
    <w:name w:val="No Spacing"/>
    <w:uiPriority w:val="1"/>
    <w:qFormat/>
    <w:rsid w:val="00655BE7"/>
    <w:pPr>
      <w:spacing w:after="0" w:line="240" w:lineRule="auto"/>
    </w:pPr>
  </w:style>
  <w:style w:type="character" w:customStyle="1" w:styleId="Titre2Car">
    <w:name w:val="Titre 2 Car"/>
    <w:basedOn w:val="Policepardfaut"/>
    <w:link w:val="Titre2"/>
    <w:uiPriority w:val="9"/>
    <w:rsid w:val="00073AE4"/>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semiHidden/>
    <w:rsid w:val="00073AE4"/>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073AE4"/>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073AE4"/>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073AE4"/>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073AE4"/>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073AE4"/>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073AE4"/>
    <w:rPr>
      <w:rFonts w:asciiTheme="majorHAnsi" w:eastAsiaTheme="majorEastAsia" w:hAnsiTheme="majorHAnsi" w:cstheme="majorBidi"/>
      <w:i/>
      <w:iCs/>
      <w:color w:val="272727" w:themeColor="text1" w:themeTint="D8"/>
      <w:sz w:val="21"/>
      <w:szCs w:val="21"/>
    </w:rPr>
  </w:style>
  <w:style w:type="paragraph" w:customStyle="1" w:styleId="Paragraphedeliste1">
    <w:name w:val="Paragraphe de liste1"/>
    <w:basedOn w:val="Normal"/>
    <w:rsid w:val="002433A6"/>
    <w:pPr>
      <w:spacing w:after="0" w:line="240" w:lineRule="auto"/>
      <w:ind w:left="720"/>
      <w:contextualSpacing/>
      <w:jc w:val="both"/>
    </w:pPr>
    <w:rPr>
      <w:rFonts w:eastAsia="Times New Roman" w:cs="Times New Roman"/>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551761">
      <w:bodyDiv w:val="1"/>
      <w:marLeft w:val="0"/>
      <w:marRight w:val="0"/>
      <w:marTop w:val="0"/>
      <w:marBottom w:val="0"/>
      <w:divBdr>
        <w:top w:val="none" w:sz="0" w:space="0" w:color="auto"/>
        <w:left w:val="none" w:sz="0" w:space="0" w:color="auto"/>
        <w:bottom w:val="none" w:sz="0" w:space="0" w:color="auto"/>
        <w:right w:val="none" w:sz="0" w:space="0" w:color="auto"/>
      </w:divBdr>
    </w:div>
    <w:div w:id="561793851">
      <w:bodyDiv w:val="1"/>
      <w:marLeft w:val="0"/>
      <w:marRight w:val="0"/>
      <w:marTop w:val="0"/>
      <w:marBottom w:val="0"/>
      <w:divBdr>
        <w:top w:val="none" w:sz="0" w:space="0" w:color="auto"/>
        <w:left w:val="none" w:sz="0" w:space="0" w:color="auto"/>
        <w:bottom w:val="none" w:sz="0" w:space="0" w:color="auto"/>
        <w:right w:val="none" w:sz="0" w:space="0" w:color="auto"/>
      </w:divBdr>
    </w:div>
    <w:div w:id="1255015214">
      <w:bodyDiv w:val="1"/>
      <w:marLeft w:val="0"/>
      <w:marRight w:val="0"/>
      <w:marTop w:val="0"/>
      <w:marBottom w:val="0"/>
      <w:divBdr>
        <w:top w:val="none" w:sz="0" w:space="0" w:color="auto"/>
        <w:left w:val="none" w:sz="0" w:space="0" w:color="auto"/>
        <w:bottom w:val="none" w:sz="0" w:space="0" w:color="auto"/>
        <w:right w:val="none" w:sz="0" w:space="0" w:color="auto"/>
      </w:divBdr>
    </w:div>
    <w:div w:id="1363282712">
      <w:bodyDiv w:val="1"/>
      <w:marLeft w:val="0"/>
      <w:marRight w:val="0"/>
      <w:marTop w:val="0"/>
      <w:marBottom w:val="0"/>
      <w:divBdr>
        <w:top w:val="none" w:sz="0" w:space="0" w:color="auto"/>
        <w:left w:val="none" w:sz="0" w:space="0" w:color="auto"/>
        <w:bottom w:val="none" w:sz="0" w:space="0" w:color="auto"/>
        <w:right w:val="none" w:sz="0" w:space="0" w:color="auto"/>
      </w:divBdr>
    </w:div>
    <w:div w:id="197637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nsee.fr/fr/information/5230987" TargetMode="External"/><Relationship Id="rId3" Type="http://schemas.openxmlformats.org/officeDocument/2006/relationships/styles" Target="styles.xml"/><Relationship Id="rId7" Type="http://schemas.openxmlformats.org/officeDocument/2006/relationships/hyperlink" Target="https://eur-lex.europa.eu/legal-content/FR/TXT/HTML/?uri=CELEX:32019Y0813(01)&amp;from=EN"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s://www.eiopa.europa.eu/tools-and-data/supervisory-reporting-dpm-and-xbrl_en"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E9DE4-7A6E-4CF9-B727-646DF056C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1738</Words>
  <Characters>9563</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11279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WILKINSON Baptiste (UA 2775)</dc:creator>
  <cp:keywords/>
  <dc:description/>
  <cp:lastModifiedBy>DIAGNE Afissa-Elodie (SGACPR DAI)</cp:lastModifiedBy>
  <cp:revision>4</cp:revision>
  <cp:lastPrinted>2020-09-24T08:49:00Z</cp:lastPrinted>
  <dcterms:created xsi:type="dcterms:W3CDTF">2026-02-01T17:54:00Z</dcterms:created>
  <dcterms:modified xsi:type="dcterms:W3CDTF">2026-02-05T16:07:00Z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08f1332-2cfb-404a-934f-6a2bfd1bd80c_Enabled">
    <vt:lpwstr>true</vt:lpwstr>
  </property>
  <property fmtid="{D5CDD505-2E9C-101B-9397-08002B2CF9AE}" pid="3" name="MSIP_Label_c08f1332-2cfb-404a-934f-6a2bfd1bd80c_SetDate">
    <vt:lpwstr>2026-02-01T17:48:11Z</vt:lpwstr>
  </property>
  <property fmtid="{D5CDD505-2E9C-101B-9397-08002B2CF9AE}" pid="4" name="MSIP_Label_c08f1332-2cfb-404a-934f-6a2bfd1bd80c_Method">
    <vt:lpwstr>Privileged</vt:lpwstr>
  </property>
  <property fmtid="{D5CDD505-2E9C-101B-9397-08002B2CF9AE}" pid="5" name="MSIP_Label_c08f1332-2cfb-404a-934f-6a2bfd1bd80c_Name">
    <vt:lpwstr>BDF-PUBLIC-Sans-Marquage</vt:lpwstr>
  </property>
  <property fmtid="{D5CDD505-2E9C-101B-9397-08002B2CF9AE}" pid="6" name="MSIP_Label_c08f1332-2cfb-404a-934f-6a2bfd1bd80c_SiteId">
    <vt:lpwstr>e6599448-62a0-418e-8930-d00d8d5682c2</vt:lpwstr>
  </property>
  <property fmtid="{D5CDD505-2E9C-101B-9397-08002B2CF9AE}" pid="7" name="MSIP_Label_c08f1332-2cfb-404a-934f-6a2bfd1bd80c_ActionId">
    <vt:lpwstr>c75c05f5-6867-4b84-84a9-e2de334591b2</vt:lpwstr>
  </property>
  <property fmtid="{D5CDD505-2E9C-101B-9397-08002B2CF9AE}" pid="8" name="MSIP_Label_c08f1332-2cfb-404a-934f-6a2bfd1bd80c_ContentBits">
    <vt:lpwstr>0</vt:lpwstr>
  </property>
  <property fmtid="{D5CDD505-2E9C-101B-9397-08002B2CF9AE}" pid="9" name="MSIP_Label_c08f1332-2cfb-404a-934f-6a2bfd1bd80c_Tag">
    <vt:lpwstr>10, 0, 1, 1</vt:lpwstr>
  </property>
</Properties>
</file>